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2E7" w:rsidRPr="007162E7" w:rsidRDefault="007162E7" w:rsidP="007162E7">
      <w:pPr>
        <w:spacing w:after="0" w:line="360" w:lineRule="auto"/>
        <w:jc w:val="center"/>
        <w:rPr>
          <w:rFonts w:ascii="Arial" w:eastAsia="Calibri" w:hAnsi="Arial" w:cs="Arial"/>
          <w:b/>
          <w:sz w:val="32"/>
          <w:szCs w:val="32"/>
        </w:rPr>
      </w:pPr>
      <w:r w:rsidRPr="007162E7">
        <w:rPr>
          <w:rFonts w:ascii="Arial" w:eastAsia="Calibri" w:hAnsi="Arial" w:cs="Arial"/>
          <w:b/>
          <w:sz w:val="32"/>
          <w:szCs w:val="32"/>
        </w:rPr>
        <w:t>PONENCIA</w:t>
      </w:r>
    </w:p>
    <w:p w:rsidR="007162E7" w:rsidRPr="007162E7" w:rsidRDefault="007162E7" w:rsidP="007162E7">
      <w:pPr>
        <w:spacing w:after="0" w:line="360" w:lineRule="auto"/>
        <w:jc w:val="center"/>
        <w:rPr>
          <w:rFonts w:ascii="Arial" w:eastAsia="Calibri" w:hAnsi="Arial" w:cs="Arial"/>
          <w:b/>
          <w:sz w:val="32"/>
          <w:szCs w:val="32"/>
        </w:rPr>
      </w:pPr>
    </w:p>
    <w:p w:rsidR="007162E7" w:rsidRPr="007162E7" w:rsidRDefault="007162E7" w:rsidP="007162E7">
      <w:pPr>
        <w:spacing w:after="0" w:line="360" w:lineRule="auto"/>
        <w:jc w:val="center"/>
        <w:rPr>
          <w:rFonts w:ascii="Arial" w:eastAsia="Calibri" w:hAnsi="Arial" w:cs="Arial"/>
          <w:b/>
          <w:sz w:val="24"/>
          <w:szCs w:val="24"/>
        </w:rPr>
      </w:pPr>
      <w:r w:rsidRPr="007162E7">
        <w:rPr>
          <w:rFonts w:ascii="Arial" w:eastAsia="Calibri" w:hAnsi="Arial" w:cs="Arial"/>
          <w:b/>
          <w:sz w:val="24"/>
          <w:szCs w:val="24"/>
        </w:rPr>
        <w:t xml:space="preserve"> “XVII CONGRESO NACIONAL DE DERECHO PROCESAL GARANTISTA.  AZUL, PROVINCIA DE BUENOS AIRES, ARGENTINA”</w:t>
      </w:r>
    </w:p>
    <w:p w:rsidR="007162E7" w:rsidRPr="007162E7" w:rsidRDefault="007162E7" w:rsidP="007162E7">
      <w:pPr>
        <w:spacing w:after="0" w:line="360" w:lineRule="auto"/>
        <w:jc w:val="both"/>
        <w:rPr>
          <w:rFonts w:ascii="Arial" w:eastAsia="Calibri" w:hAnsi="Arial" w:cs="Arial"/>
          <w:b/>
          <w:sz w:val="24"/>
          <w:szCs w:val="24"/>
          <w:u w:val="single"/>
        </w:rPr>
      </w:pPr>
    </w:p>
    <w:p w:rsidR="007162E7" w:rsidRPr="007162E7" w:rsidRDefault="007162E7" w:rsidP="007162E7">
      <w:pPr>
        <w:spacing w:after="0" w:line="360" w:lineRule="auto"/>
        <w:jc w:val="both"/>
        <w:rPr>
          <w:rFonts w:ascii="Arial" w:eastAsia="Calibri" w:hAnsi="Arial" w:cs="Arial"/>
          <w:b/>
          <w:sz w:val="24"/>
          <w:szCs w:val="24"/>
          <w:u w:val="single"/>
        </w:rPr>
      </w:pPr>
      <w:r w:rsidRPr="007162E7">
        <w:rPr>
          <w:rFonts w:ascii="Arial" w:eastAsia="Calibri" w:hAnsi="Arial" w:cs="Arial"/>
          <w:b/>
          <w:sz w:val="24"/>
          <w:szCs w:val="24"/>
          <w:u w:val="single"/>
        </w:rPr>
        <w:t>Supuesto precedente y supuestos consecuentes a tener presentes al momento de excepcionar en el proceso civil.</w:t>
      </w:r>
    </w:p>
    <w:p w:rsidR="007162E7" w:rsidRPr="007162E7" w:rsidRDefault="007162E7" w:rsidP="007162E7">
      <w:pPr>
        <w:spacing w:after="0" w:line="360" w:lineRule="auto"/>
        <w:jc w:val="both"/>
        <w:rPr>
          <w:rFonts w:ascii="Arial" w:eastAsia="Calibri" w:hAnsi="Arial" w:cs="Arial"/>
          <w:b/>
          <w:sz w:val="24"/>
          <w:szCs w:val="24"/>
          <w:u w:val="single"/>
        </w:rPr>
      </w:pPr>
    </w:p>
    <w:p w:rsidR="007162E7" w:rsidRPr="007162E7" w:rsidRDefault="007162E7" w:rsidP="007162E7">
      <w:pPr>
        <w:spacing w:after="0" w:line="360" w:lineRule="auto"/>
        <w:jc w:val="right"/>
        <w:rPr>
          <w:rFonts w:ascii="Arial" w:eastAsia="Calibri" w:hAnsi="Arial" w:cs="Arial"/>
          <w:sz w:val="24"/>
          <w:szCs w:val="24"/>
        </w:rPr>
      </w:pPr>
      <w:r>
        <w:rPr>
          <w:rFonts w:ascii="Arial" w:eastAsia="Calibri" w:hAnsi="Arial" w:cs="Arial"/>
          <w:sz w:val="24"/>
          <w:szCs w:val="24"/>
        </w:rPr>
        <w:t>Augu</w:t>
      </w:r>
      <w:r w:rsidRPr="007162E7">
        <w:rPr>
          <w:rFonts w:ascii="Arial" w:eastAsia="Calibri" w:hAnsi="Arial" w:cs="Arial"/>
          <w:sz w:val="24"/>
          <w:szCs w:val="24"/>
        </w:rPr>
        <w:t xml:space="preserve">sto </w:t>
      </w:r>
      <w:proofErr w:type="spellStart"/>
      <w:r w:rsidRPr="007162E7">
        <w:rPr>
          <w:rFonts w:ascii="Arial" w:eastAsia="Calibri" w:hAnsi="Arial" w:cs="Arial"/>
          <w:sz w:val="24"/>
          <w:szCs w:val="24"/>
        </w:rPr>
        <w:t>Bidegain</w:t>
      </w:r>
      <w:proofErr w:type="spellEnd"/>
    </w:p>
    <w:p w:rsidR="007162E7" w:rsidRPr="007162E7" w:rsidRDefault="007162E7" w:rsidP="007162E7">
      <w:pPr>
        <w:spacing w:after="0" w:line="360" w:lineRule="auto"/>
        <w:jc w:val="both"/>
        <w:rPr>
          <w:rFonts w:ascii="Arial" w:eastAsia="Calibri" w:hAnsi="Arial" w:cs="Arial"/>
          <w:b/>
          <w:i/>
          <w:sz w:val="24"/>
          <w:szCs w:val="24"/>
        </w:rPr>
      </w:pPr>
      <w:r w:rsidRPr="007162E7">
        <w:rPr>
          <w:rFonts w:ascii="Arial" w:eastAsia="Calibri" w:hAnsi="Arial" w:cs="Arial"/>
          <w:sz w:val="24"/>
          <w:szCs w:val="24"/>
        </w:rPr>
        <w:t xml:space="preserve">1.- </w:t>
      </w:r>
      <w:r w:rsidRPr="007162E7">
        <w:rPr>
          <w:rFonts w:ascii="Arial" w:eastAsia="Calibri" w:hAnsi="Arial" w:cs="Arial"/>
          <w:b/>
          <w:i/>
          <w:sz w:val="24"/>
          <w:szCs w:val="24"/>
        </w:rPr>
        <w:t>Introducción</w:t>
      </w:r>
    </w:p>
    <w:p w:rsidR="007162E7" w:rsidRPr="007162E7" w:rsidRDefault="007162E7" w:rsidP="007162E7">
      <w:pPr>
        <w:spacing w:after="0" w:line="360" w:lineRule="auto"/>
        <w:jc w:val="both"/>
        <w:rPr>
          <w:rFonts w:ascii="Arial" w:eastAsia="Calibri" w:hAnsi="Arial" w:cs="Arial"/>
          <w:b/>
          <w:i/>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La realización de un constructo</w:t>
      </w:r>
      <w:r w:rsidRPr="007162E7">
        <w:rPr>
          <w:rFonts w:ascii="Arial" w:eastAsia="Calibri" w:hAnsi="Arial" w:cs="Arial"/>
          <w:sz w:val="24"/>
          <w:szCs w:val="24"/>
          <w:vertAlign w:val="superscript"/>
        </w:rPr>
        <w:footnoteReference w:id="1"/>
      </w:r>
      <w:r w:rsidRPr="007162E7">
        <w:rPr>
          <w:rFonts w:ascii="Arial" w:eastAsia="Calibri" w:hAnsi="Arial" w:cs="Arial"/>
          <w:sz w:val="24"/>
          <w:szCs w:val="24"/>
        </w:rPr>
        <w:t xml:space="preserve"> sobre el tema en tratamiento seguramente remonta a los noveles letrados a las enseñanzas de su época estudiantil con rápida remisión al articulado del Código Procesal Civil y Comercial vigente en su ámbito de actuación, mientras que, a los más experimentados, consciente o inconscientemente –casi como algo que viene incorporado naturalmente- les revive esa sabid</w:t>
      </w:r>
      <w:r>
        <w:rPr>
          <w:rFonts w:ascii="Arial" w:eastAsia="Calibri" w:hAnsi="Arial" w:cs="Arial"/>
          <w:sz w:val="24"/>
          <w:szCs w:val="24"/>
        </w:rPr>
        <w:t>uría proveniente de la praxis pero rápidamente los vincula</w:t>
      </w:r>
      <w:r w:rsidRPr="007162E7">
        <w:rPr>
          <w:rFonts w:ascii="Arial" w:eastAsia="Calibri" w:hAnsi="Arial" w:cs="Arial"/>
          <w:sz w:val="24"/>
          <w:szCs w:val="24"/>
        </w:rPr>
        <w:t>, también, con la normativa correspondiente.</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La pregunta se impone. Por caso ¿existe un adecuado tratamiento en la formación universitaria y en la doctrina autoral respecto a la condición previa y a las condiciones posteriores que deben considerarse al instante de excepcionar en el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Congruente con la afirmación realizada en el primer párrafo, sostengo que la respuesta es negativa.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Tengo para mí que existe un gran déficit de formación universitaria provocada por la enseñanza proveniente de la clásica doctrina especializada que proporciona una parcializada aprehensión del fenómeno, y que con el pasar del tiempo en el ejercicio de la profesión se arraiga y automatiza sin volver –en la mayoría de los casos y por múltiples causas- a reconsiderarse para comprenderse acabadamente y ejercitarse con sutileza.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Por esta razón, este discurso pretende poner en crisis la cuestión y repensarla para que el acto de excepcionar en el proceso civil se vuelva plenamente consciente y encuentre su porqué y para qué, que sea eficaz y eficiente.</w:t>
      </w:r>
      <w:r w:rsidRPr="007162E7">
        <w:rPr>
          <w:rFonts w:ascii="Arial" w:eastAsia="Calibri" w:hAnsi="Arial" w:cs="Arial"/>
          <w:sz w:val="24"/>
          <w:szCs w:val="24"/>
          <w:vertAlign w:val="superscript"/>
        </w:rPr>
        <w:footnoteReference w:id="2"/>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jc w:val="both"/>
        <w:rPr>
          <w:rFonts w:ascii="Arial" w:eastAsia="Calibri" w:hAnsi="Arial" w:cs="Arial"/>
          <w:b/>
          <w:i/>
          <w:sz w:val="24"/>
          <w:szCs w:val="24"/>
        </w:rPr>
      </w:pPr>
      <w:r w:rsidRPr="007162E7">
        <w:rPr>
          <w:rFonts w:ascii="Arial" w:eastAsia="Calibri" w:hAnsi="Arial" w:cs="Arial"/>
          <w:sz w:val="24"/>
          <w:szCs w:val="24"/>
        </w:rPr>
        <w:t xml:space="preserve">2.- </w:t>
      </w:r>
      <w:r w:rsidRPr="007162E7">
        <w:rPr>
          <w:rFonts w:ascii="Arial" w:eastAsia="Calibri" w:hAnsi="Arial" w:cs="Arial"/>
          <w:b/>
          <w:i/>
          <w:sz w:val="24"/>
          <w:szCs w:val="24"/>
        </w:rPr>
        <w:t>El proceso judicial garantista</w:t>
      </w:r>
    </w:p>
    <w:p w:rsidR="007162E7" w:rsidRPr="007162E7" w:rsidRDefault="007162E7" w:rsidP="007162E7">
      <w:pPr>
        <w:spacing w:after="0" w:line="360" w:lineRule="auto"/>
        <w:jc w:val="both"/>
        <w:rPr>
          <w:rFonts w:ascii="Arial" w:eastAsia="Calibri" w:hAnsi="Arial" w:cs="Arial"/>
          <w:b/>
          <w:i/>
          <w:sz w:val="24"/>
          <w:szCs w:val="24"/>
        </w:rPr>
      </w:pP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b/>
          <w:i/>
          <w:sz w:val="24"/>
          <w:szCs w:val="24"/>
        </w:rPr>
        <w:tab/>
      </w:r>
      <w:r w:rsidRPr="007162E7">
        <w:rPr>
          <w:rFonts w:ascii="Arial" w:eastAsia="Calibri" w:hAnsi="Arial" w:cs="Arial"/>
          <w:sz w:val="24"/>
          <w:szCs w:val="24"/>
        </w:rPr>
        <w:t xml:space="preserve">Antes de introducirse de lleno en el plano que convoca debe hacerse una breve referencia al </w:t>
      </w:r>
      <w:r w:rsidRPr="007162E7">
        <w:rPr>
          <w:rFonts w:ascii="Arial" w:eastAsia="Calibri" w:hAnsi="Arial" w:cs="Arial"/>
          <w:i/>
          <w:sz w:val="24"/>
          <w:szCs w:val="24"/>
        </w:rPr>
        <w:t xml:space="preserve">proceso judicial </w:t>
      </w:r>
      <w:r w:rsidRPr="007162E7">
        <w:rPr>
          <w:rFonts w:ascii="Arial" w:eastAsia="Calibri" w:hAnsi="Arial" w:cs="Arial"/>
          <w:sz w:val="24"/>
          <w:szCs w:val="24"/>
        </w:rPr>
        <w:t>para ubicarse en él y luego sí puntualizar en la excepción procesal.</w:t>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Esta breve explicación obliga a realizar algunas aclaraciones introductorias. Desde ya, mi formación en Derecho Procesal es el puntapié inicial pues el entendimiento del proceso judicial posee impronta singular si se mira desde la óptica garantista.</w:t>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Yo soy garantista.</w:t>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 xml:space="preserve">Ahora bien, adherir a esta postura implica, como afirma Adolfo Alvarado Velloso, ser conteste con </w:t>
      </w:r>
      <w:r w:rsidRPr="007162E7">
        <w:rPr>
          <w:rFonts w:ascii="Arial" w:eastAsia="Calibri" w:hAnsi="Arial" w:cs="Arial"/>
          <w:i/>
          <w:sz w:val="24"/>
          <w:szCs w:val="24"/>
        </w:rPr>
        <w:t xml:space="preserve">“(…) una línea doctrinal aferrada al mantenimiento de una estricta vigencia de la Constitución, y con ella, del orden legal vigente en el Estado en tanto ese orden se adecue en plenitud con las normas programáticas de esa misma constitución.” </w:t>
      </w:r>
      <w:r w:rsidRPr="007162E7">
        <w:rPr>
          <w:rFonts w:ascii="Arial" w:eastAsia="Calibri" w:hAnsi="Arial" w:cs="Arial"/>
          <w:sz w:val="24"/>
          <w:szCs w:val="24"/>
          <w:vertAlign w:val="superscript"/>
        </w:rPr>
        <w:footnoteReference w:id="3"/>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i/>
          <w:sz w:val="24"/>
          <w:szCs w:val="24"/>
        </w:rPr>
        <w:t xml:space="preserve">“En otras palabras: los autores así enrolados no buscan un juez comprometido con persona, idea o cosa distinta de la Constitución, sino a un juez que se empeñe en respetar y hacer respetar a todo trance las garantías constitucionales.” </w:t>
      </w:r>
      <w:r w:rsidRPr="007162E7">
        <w:rPr>
          <w:rFonts w:ascii="Arial" w:eastAsia="Calibri" w:hAnsi="Arial" w:cs="Arial"/>
          <w:sz w:val="24"/>
          <w:szCs w:val="24"/>
          <w:vertAlign w:val="superscript"/>
        </w:rPr>
        <w:footnoteReference w:id="4"/>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i/>
          <w:sz w:val="24"/>
          <w:szCs w:val="24"/>
        </w:rPr>
        <w:lastRenderedPageBreak/>
        <w:t xml:space="preserve">“(…) La voz garantista o su sucedáneo garantizador proviene del subtítulo que Luigi </w:t>
      </w:r>
      <w:proofErr w:type="spellStart"/>
      <w:r w:rsidRPr="007162E7">
        <w:rPr>
          <w:rFonts w:ascii="Arial" w:eastAsia="Calibri" w:hAnsi="Arial" w:cs="Arial"/>
          <w:i/>
          <w:sz w:val="24"/>
          <w:szCs w:val="24"/>
        </w:rPr>
        <w:t>Ferrrajoli</w:t>
      </w:r>
      <w:proofErr w:type="spellEnd"/>
      <w:r w:rsidRPr="007162E7">
        <w:rPr>
          <w:rFonts w:ascii="Arial" w:eastAsia="Calibri" w:hAnsi="Arial" w:cs="Arial"/>
          <w:i/>
          <w:sz w:val="24"/>
          <w:szCs w:val="24"/>
        </w:rPr>
        <w:t xml:space="preserve"> puso a su magnífica obra Derecho y Razón y quiere significar que, por encima de la ley con minúscula, está siempre la Ley con mayúscula (la Constitución).” </w:t>
      </w:r>
      <w:r w:rsidRPr="007162E7">
        <w:rPr>
          <w:rFonts w:ascii="Arial" w:eastAsia="Calibri" w:hAnsi="Arial" w:cs="Arial"/>
          <w:sz w:val="24"/>
          <w:szCs w:val="24"/>
          <w:vertAlign w:val="superscript"/>
        </w:rPr>
        <w:footnoteReference w:id="5"/>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Como puede percibirse, enrolarse en esta corriente de pensamiento tiene sus consecuencias en procura de la efectiva libertad e igualdad de las partes. </w:t>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 xml:space="preserve">Siempre que tengo la posibilidad de expresarme al respecto, me gusta reivindicar el concepto de proceso judicial elaborado por Adolfo Alvarado Velloso que encuentra su génesis en la definición proporcionada por el jurista mexicano Humberto Briseño </w:t>
      </w:r>
      <w:proofErr w:type="spellStart"/>
      <w:r w:rsidRPr="007162E7">
        <w:rPr>
          <w:rFonts w:ascii="Arial" w:eastAsia="Calibri" w:hAnsi="Arial" w:cs="Arial"/>
          <w:sz w:val="24"/>
          <w:szCs w:val="24"/>
        </w:rPr>
        <w:t>Sierrra</w:t>
      </w:r>
      <w:proofErr w:type="spellEnd"/>
      <w:r w:rsidRPr="007162E7">
        <w:rPr>
          <w:rFonts w:ascii="Arial" w:eastAsia="Calibri" w:hAnsi="Arial" w:cs="Arial"/>
          <w:sz w:val="24"/>
          <w:szCs w:val="24"/>
        </w:rPr>
        <w:t>.</w:t>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 xml:space="preserve">Lo que me resulta más llamativo, es que no se intenta </w:t>
      </w:r>
      <w:r w:rsidRPr="007162E7">
        <w:rPr>
          <w:rFonts w:ascii="Arial" w:eastAsia="Calibri" w:hAnsi="Arial" w:cs="Arial"/>
          <w:i/>
          <w:sz w:val="24"/>
          <w:szCs w:val="24"/>
        </w:rPr>
        <w:t>“(…) expresar algo sobre el proceso, que sea simultáneamente aplicable a otro fenómeno (…).”</w:t>
      </w:r>
      <w:r w:rsidRPr="007162E7">
        <w:rPr>
          <w:rFonts w:ascii="Arial" w:eastAsia="Calibri" w:hAnsi="Arial" w:cs="Arial"/>
          <w:sz w:val="24"/>
          <w:szCs w:val="24"/>
        </w:rPr>
        <w:t xml:space="preserve"> </w:t>
      </w:r>
      <w:r w:rsidRPr="007162E7">
        <w:rPr>
          <w:rFonts w:ascii="Arial" w:eastAsia="Calibri" w:hAnsi="Arial" w:cs="Arial"/>
          <w:sz w:val="24"/>
          <w:szCs w:val="24"/>
          <w:vertAlign w:val="superscript"/>
        </w:rPr>
        <w:footnoteReference w:id="6"/>
      </w:r>
      <w:r w:rsidRPr="007162E7">
        <w:rPr>
          <w:rFonts w:ascii="Arial" w:eastAsia="Calibri" w:hAnsi="Arial" w:cs="Arial"/>
          <w:sz w:val="24"/>
          <w:szCs w:val="24"/>
        </w:rPr>
        <w:t xml:space="preserve"> Al contrario, lo que hacen es </w:t>
      </w:r>
      <w:r w:rsidRPr="007162E7">
        <w:rPr>
          <w:rFonts w:ascii="Arial" w:eastAsia="Calibri" w:hAnsi="Arial" w:cs="Arial"/>
          <w:i/>
          <w:sz w:val="24"/>
          <w:szCs w:val="24"/>
        </w:rPr>
        <w:t xml:space="preserve">“(…) dirigir su atención a un fenómeno de hoy y de siempre (…) buscar lo absoluto. Lo a priori. Nada ha de quedar de las reglas técnicas, políticas ni </w:t>
      </w:r>
      <w:proofErr w:type="spellStart"/>
      <w:r w:rsidRPr="007162E7">
        <w:rPr>
          <w:rFonts w:ascii="Arial" w:eastAsia="Calibri" w:hAnsi="Arial" w:cs="Arial"/>
          <w:i/>
          <w:sz w:val="24"/>
          <w:szCs w:val="24"/>
        </w:rPr>
        <w:t>modulatorias</w:t>
      </w:r>
      <w:proofErr w:type="spellEnd"/>
      <w:r w:rsidRPr="007162E7">
        <w:rPr>
          <w:rFonts w:ascii="Arial" w:eastAsia="Calibri" w:hAnsi="Arial" w:cs="Arial"/>
          <w:i/>
          <w:sz w:val="24"/>
          <w:szCs w:val="24"/>
        </w:rPr>
        <w:t xml:space="preserve">, tan solo lo esencial, lo que da la sustancia misma del proceso.” </w:t>
      </w:r>
      <w:r w:rsidRPr="007162E7">
        <w:rPr>
          <w:rFonts w:ascii="Arial" w:eastAsia="Calibri" w:hAnsi="Arial" w:cs="Arial"/>
          <w:sz w:val="24"/>
          <w:szCs w:val="24"/>
          <w:vertAlign w:val="superscript"/>
        </w:rPr>
        <w:footnoteReference w:id="7"/>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 xml:space="preserve">De esta manera, para el profesor mexicano </w:t>
      </w:r>
      <w:r w:rsidRPr="007162E7">
        <w:rPr>
          <w:rFonts w:ascii="Arial" w:eastAsia="Calibri" w:hAnsi="Arial" w:cs="Arial"/>
          <w:i/>
          <w:sz w:val="24"/>
          <w:szCs w:val="24"/>
        </w:rPr>
        <w:t xml:space="preserve">“el proceso es (…) una serie de actos proyectivos.” </w:t>
      </w:r>
      <w:r w:rsidRPr="007162E7">
        <w:rPr>
          <w:rFonts w:ascii="Arial" w:eastAsia="Calibri" w:hAnsi="Arial" w:cs="Arial"/>
          <w:i/>
          <w:sz w:val="24"/>
          <w:szCs w:val="24"/>
          <w:vertAlign w:val="superscript"/>
        </w:rPr>
        <w:footnoteReference w:id="8"/>
      </w:r>
    </w:p>
    <w:p w:rsidR="007162E7" w:rsidRPr="007162E7" w:rsidRDefault="007162E7" w:rsidP="007162E7">
      <w:pPr>
        <w:spacing w:after="0" w:line="360" w:lineRule="auto"/>
        <w:jc w:val="both"/>
        <w:rPr>
          <w:rFonts w:ascii="Arial" w:eastAsia="Calibri" w:hAnsi="Arial" w:cs="Arial"/>
          <w:i/>
          <w:sz w:val="24"/>
          <w:szCs w:val="24"/>
        </w:rPr>
      </w:pPr>
      <w:r w:rsidRPr="007162E7">
        <w:rPr>
          <w:rFonts w:ascii="Arial" w:eastAsia="Calibri" w:hAnsi="Arial" w:cs="Arial"/>
          <w:sz w:val="24"/>
          <w:szCs w:val="24"/>
        </w:rPr>
        <w:tab/>
        <w:t xml:space="preserve">Y se explaya: </w:t>
      </w:r>
      <w:r w:rsidRPr="007162E7">
        <w:rPr>
          <w:rFonts w:ascii="Arial" w:eastAsia="Calibri" w:hAnsi="Arial" w:cs="Arial"/>
          <w:i/>
          <w:sz w:val="24"/>
          <w:szCs w:val="24"/>
        </w:rPr>
        <w:t xml:space="preserve">“El proceso es un compuesto, luego su determinación viene de los elementos que le integran y de la manera que lo hacen: su estructura.” </w:t>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i/>
          <w:sz w:val="24"/>
          <w:szCs w:val="24"/>
        </w:rPr>
        <w:t xml:space="preserve">“Los elementos son: los actos proyectivos. La estructura: la serie.” </w:t>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i/>
          <w:sz w:val="24"/>
          <w:szCs w:val="24"/>
        </w:rPr>
        <w:t xml:space="preserve"> “(…) Podría decirse que lo único nuevo es la tecnificación del vocablo proyectivo (…)” el cual “(…) alude a la instancia única que, partiendo de un sujeto, llega hasta otro a través de un tercero.” </w:t>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i/>
          <w:sz w:val="24"/>
          <w:szCs w:val="24"/>
        </w:rPr>
        <w:t xml:space="preserve">“(…) cuando se conectan los términos: actos, de significación común, serie de significación corriente, y proyectivos de sentido técnico convenido arbitraria pero verificablemente, el producto es una definición que tiende a abarcar cuanto fenómeno pueda recibir la denominación de proceso. Sólo proceso, ni más ni menos.” </w:t>
      </w:r>
      <w:r w:rsidRPr="007162E7">
        <w:rPr>
          <w:rFonts w:ascii="Arial" w:eastAsia="Calibri" w:hAnsi="Arial" w:cs="Arial"/>
          <w:sz w:val="24"/>
          <w:szCs w:val="24"/>
          <w:vertAlign w:val="superscript"/>
        </w:rPr>
        <w:footnoteReference w:id="9"/>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Como bien anticipé, el maestro argentino se basó en la definición dada por Briseño Sierra y elaboró la suya.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Bien así, para él </w:t>
      </w:r>
      <w:r w:rsidRPr="007162E7">
        <w:rPr>
          <w:rFonts w:ascii="Arial" w:eastAsia="Calibri" w:hAnsi="Arial" w:cs="Arial"/>
          <w:i/>
          <w:sz w:val="24"/>
          <w:szCs w:val="24"/>
        </w:rPr>
        <w:t xml:space="preserve">“(…) el proceso no es otra cosa que una serie lógica y consecuencial de instancias bilaterales conectadas entre sí por la autoridad (juez o árbitro).” </w:t>
      </w:r>
      <w:r w:rsidRPr="007162E7">
        <w:rPr>
          <w:rFonts w:ascii="Arial" w:eastAsia="Calibri" w:hAnsi="Arial" w:cs="Arial"/>
          <w:sz w:val="24"/>
          <w:szCs w:val="24"/>
          <w:vertAlign w:val="superscript"/>
        </w:rPr>
        <w:footnoteReference w:id="10"/>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t xml:space="preserve">Adviértase: 1.- lo lógico de la serie coloca cada cosa en su lugar de manera inalterable. Es decir, </w:t>
      </w:r>
      <w:r w:rsidRPr="007162E7">
        <w:rPr>
          <w:rFonts w:ascii="Arial" w:eastAsia="Calibri" w:hAnsi="Arial" w:cs="Arial"/>
          <w:i/>
          <w:sz w:val="24"/>
          <w:szCs w:val="24"/>
        </w:rPr>
        <w:t xml:space="preserve">“lo lógico de la serie procesal es su propia composición, ya que siempre habrá de exhibir cuatro fases (ni más, ni menos) en el siguiente orden: afirmación – negación – confirmación – alegación” </w:t>
      </w:r>
      <w:r w:rsidRPr="007162E7">
        <w:rPr>
          <w:rFonts w:ascii="Arial" w:eastAsia="Calibri" w:hAnsi="Arial" w:cs="Arial"/>
          <w:sz w:val="24"/>
          <w:szCs w:val="24"/>
          <w:vertAlign w:val="superscript"/>
        </w:rPr>
        <w:footnoteReference w:id="11"/>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i/>
          <w:sz w:val="24"/>
          <w:szCs w:val="24"/>
        </w:rPr>
        <w:tab/>
      </w:r>
      <w:r w:rsidRPr="007162E7">
        <w:rPr>
          <w:rFonts w:ascii="Arial" w:eastAsia="Calibri" w:hAnsi="Arial" w:cs="Arial"/>
          <w:i/>
          <w:sz w:val="24"/>
          <w:szCs w:val="24"/>
        </w:rPr>
        <w:tab/>
      </w:r>
      <w:r w:rsidRPr="007162E7">
        <w:rPr>
          <w:rFonts w:ascii="Arial" w:eastAsia="Calibri" w:hAnsi="Arial" w:cs="Arial"/>
          <w:i/>
          <w:sz w:val="24"/>
          <w:szCs w:val="24"/>
        </w:rPr>
        <w:tab/>
      </w:r>
      <w:r w:rsidRPr="007162E7">
        <w:rPr>
          <w:rFonts w:ascii="Arial" w:eastAsia="Calibri" w:hAnsi="Arial" w:cs="Arial"/>
          <w:sz w:val="24"/>
          <w:szCs w:val="24"/>
        </w:rPr>
        <w:t xml:space="preserve">2.- lo consecuencial </w:t>
      </w:r>
      <w:r w:rsidRPr="007162E7">
        <w:rPr>
          <w:rFonts w:ascii="Arial" w:eastAsia="Calibri" w:hAnsi="Arial" w:cs="Arial"/>
          <w:i/>
          <w:sz w:val="24"/>
          <w:szCs w:val="24"/>
        </w:rPr>
        <w:t>“significa que debe respetarse un orden dado de cierto número de elementos que exhiben la particular característica de ser cada uno el precedente lógico del que le sigue y, a la inversa, de ser cada uno el consecuente lógico del que le precede”</w:t>
      </w:r>
      <w:r w:rsidRPr="007162E7">
        <w:rPr>
          <w:rFonts w:ascii="Arial" w:eastAsia="Calibri" w:hAnsi="Arial" w:cs="Arial"/>
          <w:sz w:val="24"/>
          <w:szCs w:val="24"/>
        </w:rPr>
        <w:t xml:space="preserve"> </w:t>
      </w:r>
      <w:r w:rsidRPr="007162E7">
        <w:rPr>
          <w:rFonts w:ascii="Arial" w:eastAsia="Calibri" w:hAnsi="Arial" w:cs="Arial"/>
          <w:sz w:val="24"/>
          <w:szCs w:val="24"/>
          <w:vertAlign w:val="superscript"/>
        </w:rPr>
        <w:footnoteReference w:id="12"/>
      </w:r>
    </w:p>
    <w:p w:rsidR="007162E7" w:rsidRPr="007162E7" w:rsidRDefault="007162E7" w:rsidP="007162E7">
      <w:pPr>
        <w:spacing w:after="0" w:line="360" w:lineRule="auto"/>
        <w:jc w:val="both"/>
        <w:rPr>
          <w:rFonts w:ascii="Arial" w:eastAsia="Calibri" w:hAnsi="Arial" w:cs="Arial"/>
          <w:sz w:val="24"/>
          <w:szCs w:val="24"/>
        </w:rPr>
      </w:pPr>
      <w:r w:rsidRPr="007162E7">
        <w:rPr>
          <w:rFonts w:ascii="Arial" w:eastAsia="Calibri" w:hAnsi="Arial" w:cs="Arial"/>
          <w:sz w:val="24"/>
          <w:szCs w:val="24"/>
        </w:rPr>
        <w:tab/>
      </w:r>
      <w:r w:rsidRPr="007162E7">
        <w:rPr>
          <w:rFonts w:ascii="Arial" w:eastAsia="Calibri" w:hAnsi="Arial" w:cs="Arial"/>
          <w:sz w:val="24"/>
          <w:szCs w:val="24"/>
        </w:rPr>
        <w:tab/>
      </w:r>
      <w:r w:rsidRPr="007162E7">
        <w:rPr>
          <w:rFonts w:ascii="Arial" w:eastAsia="Calibri" w:hAnsi="Arial" w:cs="Arial"/>
          <w:sz w:val="24"/>
          <w:szCs w:val="24"/>
        </w:rPr>
        <w:tab/>
        <w:t xml:space="preserve">3.- y la bilateralidad supone el conocimiento absoluto de lo realizado por una parte a la otra gracias al trabajo conector del mandante –actividad de procesar con cualidad de imparcial, </w:t>
      </w:r>
      <w:proofErr w:type="spellStart"/>
      <w:r w:rsidRPr="007162E7">
        <w:rPr>
          <w:rFonts w:ascii="Arial" w:eastAsia="Calibri" w:hAnsi="Arial" w:cs="Arial"/>
          <w:sz w:val="24"/>
          <w:szCs w:val="24"/>
        </w:rPr>
        <w:t>impartial</w:t>
      </w:r>
      <w:proofErr w:type="spellEnd"/>
      <w:r w:rsidRPr="007162E7">
        <w:rPr>
          <w:rFonts w:ascii="Arial" w:eastAsia="Calibri" w:hAnsi="Arial" w:cs="Arial"/>
          <w:sz w:val="24"/>
          <w:szCs w:val="24"/>
        </w:rPr>
        <w:t xml:space="preserve"> e </w:t>
      </w:r>
      <w:proofErr w:type="spellStart"/>
      <w:r w:rsidRPr="007162E7">
        <w:rPr>
          <w:rFonts w:ascii="Arial" w:eastAsia="Calibri" w:hAnsi="Arial" w:cs="Arial"/>
          <w:sz w:val="24"/>
          <w:szCs w:val="24"/>
        </w:rPr>
        <w:t>independente</w:t>
      </w:r>
      <w:proofErr w:type="spellEnd"/>
      <w:r w:rsidRPr="007162E7">
        <w:rPr>
          <w:rFonts w:ascii="Arial" w:eastAsia="Calibri" w:hAnsi="Arial" w:cs="Arial"/>
          <w:sz w:val="24"/>
          <w:szCs w:val="24"/>
        </w:rPr>
        <w:t>-, con el fin de que cada cual se defienda oportunamente – garantía del derecho de defensa y del principio de igualdad procesal-.</w:t>
      </w:r>
      <w:r w:rsidRPr="007162E7">
        <w:rPr>
          <w:rFonts w:ascii="Arial" w:eastAsia="Calibri" w:hAnsi="Arial" w:cs="Arial"/>
          <w:sz w:val="24"/>
          <w:szCs w:val="24"/>
        </w:rPr>
        <w:tab/>
      </w:r>
    </w:p>
    <w:p w:rsidR="007162E7" w:rsidRPr="007162E7" w:rsidRDefault="007162E7" w:rsidP="007162E7">
      <w:pPr>
        <w:spacing w:after="0" w:line="360" w:lineRule="auto"/>
        <w:jc w:val="both"/>
        <w:rPr>
          <w:rFonts w:ascii="Arial" w:eastAsia="Calibri" w:hAnsi="Arial" w:cs="Arial"/>
          <w:i/>
          <w:sz w:val="24"/>
          <w:szCs w:val="24"/>
        </w:rPr>
      </w:pPr>
      <w:r w:rsidRPr="007162E7">
        <w:rPr>
          <w:rFonts w:ascii="Arial" w:eastAsia="Calibri" w:hAnsi="Arial" w:cs="Arial"/>
          <w:sz w:val="24"/>
          <w:szCs w:val="24"/>
        </w:rPr>
        <w:tab/>
        <w:t xml:space="preserve">Finalmente, y dada la extensión del trabajo, concluimos esta sintética exposición sobre proceso judicial resaltando que este método de debate pacífico y dialéctico entre dos partes antagónicas ubicadas cada una en perfecto pie de igualdad frente a la otra y conectadas por la autoridad en calidad de tercero imparcial, </w:t>
      </w:r>
      <w:proofErr w:type="spellStart"/>
      <w:r w:rsidRPr="007162E7">
        <w:rPr>
          <w:rFonts w:ascii="Arial" w:eastAsia="Calibri" w:hAnsi="Arial" w:cs="Arial"/>
          <w:sz w:val="24"/>
          <w:szCs w:val="24"/>
        </w:rPr>
        <w:t>impartial</w:t>
      </w:r>
      <w:proofErr w:type="spellEnd"/>
      <w:r w:rsidRPr="007162E7">
        <w:rPr>
          <w:rFonts w:ascii="Arial" w:eastAsia="Calibri" w:hAnsi="Arial" w:cs="Arial"/>
          <w:sz w:val="24"/>
          <w:szCs w:val="24"/>
        </w:rPr>
        <w:t xml:space="preserve"> e independiente, encuadra perfecto en un sistema de enjuiciamiento acusatorio / dispositivo y lleva inherente cinco principios – solo cinco y nada más que no deben confundirse con las reglas técnicas del debate procesal- sin los cuáles no puede existir el proceso judicial tal como lo concebimos. Ellos son: </w:t>
      </w:r>
      <w:r w:rsidRPr="007162E7">
        <w:rPr>
          <w:rFonts w:ascii="Arial" w:eastAsia="Calibri" w:hAnsi="Arial" w:cs="Arial"/>
          <w:i/>
          <w:sz w:val="24"/>
          <w:szCs w:val="24"/>
        </w:rPr>
        <w:t>1.- igualdad de las partes litigantes 2.- imparcialidad del juzgador 3.- transitorieda</w:t>
      </w:r>
      <w:r>
        <w:rPr>
          <w:rFonts w:ascii="Arial" w:eastAsia="Calibri" w:hAnsi="Arial" w:cs="Arial"/>
          <w:i/>
          <w:sz w:val="24"/>
          <w:szCs w:val="24"/>
        </w:rPr>
        <w:t>d del proceso 4.- eficacia</w:t>
      </w:r>
      <w:r w:rsidRPr="007162E7">
        <w:rPr>
          <w:rFonts w:ascii="Arial" w:eastAsia="Calibri" w:hAnsi="Arial" w:cs="Arial"/>
          <w:i/>
          <w:sz w:val="24"/>
          <w:szCs w:val="24"/>
        </w:rPr>
        <w:t xml:space="preserve"> de la serie procedimental, y 5.- moralidad del debate.</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Aclarar la postura adoptada y lo que según ella es el proceso judicial resulta fundamental para poder entender el particular tema de análisis. Continúo.</w:t>
      </w:r>
    </w:p>
    <w:p w:rsidR="007162E7" w:rsidRPr="007162E7" w:rsidRDefault="007162E7" w:rsidP="007162E7">
      <w:pPr>
        <w:spacing w:after="0" w:line="360" w:lineRule="auto"/>
        <w:jc w:val="both"/>
        <w:rPr>
          <w:rFonts w:ascii="Arial" w:eastAsia="Calibri" w:hAnsi="Arial" w:cs="Arial"/>
          <w:b/>
          <w:i/>
          <w:sz w:val="24"/>
          <w:szCs w:val="24"/>
        </w:rPr>
      </w:pPr>
      <w:r w:rsidRPr="007162E7">
        <w:rPr>
          <w:rFonts w:ascii="Arial" w:eastAsia="Calibri" w:hAnsi="Arial" w:cs="Arial"/>
          <w:sz w:val="24"/>
          <w:szCs w:val="24"/>
        </w:rPr>
        <w:lastRenderedPageBreak/>
        <w:t xml:space="preserve">3.- </w:t>
      </w:r>
      <w:r w:rsidRPr="007162E7">
        <w:rPr>
          <w:rFonts w:ascii="Arial" w:eastAsia="Calibri" w:hAnsi="Arial" w:cs="Arial"/>
          <w:b/>
          <w:i/>
          <w:sz w:val="24"/>
          <w:szCs w:val="24"/>
        </w:rPr>
        <w:t>Las condiciones del proceso</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Antes de adentrarnos en el tratamiento de la condición antecedente y de las condiciones siguientes de la excepción procesal deviene necesario referirse a las condiciones del proceso en general.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Particularmente me gusta el término </w:t>
      </w:r>
      <w:r w:rsidRPr="007162E7">
        <w:rPr>
          <w:rFonts w:ascii="Arial" w:eastAsia="Calibri" w:hAnsi="Arial" w:cs="Arial"/>
          <w:i/>
          <w:sz w:val="24"/>
          <w:szCs w:val="24"/>
        </w:rPr>
        <w:t xml:space="preserve">condiciones </w:t>
      </w:r>
      <w:r w:rsidRPr="007162E7">
        <w:rPr>
          <w:rFonts w:ascii="Arial" w:eastAsia="Calibri" w:hAnsi="Arial" w:cs="Arial"/>
          <w:sz w:val="24"/>
          <w:szCs w:val="24"/>
        </w:rPr>
        <w:t xml:space="preserve">porque la denominación </w:t>
      </w:r>
      <w:r w:rsidRPr="007162E7">
        <w:rPr>
          <w:rFonts w:ascii="Arial" w:eastAsia="Calibri" w:hAnsi="Arial" w:cs="Arial"/>
          <w:i/>
          <w:sz w:val="24"/>
          <w:szCs w:val="24"/>
        </w:rPr>
        <w:t>pre-supuestos</w:t>
      </w:r>
      <w:r w:rsidRPr="007162E7">
        <w:rPr>
          <w:rFonts w:ascii="Arial" w:eastAsia="Calibri" w:hAnsi="Arial" w:cs="Arial"/>
          <w:sz w:val="24"/>
          <w:szCs w:val="24"/>
        </w:rPr>
        <w:t xml:space="preserve"> dirige el pensamiento hacia cuestiones solo precedentes y ello puede parcializar la visión del tema y tender al alejamiento de lo que aquí pretende explicarse. Por eso, se utilizará el término condiciones a fin de no sesgar la explicación.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Es dable destacar la complejidad que se presenta a la hora del estudio del tema producto de la falta de acuerdo doctrinario en su concepción. Por esta razón, pasar brevemente revista por algunos de los autores clásicos viene muy bien a fin de percibir lo antedicho.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Previo, estimo adecuado comenzar con la definición dada por la Real Academia Española. Así, el vocablo condición en su quinta acepción significa </w:t>
      </w:r>
      <w:r w:rsidRPr="007162E7">
        <w:rPr>
          <w:rFonts w:ascii="Arial" w:eastAsia="Calibri" w:hAnsi="Arial" w:cs="Arial"/>
          <w:i/>
          <w:sz w:val="24"/>
          <w:szCs w:val="24"/>
        </w:rPr>
        <w:t xml:space="preserve">“f. Situación o circunstancia indispensable para la existencia de otra.” </w:t>
      </w:r>
      <w:r w:rsidRPr="007162E7">
        <w:rPr>
          <w:rFonts w:ascii="Arial" w:eastAsia="Calibri" w:hAnsi="Arial" w:cs="Arial"/>
          <w:sz w:val="24"/>
          <w:szCs w:val="24"/>
          <w:vertAlign w:val="superscript"/>
        </w:rPr>
        <w:footnoteReference w:id="13"/>
      </w:r>
      <w:r w:rsidRPr="007162E7">
        <w:rPr>
          <w:rFonts w:ascii="Arial" w:eastAsia="Calibri" w:hAnsi="Arial" w:cs="Arial"/>
          <w:sz w:val="24"/>
          <w:szCs w:val="24"/>
        </w:rPr>
        <w:t xml:space="preserve">; mientras que la expresión presupuesto en su primera acepción quiere decir: </w:t>
      </w:r>
      <w:r w:rsidRPr="007162E7">
        <w:rPr>
          <w:rFonts w:ascii="Arial" w:eastAsia="Calibri" w:hAnsi="Arial" w:cs="Arial"/>
          <w:i/>
          <w:sz w:val="24"/>
          <w:szCs w:val="24"/>
        </w:rPr>
        <w:t>“1. m. Motivo, causa o pretexto con que se ejecuta algo.”</w:t>
      </w:r>
      <w:r w:rsidRPr="007162E7">
        <w:rPr>
          <w:rFonts w:ascii="Arial" w:eastAsia="Calibri" w:hAnsi="Arial" w:cs="Arial"/>
          <w:sz w:val="24"/>
          <w:szCs w:val="24"/>
        </w:rPr>
        <w:t xml:space="preserve"> </w:t>
      </w:r>
      <w:r w:rsidRPr="007162E7">
        <w:rPr>
          <w:rFonts w:ascii="Arial" w:eastAsia="Calibri" w:hAnsi="Arial" w:cs="Arial"/>
          <w:sz w:val="24"/>
          <w:szCs w:val="24"/>
          <w:vertAlign w:val="superscript"/>
        </w:rPr>
        <w:footnoteReference w:id="14"/>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Utilizando el vocablo </w:t>
      </w:r>
      <w:r w:rsidRPr="007162E7">
        <w:rPr>
          <w:rFonts w:ascii="Arial" w:eastAsia="Calibri" w:hAnsi="Arial" w:cs="Arial"/>
          <w:i/>
          <w:sz w:val="24"/>
          <w:szCs w:val="24"/>
        </w:rPr>
        <w:t xml:space="preserve">presupuestos </w:t>
      </w:r>
      <w:r w:rsidRPr="007162E7">
        <w:rPr>
          <w:rFonts w:ascii="Arial" w:eastAsia="Calibri" w:hAnsi="Arial" w:cs="Arial"/>
          <w:sz w:val="24"/>
          <w:szCs w:val="24"/>
        </w:rPr>
        <w:t xml:space="preserve">y aplicado al ámbito estricto del proceso judicial, Eduardo J. </w:t>
      </w:r>
      <w:proofErr w:type="spellStart"/>
      <w:r w:rsidRPr="007162E7">
        <w:rPr>
          <w:rFonts w:ascii="Arial" w:eastAsia="Calibri" w:hAnsi="Arial" w:cs="Arial"/>
          <w:sz w:val="24"/>
          <w:szCs w:val="24"/>
        </w:rPr>
        <w:t>Couture</w:t>
      </w:r>
      <w:proofErr w:type="spellEnd"/>
      <w:r w:rsidRPr="007162E7">
        <w:rPr>
          <w:rFonts w:ascii="Arial" w:eastAsia="Calibri" w:hAnsi="Arial" w:cs="Arial"/>
          <w:sz w:val="24"/>
          <w:szCs w:val="24"/>
        </w:rPr>
        <w:t xml:space="preserve"> enseña que </w:t>
      </w:r>
      <w:r w:rsidRPr="007162E7">
        <w:rPr>
          <w:rFonts w:ascii="Arial" w:eastAsia="Calibri" w:hAnsi="Arial" w:cs="Arial"/>
          <w:i/>
          <w:sz w:val="24"/>
          <w:szCs w:val="24"/>
        </w:rPr>
        <w:t xml:space="preserve">“pueden definirse los presupuestos procesales (…) como aquellos </w:t>
      </w:r>
      <w:proofErr w:type="spellStart"/>
      <w:r w:rsidRPr="007162E7">
        <w:rPr>
          <w:rFonts w:ascii="Arial" w:eastAsia="Calibri" w:hAnsi="Arial" w:cs="Arial"/>
          <w:i/>
          <w:sz w:val="24"/>
          <w:szCs w:val="24"/>
        </w:rPr>
        <w:t>antecendentes</w:t>
      </w:r>
      <w:proofErr w:type="spellEnd"/>
      <w:r w:rsidRPr="007162E7">
        <w:rPr>
          <w:rFonts w:ascii="Arial" w:eastAsia="Calibri" w:hAnsi="Arial" w:cs="Arial"/>
          <w:i/>
          <w:sz w:val="24"/>
          <w:szCs w:val="24"/>
        </w:rPr>
        <w:t xml:space="preserve"> necesarios para que el juicio tenga existencia jurídica y validez formal” </w:t>
      </w:r>
      <w:r w:rsidRPr="007162E7">
        <w:rPr>
          <w:rFonts w:ascii="Arial" w:eastAsia="Calibri" w:hAnsi="Arial" w:cs="Arial"/>
          <w:sz w:val="24"/>
          <w:szCs w:val="24"/>
          <w:vertAlign w:val="superscript"/>
        </w:rPr>
        <w:footnoteReference w:id="15"/>
      </w:r>
      <w:r w:rsidRPr="007162E7">
        <w:rPr>
          <w:rFonts w:ascii="Arial" w:eastAsia="Calibri" w:hAnsi="Arial" w:cs="Arial"/>
          <w:sz w:val="24"/>
          <w:szCs w:val="24"/>
        </w:rPr>
        <w:t xml:space="preserve"> a lo que más adelante aduna: </w:t>
      </w:r>
      <w:r w:rsidRPr="007162E7">
        <w:rPr>
          <w:rFonts w:ascii="Arial" w:eastAsia="Calibri" w:hAnsi="Arial" w:cs="Arial"/>
          <w:i/>
          <w:sz w:val="24"/>
          <w:szCs w:val="24"/>
        </w:rPr>
        <w:t xml:space="preserve">“(…) a medida que se avanza en este terreno, más se advierte que una idea unitaria, que abarque todos los presupuestos que dicen alguna relación con el proceso, resulta insuficiente si no se formulan algunas distinciones necesarias (…) Creemos conveniente distinguir a) presupuestos procesales de la acción; b) presupuestos procesales de la pretensión; c) presupuestos de validez del proceso; d) presupuestos de una sentencia favorable.” </w:t>
      </w:r>
      <w:r w:rsidRPr="007162E7">
        <w:rPr>
          <w:rFonts w:ascii="Arial" w:eastAsia="Calibri" w:hAnsi="Arial" w:cs="Arial"/>
          <w:sz w:val="24"/>
          <w:szCs w:val="24"/>
          <w:vertAlign w:val="superscript"/>
        </w:rPr>
        <w:footnoteReference w:id="16"/>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 xml:space="preserve">Por su parte, </w:t>
      </w:r>
      <w:proofErr w:type="spellStart"/>
      <w:r w:rsidRPr="007162E7">
        <w:rPr>
          <w:rFonts w:ascii="Arial" w:eastAsia="Calibri" w:hAnsi="Arial" w:cs="Arial"/>
          <w:sz w:val="24"/>
          <w:szCs w:val="24"/>
        </w:rPr>
        <w:t>Devis</w:t>
      </w:r>
      <w:proofErr w:type="spellEnd"/>
      <w:r w:rsidRPr="007162E7">
        <w:rPr>
          <w:rFonts w:ascii="Arial" w:eastAsia="Calibri" w:hAnsi="Arial" w:cs="Arial"/>
          <w:sz w:val="24"/>
          <w:szCs w:val="24"/>
        </w:rPr>
        <w:t xml:space="preserve"> </w:t>
      </w:r>
      <w:proofErr w:type="spellStart"/>
      <w:r w:rsidRPr="007162E7">
        <w:rPr>
          <w:rFonts w:ascii="Arial" w:eastAsia="Calibri" w:hAnsi="Arial" w:cs="Arial"/>
          <w:sz w:val="24"/>
          <w:szCs w:val="24"/>
        </w:rPr>
        <w:t>Echandía</w:t>
      </w:r>
      <w:proofErr w:type="spellEnd"/>
      <w:r w:rsidRPr="007162E7">
        <w:rPr>
          <w:rFonts w:ascii="Arial" w:eastAsia="Calibri" w:hAnsi="Arial" w:cs="Arial"/>
          <w:sz w:val="24"/>
          <w:szCs w:val="24"/>
        </w:rPr>
        <w:t xml:space="preserve"> sostiene que </w:t>
      </w:r>
      <w:r w:rsidRPr="007162E7">
        <w:rPr>
          <w:rFonts w:ascii="Arial" w:eastAsia="Calibri" w:hAnsi="Arial" w:cs="Arial"/>
          <w:i/>
          <w:sz w:val="24"/>
          <w:szCs w:val="24"/>
        </w:rPr>
        <w:t xml:space="preserve">“se trata de supuestos previos al proceso o requisitos sin los cuáles éste no puede ser iniciado válidamente, y deben, por ello, concurrir en el momento de formularse la demanda o denuncia o querella, a fin de que el juez pueda admitirla o iniciar el proceso; o de requisitos de procedimiento para que el proceso pueda ser adelantado válida y normalmente, una vez que sea iniciado.” </w:t>
      </w:r>
      <w:r w:rsidRPr="007162E7">
        <w:rPr>
          <w:rFonts w:ascii="Arial" w:eastAsia="Calibri" w:hAnsi="Arial" w:cs="Arial"/>
          <w:i/>
          <w:sz w:val="24"/>
          <w:szCs w:val="24"/>
          <w:vertAlign w:val="superscript"/>
        </w:rPr>
        <w:footnoteReference w:id="17"/>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Para Bueno </w:t>
      </w:r>
      <w:proofErr w:type="spellStart"/>
      <w:r w:rsidRPr="007162E7">
        <w:rPr>
          <w:rFonts w:ascii="Arial" w:eastAsia="Calibri" w:hAnsi="Arial" w:cs="Arial"/>
          <w:sz w:val="24"/>
          <w:szCs w:val="24"/>
        </w:rPr>
        <w:t>Vidigal</w:t>
      </w:r>
      <w:proofErr w:type="spellEnd"/>
      <w:r w:rsidRPr="007162E7">
        <w:rPr>
          <w:rFonts w:ascii="Arial" w:eastAsia="Calibri" w:hAnsi="Arial" w:cs="Arial"/>
          <w:sz w:val="24"/>
          <w:szCs w:val="24"/>
        </w:rPr>
        <w:t xml:space="preserve">, los presupuestos procesales </w:t>
      </w:r>
      <w:r w:rsidRPr="007162E7">
        <w:rPr>
          <w:rFonts w:ascii="Arial" w:eastAsia="Calibri" w:hAnsi="Arial" w:cs="Arial"/>
          <w:i/>
          <w:sz w:val="24"/>
          <w:szCs w:val="24"/>
        </w:rPr>
        <w:t xml:space="preserve">“(…) comprenden las condiciones para la obtención de un pronunciamiento judicial cualquiera (no sólo o principalmente favorable) sobre la demanda”, </w:t>
      </w:r>
      <w:r w:rsidRPr="007162E7">
        <w:rPr>
          <w:rFonts w:ascii="Arial" w:eastAsia="Calibri" w:hAnsi="Arial" w:cs="Arial"/>
          <w:sz w:val="24"/>
          <w:szCs w:val="24"/>
        </w:rPr>
        <w:t xml:space="preserve">distinguiendo a tales de los presupuestos de la acción que, para él, </w:t>
      </w:r>
      <w:r w:rsidRPr="007162E7">
        <w:rPr>
          <w:rFonts w:ascii="Arial" w:eastAsia="Calibri" w:hAnsi="Arial" w:cs="Arial"/>
          <w:i/>
          <w:sz w:val="24"/>
          <w:szCs w:val="24"/>
        </w:rPr>
        <w:t xml:space="preserve">“son las conclusiones necesarias para que el juez, en la sentencia sobre el mérito, declare existente la voluntad correcta de la ley invocada por el actor, vale decir, las condiciones necesarias para obtener un pronunciamiento favorable”. </w:t>
      </w:r>
      <w:r w:rsidRPr="007162E7">
        <w:rPr>
          <w:rFonts w:ascii="Arial" w:eastAsia="Calibri" w:hAnsi="Arial" w:cs="Arial"/>
          <w:i/>
          <w:sz w:val="24"/>
          <w:szCs w:val="24"/>
          <w:vertAlign w:val="superscript"/>
        </w:rPr>
        <w:footnoteReference w:id="18"/>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Podría continuarse con infinidad de citas, pero, además de ser ello poco amigable, carece de sentido en el caso puesto que lo que se intenta presentar es que no hay en la doctrina una explicación sistémica y abstracta sobre el asunto que refiera a las condiciones anteriores, coincidentes y posteriores de cada una de las etapas o fases que componen el proceso judicial y que, por lo tanto, puedan ser aplicadas siempre de la misma manera independientemente de la persona de turno.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Esa misión es la que se propuso Adolfo Alvarado Velloso. Para el mencionado jurista </w:t>
      </w:r>
      <w:r w:rsidRPr="007162E7">
        <w:rPr>
          <w:rFonts w:ascii="Arial" w:eastAsia="Calibri" w:hAnsi="Arial" w:cs="Arial"/>
          <w:i/>
          <w:sz w:val="24"/>
          <w:szCs w:val="24"/>
        </w:rPr>
        <w:t xml:space="preserve">“el vocablo condición refiere a toda situación o circunstancia indispensable para que algo sea u ocurra” </w:t>
      </w:r>
      <w:r w:rsidRPr="007162E7">
        <w:rPr>
          <w:rFonts w:ascii="Arial" w:eastAsia="Calibri" w:hAnsi="Arial" w:cs="Arial"/>
          <w:i/>
          <w:sz w:val="24"/>
          <w:szCs w:val="24"/>
          <w:vertAlign w:val="superscript"/>
        </w:rPr>
        <w:footnoteReference w:id="19"/>
      </w:r>
      <w:r w:rsidRPr="007162E7">
        <w:rPr>
          <w:rFonts w:ascii="Arial" w:eastAsia="Calibri" w:hAnsi="Arial" w:cs="Arial"/>
          <w:sz w:val="24"/>
          <w:szCs w:val="24"/>
        </w:rPr>
        <w:t xml:space="preserve"> Y especificó: </w:t>
      </w:r>
      <w:r w:rsidRPr="007162E7">
        <w:rPr>
          <w:rFonts w:ascii="Arial" w:eastAsia="Calibri" w:hAnsi="Arial" w:cs="Arial"/>
          <w:i/>
          <w:sz w:val="24"/>
          <w:szCs w:val="24"/>
        </w:rPr>
        <w:t xml:space="preserve">“sistémicamente –y respecto de todo acto procesal- parece importante definir siempre tres circunstancias que se relacionan con: 1) el origen o razón del acto (su porqué); 2) su realización (sus qué, cómo, cuándo y dónde) y 3)su objeto (su para qué), pues sin respuesta adecuada a tales interrogantes es imposible comprender cabalmente un curso procedimental sistémico.” </w:t>
      </w:r>
      <w:r w:rsidRPr="007162E7">
        <w:rPr>
          <w:rFonts w:ascii="Arial" w:eastAsia="Calibri" w:hAnsi="Arial" w:cs="Arial"/>
          <w:i/>
          <w:sz w:val="24"/>
          <w:szCs w:val="24"/>
          <w:vertAlign w:val="superscript"/>
        </w:rPr>
        <w:footnoteReference w:id="20"/>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 xml:space="preserve">La explicación dada precedentemente se presenta, a mi humilde entender, como la más acabada en torno a la definición de </w:t>
      </w:r>
      <w:r w:rsidRPr="007162E7">
        <w:rPr>
          <w:rFonts w:ascii="Arial" w:eastAsia="Calibri" w:hAnsi="Arial" w:cs="Arial"/>
          <w:i/>
          <w:sz w:val="24"/>
          <w:szCs w:val="24"/>
        </w:rPr>
        <w:t xml:space="preserve">condición </w:t>
      </w:r>
      <w:r w:rsidRPr="007162E7">
        <w:rPr>
          <w:rFonts w:ascii="Arial" w:eastAsia="Calibri" w:hAnsi="Arial" w:cs="Arial"/>
          <w:sz w:val="24"/>
          <w:szCs w:val="24"/>
        </w:rPr>
        <w:t>en el marco del proceso judicial</w:t>
      </w:r>
      <w:r w:rsidRPr="007162E7">
        <w:rPr>
          <w:rFonts w:ascii="Arial" w:eastAsia="Calibri" w:hAnsi="Arial" w:cs="Arial"/>
          <w:i/>
          <w:sz w:val="24"/>
          <w:szCs w:val="24"/>
        </w:rPr>
        <w:t xml:space="preserve">. </w:t>
      </w:r>
      <w:r w:rsidRPr="007162E7">
        <w:rPr>
          <w:rFonts w:ascii="Arial" w:eastAsia="Calibri" w:hAnsi="Arial" w:cs="Arial"/>
          <w:sz w:val="24"/>
          <w:szCs w:val="24"/>
        </w:rPr>
        <w:t>Es que las tres circunstancias expuestas pueden aplicarse a cada una de las etapas o fases que componen la serie lógica y consecuencial del proceso judicial y no sólo a la fase de inicial relacionada con la existencia y validez del mismo, tal como parece desprenderse de algunas las concepciones aludidas y que queda poco claro en las restantes.</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Entonces, de acuerdo con lo anterior puede percibirse que, desde el plano factico de la actividad cumplida durante el proceso, las condiciones procesales no son del proceso en sí sino de cada una de sus etapas. Claro, existen condiciones para afirmar, para negar, como también para confirmar y para alegar.</w:t>
      </w:r>
      <w:r w:rsidRPr="007162E7">
        <w:rPr>
          <w:rFonts w:ascii="Arial" w:eastAsia="Calibri" w:hAnsi="Arial" w:cs="Arial"/>
          <w:sz w:val="24"/>
          <w:szCs w:val="24"/>
          <w:vertAlign w:val="superscript"/>
        </w:rPr>
        <w:footnoteReference w:id="21"/>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Hoy toca examinar las propias de la fase de negación, concretamente las de las excepciones en el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Así las cosas, antes de ingresar en el análisis puntual de las mismas debe tenerse presente que, en términos generales, las condiciones pueden ser previas o anteriores, actuales o coincidentes, y futuras o inminentes a la realización de cualquier acto del proceso.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Las primeras son las que se vinculan con el origen o la razón del acto, responden al interrogante del ¿por qué? del mismo y, haciendo propia la terminología de Adolfo Alvarado Velloso, se denominan </w:t>
      </w:r>
      <w:r w:rsidRPr="007162E7">
        <w:rPr>
          <w:rFonts w:ascii="Arial" w:eastAsia="Calibri" w:hAnsi="Arial" w:cs="Arial"/>
          <w:i/>
          <w:sz w:val="24"/>
          <w:szCs w:val="24"/>
        </w:rPr>
        <w:t>supuestos precedentes.</w:t>
      </w:r>
      <w:r w:rsidRPr="007162E7">
        <w:rPr>
          <w:rFonts w:ascii="Arial" w:eastAsia="Calibri" w:hAnsi="Arial" w:cs="Arial"/>
          <w:sz w:val="24"/>
          <w:szCs w:val="24"/>
          <w:vertAlign w:val="superscript"/>
        </w:rPr>
        <w:footnoteReference w:id="22"/>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Indica el citado autor: </w:t>
      </w:r>
      <w:r w:rsidRPr="007162E7">
        <w:rPr>
          <w:rFonts w:ascii="Arial" w:eastAsia="Calibri" w:hAnsi="Arial" w:cs="Arial"/>
          <w:i/>
          <w:sz w:val="24"/>
          <w:szCs w:val="24"/>
        </w:rPr>
        <w:t xml:space="preserve">“sin el respectivo supuesto precedente queda sin basamento y sin razón de ser la realización de todo acto procesal y de la emisión de la sentencia. Si bien se mira, generalmente hace a la existencia misma del acto como tal.” </w:t>
      </w:r>
      <w:r w:rsidRPr="007162E7">
        <w:rPr>
          <w:rFonts w:ascii="Arial" w:eastAsia="Calibri" w:hAnsi="Arial" w:cs="Arial"/>
          <w:sz w:val="24"/>
          <w:szCs w:val="24"/>
          <w:vertAlign w:val="superscript"/>
        </w:rPr>
        <w:footnoteReference w:id="23"/>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Las segundas son las que deben considerarse al momento de la realización del acto y responden a los interrogantes del ¿qué?, ¿cómo?, ¿cuándo? y ¿dónde? del mismo. </w:t>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sz w:val="24"/>
          <w:szCs w:val="24"/>
        </w:rPr>
        <w:t xml:space="preserve">Al decir de Alvarado Velloso: </w:t>
      </w:r>
      <w:r w:rsidRPr="007162E7">
        <w:rPr>
          <w:rFonts w:ascii="Arial" w:eastAsia="Calibri" w:hAnsi="Arial" w:cs="Arial"/>
          <w:i/>
          <w:sz w:val="24"/>
          <w:szCs w:val="24"/>
        </w:rPr>
        <w:t xml:space="preserve">“son los requisitos necesarios de cumplir para la admisibilidad del tipo específico de actividad que corresponda al caso </w:t>
      </w:r>
      <w:r w:rsidRPr="007162E7">
        <w:rPr>
          <w:rFonts w:ascii="Arial" w:eastAsia="Calibri" w:hAnsi="Arial" w:cs="Arial"/>
          <w:i/>
          <w:sz w:val="24"/>
          <w:szCs w:val="24"/>
        </w:rPr>
        <w:lastRenderedPageBreak/>
        <w:t xml:space="preserve">(…) Sin el cumplimiento del respectivo requisito, el acto no es admisible (salvo que la ley disponga alguna solución </w:t>
      </w:r>
      <w:proofErr w:type="spellStart"/>
      <w:r w:rsidRPr="007162E7">
        <w:rPr>
          <w:rFonts w:ascii="Arial" w:eastAsia="Calibri" w:hAnsi="Arial" w:cs="Arial"/>
          <w:i/>
          <w:sz w:val="24"/>
          <w:szCs w:val="24"/>
        </w:rPr>
        <w:t>alterntiva</w:t>
      </w:r>
      <w:proofErr w:type="spellEnd"/>
      <w:r w:rsidRPr="007162E7">
        <w:rPr>
          <w:rFonts w:ascii="Arial" w:eastAsia="Calibri" w:hAnsi="Arial" w:cs="Arial"/>
          <w:i/>
          <w:sz w:val="24"/>
          <w:szCs w:val="24"/>
        </w:rPr>
        <w:t>). Si bien se mira, generalmente hace a la eficacia (</w:t>
      </w:r>
      <w:proofErr w:type="spellStart"/>
      <w:r w:rsidRPr="007162E7">
        <w:rPr>
          <w:rFonts w:ascii="Arial" w:eastAsia="Calibri" w:hAnsi="Arial" w:cs="Arial"/>
          <w:i/>
          <w:sz w:val="24"/>
          <w:szCs w:val="24"/>
        </w:rPr>
        <w:t>validéz</w:t>
      </w:r>
      <w:proofErr w:type="spellEnd"/>
      <w:r w:rsidRPr="007162E7">
        <w:rPr>
          <w:rFonts w:ascii="Arial" w:eastAsia="Calibri" w:hAnsi="Arial" w:cs="Arial"/>
          <w:i/>
          <w:sz w:val="24"/>
          <w:szCs w:val="24"/>
        </w:rPr>
        <w:t xml:space="preserve">) del acto como tal.” </w:t>
      </w:r>
      <w:r w:rsidRPr="007162E7">
        <w:rPr>
          <w:rFonts w:ascii="Arial" w:eastAsia="Calibri" w:hAnsi="Arial" w:cs="Arial"/>
          <w:sz w:val="24"/>
          <w:szCs w:val="24"/>
          <w:vertAlign w:val="superscript"/>
        </w:rPr>
        <w:footnoteReference w:id="24"/>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Y las terceras y últimas son las que tienen en cuenta lo que se obtendrá al admitirse uno o varios actos, es decir su objeto, y responden al interrogante del ¿para qué? del o los mismos. Nuevamente, haciendo propia la terminología de Adolfo Alvarado Velloso, se denominan </w:t>
      </w:r>
      <w:r w:rsidRPr="007162E7">
        <w:rPr>
          <w:rFonts w:ascii="Arial" w:eastAsia="Calibri" w:hAnsi="Arial" w:cs="Arial"/>
          <w:i/>
          <w:sz w:val="24"/>
          <w:szCs w:val="24"/>
        </w:rPr>
        <w:t>supuestos consecuentes.</w:t>
      </w:r>
      <w:r w:rsidRPr="007162E7">
        <w:rPr>
          <w:rFonts w:ascii="Arial" w:eastAsia="Calibri" w:hAnsi="Arial" w:cs="Arial"/>
          <w:sz w:val="24"/>
          <w:szCs w:val="24"/>
          <w:vertAlign w:val="superscript"/>
        </w:rPr>
        <w:footnoteReference w:id="25"/>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Con lo examinado, puede continuarse hacia lo particular. Dirigirse al objeto de estudio propuesto.</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b/>
          <w:i/>
          <w:sz w:val="24"/>
          <w:szCs w:val="24"/>
        </w:rPr>
      </w:pPr>
      <w:r w:rsidRPr="007162E7">
        <w:rPr>
          <w:rFonts w:ascii="Arial" w:eastAsia="Calibri" w:hAnsi="Arial" w:cs="Arial"/>
          <w:sz w:val="24"/>
          <w:szCs w:val="24"/>
        </w:rPr>
        <w:t xml:space="preserve">4.- </w:t>
      </w:r>
      <w:r w:rsidRPr="007162E7">
        <w:rPr>
          <w:rFonts w:ascii="Arial" w:eastAsia="Calibri" w:hAnsi="Arial" w:cs="Arial"/>
          <w:b/>
          <w:i/>
          <w:sz w:val="24"/>
          <w:szCs w:val="24"/>
        </w:rPr>
        <w:t>La excepción procesa</w:t>
      </w:r>
      <w:r>
        <w:rPr>
          <w:rFonts w:ascii="Arial" w:eastAsia="Calibri" w:hAnsi="Arial" w:cs="Arial"/>
          <w:b/>
          <w:i/>
          <w:sz w:val="24"/>
          <w:szCs w:val="24"/>
        </w:rPr>
        <w:t>l en el proceso civil. Supuesto precedente</w:t>
      </w:r>
      <w:r w:rsidRPr="007162E7">
        <w:rPr>
          <w:rFonts w:ascii="Arial" w:eastAsia="Calibri" w:hAnsi="Arial" w:cs="Arial"/>
          <w:b/>
          <w:i/>
          <w:sz w:val="24"/>
          <w:szCs w:val="24"/>
        </w:rPr>
        <w:t xml:space="preserve"> y consecuentes.</w:t>
      </w:r>
    </w:p>
    <w:p w:rsidR="007162E7" w:rsidRPr="007162E7" w:rsidRDefault="007162E7" w:rsidP="007162E7">
      <w:pPr>
        <w:spacing w:after="0" w:line="360" w:lineRule="auto"/>
        <w:ind w:firstLine="708"/>
        <w:jc w:val="both"/>
        <w:rPr>
          <w:rFonts w:ascii="Arial" w:eastAsia="Calibri" w:hAnsi="Arial" w:cs="Arial"/>
          <w:sz w:val="24"/>
          <w:szCs w:val="24"/>
        </w:rPr>
      </w:pPr>
    </w:p>
    <w:p w:rsidR="00E627D4" w:rsidRDefault="007162E7" w:rsidP="007162E7">
      <w:pPr>
        <w:spacing w:after="0" w:line="360" w:lineRule="auto"/>
        <w:ind w:firstLine="708"/>
        <w:jc w:val="both"/>
        <w:rPr>
          <w:rFonts w:ascii="Arial" w:eastAsia="Calibri" w:hAnsi="Arial" w:cs="Arial"/>
          <w:b/>
          <w:sz w:val="24"/>
          <w:szCs w:val="24"/>
        </w:rPr>
      </w:pPr>
      <w:r w:rsidRPr="007162E7">
        <w:rPr>
          <w:rFonts w:ascii="Arial" w:eastAsia="Calibri" w:hAnsi="Arial" w:cs="Arial"/>
          <w:sz w:val="24"/>
          <w:szCs w:val="24"/>
        </w:rPr>
        <w:tab/>
      </w:r>
      <w:r w:rsidRPr="007162E7">
        <w:rPr>
          <w:rFonts w:ascii="Arial" w:eastAsia="Calibri" w:hAnsi="Arial" w:cs="Arial"/>
          <w:b/>
          <w:sz w:val="24"/>
          <w:szCs w:val="24"/>
        </w:rPr>
        <w:t>4.1. Delimitación del concepto de excepción procesal en el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ab/>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Tal como solemos estar acostumbrados los estudiosos del Derecho, y de Derecho Procesal en particular, la definición de excepción procesal en el proceso civil no es una cuestión zanjada por la doctrina autoral. Lejos de ello, la </w:t>
      </w:r>
      <w:proofErr w:type="spellStart"/>
      <w:r w:rsidRPr="007162E7">
        <w:rPr>
          <w:rFonts w:ascii="Arial" w:eastAsia="Calibri" w:hAnsi="Arial" w:cs="Arial"/>
          <w:sz w:val="24"/>
          <w:szCs w:val="24"/>
        </w:rPr>
        <w:t>multivocidad</w:t>
      </w:r>
      <w:proofErr w:type="spellEnd"/>
      <w:r w:rsidRPr="007162E7">
        <w:rPr>
          <w:rFonts w:ascii="Arial" w:eastAsia="Calibri" w:hAnsi="Arial" w:cs="Arial"/>
          <w:sz w:val="24"/>
          <w:szCs w:val="24"/>
        </w:rPr>
        <w:t xml:space="preserve"> reina y la cuestión conlleva al equívoco.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Basta una ligera lectura a la sistematización de nociones expuestas por </w:t>
      </w:r>
      <w:proofErr w:type="spellStart"/>
      <w:r w:rsidRPr="007162E7">
        <w:rPr>
          <w:rFonts w:ascii="Arial" w:eastAsia="Calibri" w:hAnsi="Arial" w:cs="Arial"/>
          <w:sz w:val="24"/>
          <w:szCs w:val="24"/>
        </w:rPr>
        <w:t>Morello</w:t>
      </w:r>
      <w:proofErr w:type="spellEnd"/>
      <w:r w:rsidRPr="007162E7">
        <w:rPr>
          <w:rFonts w:ascii="Arial" w:eastAsia="Calibri" w:hAnsi="Arial" w:cs="Arial"/>
          <w:sz w:val="24"/>
          <w:szCs w:val="24"/>
        </w:rPr>
        <w:t xml:space="preserve">, Sosa y </w:t>
      </w:r>
      <w:proofErr w:type="spellStart"/>
      <w:r w:rsidRPr="007162E7">
        <w:rPr>
          <w:rFonts w:ascii="Arial" w:eastAsia="Calibri" w:hAnsi="Arial" w:cs="Arial"/>
          <w:sz w:val="24"/>
          <w:szCs w:val="24"/>
        </w:rPr>
        <w:t>Berizonce</w:t>
      </w:r>
      <w:proofErr w:type="spellEnd"/>
      <w:r w:rsidRPr="007162E7">
        <w:rPr>
          <w:rFonts w:ascii="Arial" w:eastAsia="Calibri" w:hAnsi="Arial" w:cs="Arial"/>
          <w:sz w:val="24"/>
          <w:szCs w:val="24"/>
        </w:rPr>
        <w:t xml:space="preserve"> para darnos cuenta de las diferencias habidas.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Al respecto, dichos autores enseñan la postura dada por el maestro italiano </w:t>
      </w:r>
      <w:proofErr w:type="spellStart"/>
      <w:r w:rsidRPr="007162E7">
        <w:rPr>
          <w:rFonts w:ascii="Arial" w:eastAsia="Calibri" w:hAnsi="Arial" w:cs="Arial"/>
          <w:sz w:val="24"/>
          <w:szCs w:val="24"/>
        </w:rPr>
        <w:t>Chiovenda</w:t>
      </w:r>
      <w:proofErr w:type="spellEnd"/>
      <w:r w:rsidRPr="007162E7">
        <w:rPr>
          <w:rFonts w:ascii="Arial" w:eastAsia="Calibri" w:hAnsi="Arial" w:cs="Arial"/>
          <w:sz w:val="24"/>
          <w:szCs w:val="24"/>
        </w:rPr>
        <w:t xml:space="preserve">, resaltando particularmente las tres hipótesis por él formuladas, y luego, avanzando en el tiempo, señalan la posición dada por el otro reconocido jurista italiano, Carnelutti que, además, coincide con el distinguido </w:t>
      </w:r>
      <w:proofErr w:type="spellStart"/>
      <w:r w:rsidRPr="007162E7">
        <w:rPr>
          <w:rFonts w:ascii="Arial" w:eastAsia="Calibri" w:hAnsi="Arial" w:cs="Arial"/>
          <w:sz w:val="24"/>
          <w:szCs w:val="24"/>
        </w:rPr>
        <w:t>Guaps</w:t>
      </w:r>
      <w:proofErr w:type="spellEnd"/>
      <w:r w:rsidRPr="007162E7">
        <w:rPr>
          <w:rFonts w:ascii="Arial" w:eastAsia="Calibri" w:hAnsi="Arial" w:cs="Arial"/>
          <w:sz w:val="24"/>
          <w:szCs w:val="24"/>
        </w:rPr>
        <w:t xml:space="preserve"> en su intelección, cercana, a su vez, a la del procesalista argentino Alsina. A mayor abundamiento, en dicha obra también puede observarse las concepciones propias dadas por Clemente A. </w:t>
      </w:r>
      <w:proofErr w:type="spellStart"/>
      <w:r w:rsidRPr="007162E7">
        <w:rPr>
          <w:rFonts w:ascii="Arial" w:eastAsia="Calibri" w:hAnsi="Arial" w:cs="Arial"/>
          <w:sz w:val="24"/>
          <w:szCs w:val="24"/>
        </w:rPr>
        <w:t>Diaz</w:t>
      </w:r>
      <w:proofErr w:type="spellEnd"/>
      <w:r w:rsidRPr="007162E7">
        <w:rPr>
          <w:rFonts w:ascii="Arial" w:eastAsia="Calibri" w:hAnsi="Arial" w:cs="Arial"/>
          <w:sz w:val="24"/>
          <w:szCs w:val="24"/>
        </w:rPr>
        <w:t xml:space="preserve">, </w:t>
      </w:r>
      <w:proofErr w:type="spellStart"/>
      <w:r w:rsidRPr="007162E7">
        <w:rPr>
          <w:rFonts w:ascii="Arial" w:eastAsia="Calibri" w:hAnsi="Arial" w:cs="Arial"/>
          <w:sz w:val="24"/>
          <w:szCs w:val="24"/>
        </w:rPr>
        <w:t>Clariá</w:t>
      </w:r>
      <w:proofErr w:type="spellEnd"/>
      <w:r w:rsidRPr="007162E7">
        <w:rPr>
          <w:rFonts w:ascii="Arial" w:eastAsia="Calibri" w:hAnsi="Arial" w:cs="Arial"/>
          <w:sz w:val="24"/>
          <w:szCs w:val="24"/>
        </w:rPr>
        <w:t xml:space="preserve"> Olmedo, Ramos Méndez, Mercader y </w:t>
      </w:r>
      <w:proofErr w:type="spellStart"/>
      <w:r w:rsidRPr="007162E7">
        <w:rPr>
          <w:rFonts w:ascii="Arial" w:eastAsia="Calibri" w:hAnsi="Arial" w:cs="Arial"/>
          <w:sz w:val="24"/>
          <w:szCs w:val="24"/>
        </w:rPr>
        <w:t>Podetti</w:t>
      </w:r>
      <w:proofErr w:type="spellEnd"/>
      <w:r w:rsidRPr="007162E7">
        <w:rPr>
          <w:rFonts w:ascii="Arial" w:eastAsia="Calibri" w:hAnsi="Arial" w:cs="Arial"/>
          <w:sz w:val="24"/>
          <w:szCs w:val="24"/>
        </w:rPr>
        <w:t>.</w:t>
      </w:r>
      <w:r w:rsidRPr="007162E7">
        <w:rPr>
          <w:rFonts w:ascii="Arial" w:eastAsia="Calibri" w:hAnsi="Arial" w:cs="Arial"/>
          <w:sz w:val="24"/>
          <w:szCs w:val="24"/>
          <w:vertAlign w:val="superscript"/>
        </w:rPr>
        <w:footnoteReference w:id="26"/>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 xml:space="preserve">No obstante, por su parte Omar </w:t>
      </w:r>
      <w:proofErr w:type="spellStart"/>
      <w:r w:rsidRPr="007162E7">
        <w:rPr>
          <w:rFonts w:ascii="Arial" w:eastAsia="Calibri" w:hAnsi="Arial" w:cs="Arial"/>
          <w:sz w:val="24"/>
          <w:szCs w:val="24"/>
        </w:rPr>
        <w:t>Benabentos</w:t>
      </w:r>
      <w:proofErr w:type="spellEnd"/>
      <w:r w:rsidRPr="007162E7">
        <w:rPr>
          <w:rFonts w:ascii="Arial" w:eastAsia="Calibri" w:hAnsi="Arial" w:cs="Arial"/>
          <w:sz w:val="24"/>
          <w:szCs w:val="24"/>
        </w:rPr>
        <w:t xml:space="preserve"> nos indica: </w:t>
      </w:r>
      <w:r w:rsidRPr="007162E7">
        <w:rPr>
          <w:rFonts w:ascii="Arial" w:eastAsia="Calibri" w:hAnsi="Arial" w:cs="Arial"/>
          <w:i/>
          <w:sz w:val="24"/>
          <w:szCs w:val="24"/>
        </w:rPr>
        <w:t xml:space="preserve">“(…) en un sentido amplio, la excepción, o con mayor precisión ‘la reacción del demandado’ … se emparenta con el ejercicio mismo del derecho de defensa en juicio…” </w:t>
      </w:r>
      <w:r w:rsidRPr="007162E7">
        <w:rPr>
          <w:rFonts w:ascii="Arial" w:eastAsia="Calibri" w:hAnsi="Arial" w:cs="Arial"/>
          <w:sz w:val="24"/>
          <w:szCs w:val="24"/>
        </w:rPr>
        <w:t xml:space="preserve">Y con cita de jurisprudencia sostiene </w:t>
      </w:r>
      <w:r w:rsidRPr="007162E7">
        <w:rPr>
          <w:rFonts w:ascii="Arial" w:eastAsia="Calibri" w:hAnsi="Arial" w:cs="Arial"/>
          <w:i/>
          <w:sz w:val="24"/>
          <w:szCs w:val="24"/>
        </w:rPr>
        <w:t xml:space="preserve">“En su más amplio </w:t>
      </w:r>
      <w:proofErr w:type="spellStart"/>
      <w:r w:rsidRPr="007162E7">
        <w:rPr>
          <w:rFonts w:ascii="Arial" w:eastAsia="Calibri" w:hAnsi="Arial" w:cs="Arial"/>
          <w:i/>
          <w:sz w:val="24"/>
          <w:szCs w:val="24"/>
        </w:rPr>
        <w:t>signficado</w:t>
      </w:r>
      <w:proofErr w:type="spellEnd"/>
      <w:r w:rsidRPr="007162E7">
        <w:rPr>
          <w:rFonts w:ascii="Arial" w:eastAsia="Calibri" w:hAnsi="Arial" w:cs="Arial"/>
          <w:i/>
          <w:sz w:val="24"/>
          <w:szCs w:val="24"/>
        </w:rPr>
        <w:t xml:space="preserve">, la excepción es el poder jurídico de que se halla investido el demandado que lo habilita para oponerse a la acción promovida contra él; en tal sentido, equivale a defensa, o sea a todo lo que el demandado puede aducir para proteger su derecho, evitando el progreso de la pretensión del actor.” </w:t>
      </w:r>
      <w:r w:rsidRPr="007162E7">
        <w:rPr>
          <w:rFonts w:ascii="Arial" w:eastAsia="Calibri" w:hAnsi="Arial" w:cs="Arial"/>
          <w:i/>
          <w:sz w:val="24"/>
          <w:szCs w:val="24"/>
          <w:vertAlign w:val="superscript"/>
        </w:rPr>
        <w:footnoteReference w:id="27"/>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Desde esta obra y siguiendo la postura de Alvarado Velloso, se entiende que el demandado civil, abierta la fase procesal de negación, puede oponerse, ya sea contradiciendo o excepcionando, y también reconvenir.</w:t>
      </w:r>
      <w:r w:rsidRPr="007162E7">
        <w:rPr>
          <w:rFonts w:ascii="Arial" w:eastAsia="Calibri" w:hAnsi="Arial" w:cs="Arial"/>
          <w:sz w:val="24"/>
          <w:szCs w:val="24"/>
          <w:vertAlign w:val="superscript"/>
        </w:rPr>
        <w:footnoteReference w:id="28"/>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sz w:val="24"/>
          <w:szCs w:val="24"/>
        </w:rPr>
        <w:t xml:space="preserve">Por lo tanto, </w:t>
      </w:r>
      <w:r w:rsidRPr="007162E7">
        <w:rPr>
          <w:rFonts w:ascii="Arial" w:eastAsia="Calibri" w:hAnsi="Arial" w:cs="Arial"/>
          <w:i/>
          <w:sz w:val="24"/>
          <w:szCs w:val="24"/>
        </w:rPr>
        <w:t xml:space="preserve">“la excepción, como actitud de oposición, tiene lugar cuando el demandado, resistiendo (…) el cumplimiento de la prestación pretendida por el actor, afirma en su contestación la existencia de un hecho de carácter extintivo o </w:t>
      </w:r>
      <w:proofErr w:type="spellStart"/>
      <w:r w:rsidRPr="007162E7">
        <w:rPr>
          <w:rFonts w:ascii="Arial" w:eastAsia="Calibri" w:hAnsi="Arial" w:cs="Arial"/>
          <w:i/>
          <w:sz w:val="24"/>
          <w:szCs w:val="24"/>
        </w:rPr>
        <w:t>invalidativo</w:t>
      </w:r>
      <w:proofErr w:type="spellEnd"/>
      <w:r w:rsidRPr="007162E7">
        <w:rPr>
          <w:rFonts w:ascii="Arial" w:eastAsia="Calibri" w:hAnsi="Arial" w:cs="Arial"/>
          <w:i/>
          <w:sz w:val="24"/>
          <w:szCs w:val="24"/>
        </w:rPr>
        <w:t xml:space="preserve"> o </w:t>
      </w:r>
      <w:proofErr w:type="spellStart"/>
      <w:r w:rsidRPr="007162E7">
        <w:rPr>
          <w:rFonts w:ascii="Arial" w:eastAsia="Calibri" w:hAnsi="Arial" w:cs="Arial"/>
          <w:i/>
          <w:sz w:val="24"/>
          <w:szCs w:val="24"/>
        </w:rPr>
        <w:t>convalidativo</w:t>
      </w:r>
      <w:proofErr w:type="spellEnd"/>
      <w:r w:rsidRPr="007162E7">
        <w:rPr>
          <w:rFonts w:ascii="Arial" w:eastAsia="Calibri" w:hAnsi="Arial" w:cs="Arial"/>
          <w:i/>
          <w:sz w:val="24"/>
          <w:szCs w:val="24"/>
        </w:rPr>
        <w:t xml:space="preserve"> respecto del hecho constitutivo afirmado por el actor en su demanda (…) o impeditivo de la formación o continuación de la serie procesal. Esta conceptuación halla su base, como el resto de la explicación dada en esta obra, en la actividad que realmente cumple el demandado en el proceso.” </w:t>
      </w:r>
      <w:r w:rsidRPr="007162E7">
        <w:rPr>
          <w:rFonts w:ascii="Arial" w:eastAsia="Calibri" w:hAnsi="Arial" w:cs="Arial"/>
          <w:i/>
          <w:sz w:val="24"/>
          <w:szCs w:val="24"/>
          <w:vertAlign w:val="superscript"/>
        </w:rPr>
        <w:footnoteReference w:id="29"/>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Es la última explicación la que aparece congruente con lo propu</w:t>
      </w:r>
      <w:r>
        <w:rPr>
          <w:rFonts w:ascii="Arial" w:eastAsia="Calibri" w:hAnsi="Arial" w:cs="Arial"/>
          <w:sz w:val="24"/>
          <w:szCs w:val="24"/>
        </w:rPr>
        <w:t>esto hasta aquí y que se toma como</w:t>
      </w:r>
      <w:r w:rsidRPr="007162E7">
        <w:rPr>
          <w:rFonts w:ascii="Arial" w:eastAsia="Calibri" w:hAnsi="Arial" w:cs="Arial"/>
          <w:sz w:val="24"/>
          <w:szCs w:val="24"/>
        </w:rPr>
        <w:t xml:space="preserve"> base para proseguir.</w:t>
      </w:r>
    </w:p>
    <w:p w:rsidR="007162E7" w:rsidRPr="007162E7" w:rsidRDefault="007162E7" w:rsidP="007162E7">
      <w:pPr>
        <w:spacing w:after="0" w:line="360" w:lineRule="auto"/>
        <w:ind w:firstLine="708"/>
        <w:jc w:val="both"/>
        <w:rPr>
          <w:rFonts w:ascii="Arial" w:eastAsia="Calibri" w:hAnsi="Arial" w:cs="Arial"/>
          <w:i/>
          <w:sz w:val="24"/>
          <w:szCs w:val="24"/>
        </w:rPr>
      </w:pPr>
    </w:p>
    <w:p w:rsidR="007162E7" w:rsidRDefault="007162E7" w:rsidP="007162E7">
      <w:pPr>
        <w:spacing w:after="0" w:line="360" w:lineRule="auto"/>
        <w:ind w:firstLine="708"/>
        <w:jc w:val="both"/>
        <w:rPr>
          <w:rFonts w:ascii="Arial" w:eastAsia="Calibri" w:hAnsi="Arial" w:cs="Arial"/>
          <w:b/>
          <w:sz w:val="24"/>
          <w:szCs w:val="24"/>
        </w:rPr>
      </w:pPr>
      <w:r w:rsidRPr="007162E7">
        <w:rPr>
          <w:rFonts w:ascii="Arial" w:eastAsia="Calibri" w:hAnsi="Arial" w:cs="Arial"/>
          <w:b/>
          <w:sz w:val="24"/>
          <w:szCs w:val="24"/>
        </w:rPr>
        <w:t>4. 2. Supuesto precedente a tener en cuenta al momento de excepcionar en el proceso civil.</w:t>
      </w:r>
    </w:p>
    <w:p w:rsidR="00E627D4" w:rsidRPr="007162E7" w:rsidRDefault="00E627D4" w:rsidP="007162E7">
      <w:pPr>
        <w:spacing w:after="0" w:line="360" w:lineRule="auto"/>
        <w:ind w:firstLine="708"/>
        <w:jc w:val="both"/>
        <w:rPr>
          <w:rFonts w:ascii="Arial" w:eastAsia="Calibri" w:hAnsi="Arial" w:cs="Arial"/>
          <w:b/>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Ahora sí arribamos a uno de los puntos centrales, a una de las cuestiones medulares que convoca al presente discurso.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El tema del epígrafe determina un gran interrogante. Mejor dicho, direcciona la voluntad hacia develar la incógnita de ¿por qué voy a interponer una excepción procesal en el marco de un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Esta pregunta, mirada desde la óptica de la actividad cumplida durante el proceso, tiene ambición por saber el origen, la razón, la causa, el motivo por el cual se va a oponer a una demanda civil una excepci</w:t>
      </w:r>
      <w:r>
        <w:rPr>
          <w:rFonts w:ascii="Arial" w:eastAsia="Calibri" w:hAnsi="Arial" w:cs="Arial"/>
          <w:sz w:val="24"/>
          <w:szCs w:val="24"/>
        </w:rPr>
        <w:t>ón procesal.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 la praxis, ¿cuántas veces se hace esta pregunta?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Bueno, tengo para mí que muy pocas. Quiero decir, contadas veces los defensores reflexionan o hacen consciente su actuar al respecto. En sí, parece que siempre se llevan todo el mérito los supuestos consecuentes que luego se verán.</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Volviendo. Entonces, ¿cuál ha de ser la razón por la que se excepciona en el proceso civil? Sencillo, aunque como se dijo</w:t>
      </w:r>
      <w:r>
        <w:rPr>
          <w:rFonts w:ascii="Arial" w:eastAsia="Calibri" w:hAnsi="Arial" w:cs="Arial"/>
          <w:sz w:val="24"/>
          <w:szCs w:val="24"/>
        </w:rPr>
        <w:t>,</w:t>
      </w:r>
      <w:r w:rsidRPr="007162E7">
        <w:rPr>
          <w:rFonts w:ascii="Arial" w:eastAsia="Calibri" w:hAnsi="Arial" w:cs="Arial"/>
          <w:sz w:val="24"/>
          <w:szCs w:val="24"/>
        </w:rPr>
        <w:t xml:space="preserve"> poco consciente.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El por qué a la contestación de la demanda civil a través de una excepción procesal, es la admisión </w:t>
      </w:r>
      <w:r>
        <w:rPr>
          <w:rFonts w:ascii="Arial" w:eastAsia="Calibri" w:hAnsi="Arial" w:cs="Arial"/>
          <w:sz w:val="24"/>
          <w:szCs w:val="24"/>
        </w:rPr>
        <w:t xml:space="preserve">del juez a </w:t>
      </w:r>
      <w:r w:rsidRPr="007162E7">
        <w:rPr>
          <w:rFonts w:ascii="Arial" w:eastAsia="Calibri" w:hAnsi="Arial" w:cs="Arial"/>
          <w:sz w:val="24"/>
          <w:szCs w:val="24"/>
        </w:rPr>
        <w:t>la demanda</w:t>
      </w:r>
      <w:r>
        <w:rPr>
          <w:rFonts w:ascii="Arial" w:eastAsia="Calibri" w:hAnsi="Arial" w:cs="Arial"/>
          <w:sz w:val="24"/>
          <w:szCs w:val="24"/>
        </w:rPr>
        <w:t xml:space="preserve"> incoada por la parte actora.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Si bien la respuesta puede parecer obvia, supone la representación de la complejidad en toda su simplicidad.</w:t>
      </w:r>
    </w:p>
    <w:p w:rsidR="007162E7" w:rsidRPr="007162E7" w:rsidRDefault="007162E7" w:rsidP="007162E7">
      <w:pPr>
        <w:spacing w:after="0" w:line="360" w:lineRule="auto"/>
        <w:ind w:firstLine="708"/>
        <w:jc w:val="both"/>
        <w:rPr>
          <w:rFonts w:ascii="Arial" w:eastAsia="Calibri" w:hAnsi="Arial" w:cs="Arial"/>
          <w:sz w:val="24"/>
          <w:szCs w:val="24"/>
        </w:rPr>
      </w:pPr>
      <w:r>
        <w:rPr>
          <w:rFonts w:ascii="Arial" w:eastAsia="Calibri" w:hAnsi="Arial" w:cs="Arial"/>
          <w:sz w:val="24"/>
          <w:szCs w:val="24"/>
        </w:rPr>
        <w:t>Continuando la reflexión</w:t>
      </w:r>
      <w:r w:rsidRPr="007162E7">
        <w:rPr>
          <w:rFonts w:ascii="Arial" w:eastAsia="Calibri" w:hAnsi="Arial" w:cs="Arial"/>
          <w:sz w:val="24"/>
          <w:szCs w:val="24"/>
        </w:rPr>
        <w:t xml:space="preserve"> surge el siguiente problema: ¿esta condición previa o precedente, le pertenece únicamente a la excepción o le pertenece a toda la fase de negación procesal?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La respuesta, y hago nuevamente propia la idea de Alvarado Velloso, es que esta condición pertenece a todas las formas de contestación de la demanda. </w:t>
      </w:r>
      <w:r>
        <w:rPr>
          <w:rFonts w:ascii="Arial" w:eastAsia="Calibri" w:hAnsi="Arial" w:cs="Arial"/>
          <w:sz w:val="24"/>
          <w:szCs w:val="24"/>
        </w:rPr>
        <w:tab/>
      </w:r>
      <w:r w:rsidRPr="007162E7">
        <w:rPr>
          <w:rFonts w:ascii="Arial" w:eastAsia="Calibri" w:hAnsi="Arial" w:cs="Arial"/>
          <w:sz w:val="24"/>
          <w:szCs w:val="24"/>
        </w:rPr>
        <w:t xml:space="preserve">Siendo ello así, aparece otra incógnita: ¿existe, además de la admisión de la demanda civil incoada por el actor contra el demandado, alguna otra condición previa o precedente que le pertenezca </w:t>
      </w:r>
      <w:r w:rsidRPr="007162E7">
        <w:rPr>
          <w:rFonts w:ascii="Arial" w:eastAsia="Calibri" w:hAnsi="Arial" w:cs="Arial"/>
          <w:i/>
          <w:sz w:val="24"/>
          <w:szCs w:val="24"/>
        </w:rPr>
        <w:t>únicamente</w:t>
      </w:r>
      <w:r w:rsidRPr="007162E7">
        <w:rPr>
          <w:rFonts w:ascii="Arial" w:eastAsia="Calibri" w:hAnsi="Arial" w:cs="Arial"/>
          <w:sz w:val="24"/>
          <w:szCs w:val="24"/>
        </w:rPr>
        <w:t xml:space="preserve"> a la excepción procesal?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Congruente con la posición autoral adoptada y siguiendo, por ello, a Adolfo Alvarado Velloso, la respuesta es negativa. Y así resulta porque la actitud que adopte el demandado civil al m</w:t>
      </w:r>
      <w:r>
        <w:rPr>
          <w:rFonts w:ascii="Arial" w:eastAsia="Calibri" w:hAnsi="Arial" w:cs="Arial"/>
          <w:sz w:val="24"/>
          <w:szCs w:val="24"/>
        </w:rPr>
        <w:t xml:space="preserve">omento de contestar la demanda </w:t>
      </w:r>
      <w:r w:rsidRPr="007162E7">
        <w:rPr>
          <w:rFonts w:ascii="Arial" w:eastAsia="Calibri" w:hAnsi="Arial" w:cs="Arial"/>
          <w:sz w:val="24"/>
          <w:szCs w:val="24"/>
        </w:rPr>
        <w:t>es personal e inherente a su estrategia para litigar, resultando solamente necesaria como condición previa la admisión de ella por el juez. Es más, en todo caso, la determinación de tal actitud se vincula en particular con las condiciones actuales o inminentes – el qué, cómo, cuándo y dónde del acto- y con las consecuentes – para qué realizo el acto-.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Ahora bien, zanjado lo anterior, nuevamente se presenta otra pregunta: ¿qué rol cumple el auto de traslado de la demanda? ¿Es un supuesto precedente </w:t>
      </w:r>
      <w:r w:rsidRPr="007162E7">
        <w:rPr>
          <w:rFonts w:ascii="Arial" w:eastAsia="Calibri" w:hAnsi="Arial" w:cs="Arial"/>
          <w:sz w:val="24"/>
          <w:szCs w:val="24"/>
        </w:rPr>
        <w:lastRenderedPageBreak/>
        <w:t>a la contestación de la demanda civil -en general- y de interposición de una excepción procesal -en particular-?</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Este interrogante no es baladí. Al respecto ha suscitado y suscita actualmente numerosos inconvenientes.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Puede imaginarse algún caso donde el juez provea la demanda y previo a conferir el respectivo traslado ordene cumplir cuestiones necesarias –por ej. aclarar algún dato-. Este motivo serviría para incorporar hechos y prueba.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Ante esta situación, si el supuesto precedente de la contestación de la demanda fuese dicho auto que confiere traslado, el derecho de cualquier parte demandada a liberarse del proceso se vería totalmente vulnerado; razón por la cual coincidimos con Alvarado Velloso en cuanto a que no resulta necesario </w:t>
      </w:r>
      <w:r w:rsidRPr="007162E7">
        <w:rPr>
          <w:rFonts w:ascii="Arial" w:eastAsia="Calibri" w:hAnsi="Arial" w:cs="Arial"/>
          <w:i/>
          <w:sz w:val="24"/>
          <w:szCs w:val="24"/>
        </w:rPr>
        <w:t xml:space="preserve">“que se haya conferido un traslado al efecto, pues con o sin traslado el demandado siempre tiene elemental y obvio derecho a buscar su propia liberación del proceso, contradiciendo la pretensión reclamada u oponiendo las excepciones que fueren menester” </w:t>
      </w:r>
      <w:r w:rsidRPr="007162E7">
        <w:rPr>
          <w:rFonts w:ascii="Arial" w:eastAsia="Calibri" w:hAnsi="Arial" w:cs="Arial"/>
          <w:sz w:val="24"/>
          <w:szCs w:val="24"/>
          <w:vertAlign w:val="superscript"/>
        </w:rPr>
        <w:footnoteReference w:id="30"/>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Default="007162E7" w:rsidP="007162E7">
      <w:pPr>
        <w:spacing w:after="0" w:line="360" w:lineRule="auto"/>
        <w:ind w:firstLine="708"/>
        <w:jc w:val="both"/>
        <w:rPr>
          <w:rFonts w:ascii="Arial" w:eastAsia="Calibri" w:hAnsi="Arial" w:cs="Arial"/>
          <w:b/>
          <w:sz w:val="24"/>
          <w:szCs w:val="24"/>
        </w:rPr>
      </w:pPr>
      <w:r w:rsidRPr="007162E7">
        <w:rPr>
          <w:rFonts w:ascii="Arial" w:eastAsia="Calibri" w:hAnsi="Arial" w:cs="Arial"/>
          <w:b/>
          <w:sz w:val="24"/>
          <w:szCs w:val="24"/>
        </w:rPr>
        <w:t>4.3. Supuestos consecuentes a tener presentes al momento de excepcionar en el proceso civil.</w:t>
      </w:r>
    </w:p>
    <w:p w:rsidR="00E627D4" w:rsidRPr="007162E7" w:rsidRDefault="00E627D4" w:rsidP="007162E7">
      <w:pPr>
        <w:spacing w:after="0" w:line="360" w:lineRule="auto"/>
        <w:ind w:firstLine="708"/>
        <w:jc w:val="both"/>
        <w:rPr>
          <w:rFonts w:ascii="Arial" w:eastAsia="Calibri" w:hAnsi="Arial" w:cs="Arial"/>
          <w:b/>
          <w:sz w:val="24"/>
          <w:szCs w:val="24"/>
        </w:rPr>
      </w:pPr>
      <w:bookmarkStart w:id="0" w:name="_GoBack"/>
      <w:bookmarkEnd w:id="0"/>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En el punto 3 del discurso, cuando referimos a las condiciones del proceso judicial que fueron determinadas teniendo en cuenta la actividad cumplida por las partes en el proceso, especificamos que las futuras se relacionan con el interrogante ¿para qué realizo tal o cual acto?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Los supuestos consecuentes observan lo que se obtendrá con la admisibilidad o uno o varios actos. Miran el objeto del o los mismos.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Entonces, para esta postura las condiciones posteriores del acto de excepcionar en el proceso civil coinciden totalmente con la clasificación que de las mismas realiza Alvarado Velloso en su obra Lecciones de Derecho Procesal.</w:t>
      </w:r>
      <w:r w:rsidRPr="007162E7">
        <w:rPr>
          <w:rFonts w:ascii="Arial" w:eastAsia="Calibri" w:hAnsi="Arial" w:cs="Arial"/>
          <w:sz w:val="24"/>
          <w:szCs w:val="24"/>
          <w:vertAlign w:val="superscript"/>
        </w:rPr>
        <w:footnoteReference w:id="31"/>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Y esto es así, porque el citado jurista al clasificarlas partiendo de la actividad real y efectiva que cumple el demandado en el proceso, las sistematiza según sus objetos.</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 xml:space="preserve">Por lo tanto, una clasificación conforme el parámetro indicado lo que tiene precisamente en cuenta es lo que se pretende obtener a través de la correspondiente excepción, respondiendo ese objeto a la pregunta: ¿para qué se interpone una excepción procesal en el proceso civil?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Entonces, analicemos los supuestos consecuentes de la admisibilidad del acto de excepcionar en el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Alvarado Velloso alude genéricamente al supuesto consecuente de la contestación de la demanda y dice </w:t>
      </w:r>
      <w:r w:rsidRPr="007162E7">
        <w:rPr>
          <w:rFonts w:ascii="Arial" w:eastAsia="Calibri" w:hAnsi="Arial" w:cs="Arial"/>
          <w:i/>
          <w:sz w:val="24"/>
          <w:szCs w:val="24"/>
        </w:rPr>
        <w:t xml:space="preserve">“el supuesto consecuente de la contestación es lograr el convencimiento favorable del juez al momento de sentenciar respecto de la </w:t>
      </w:r>
      <w:proofErr w:type="spellStart"/>
      <w:r w:rsidRPr="007162E7">
        <w:rPr>
          <w:rFonts w:ascii="Arial" w:eastAsia="Calibri" w:hAnsi="Arial" w:cs="Arial"/>
          <w:i/>
          <w:sz w:val="24"/>
          <w:szCs w:val="24"/>
        </w:rPr>
        <w:t>sin razón</w:t>
      </w:r>
      <w:proofErr w:type="spellEnd"/>
      <w:r w:rsidRPr="007162E7">
        <w:rPr>
          <w:rFonts w:ascii="Arial" w:eastAsia="Calibri" w:hAnsi="Arial" w:cs="Arial"/>
          <w:i/>
          <w:sz w:val="24"/>
          <w:szCs w:val="24"/>
        </w:rPr>
        <w:t xml:space="preserve"> de la pretensión del actor (con lo cual la rechazará) o de la razón de la excepción del demandado (con la cual la acogerá).” </w:t>
      </w:r>
      <w:r w:rsidRPr="007162E7">
        <w:rPr>
          <w:rFonts w:ascii="Arial" w:eastAsia="Calibri" w:hAnsi="Arial" w:cs="Arial"/>
          <w:sz w:val="24"/>
          <w:szCs w:val="24"/>
          <w:vertAlign w:val="superscript"/>
        </w:rPr>
        <w:footnoteReference w:id="32"/>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 este punto corresponde hacer una aclaración dado que, a mi humilde entender, el supuesto consecuente de la excepción procesal opuesta por el demandado civil luce ser,</w:t>
      </w:r>
      <w:r w:rsidRPr="007162E7">
        <w:rPr>
          <w:rFonts w:ascii="Arial" w:eastAsia="Calibri" w:hAnsi="Arial" w:cs="Arial"/>
          <w:i/>
          <w:sz w:val="24"/>
          <w:szCs w:val="24"/>
        </w:rPr>
        <w:t xml:space="preserve"> solo</w:t>
      </w:r>
      <w:r w:rsidRPr="007162E7">
        <w:rPr>
          <w:rFonts w:ascii="Arial" w:eastAsia="Calibri" w:hAnsi="Arial" w:cs="Arial"/>
          <w:sz w:val="24"/>
          <w:szCs w:val="24"/>
        </w:rPr>
        <w:t xml:space="preserve"> en lo </w:t>
      </w:r>
      <w:r w:rsidRPr="007162E7">
        <w:rPr>
          <w:rFonts w:ascii="Arial" w:eastAsia="Calibri" w:hAnsi="Arial" w:cs="Arial"/>
          <w:i/>
          <w:sz w:val="24"/>
          <w:szCs w:val="24"/>
        </w:rPr>
        <w:t>mediato</w:t>
      </w:r>
      <w:r w:rsidRPr="007162E7">
        <w:rPr>
          <w:rFonts w:ascii="Arial" w:eastAsia="Calibri" w:hAnsi="Arial" w:cs="Arial"/>
          <w:sz w:val="24"/>
          <w:szCs w:val="24"/>
        </w:rPr>
        <w:t xml:space="preserve">, la obtención por parte del juez de una resolución que acoja su excepción; pero, en lo </w:t>
      </w:r>
      <w:r w:rsidRPr="007162E7">
        <w:rPr>
          <w:rFonts w:ascii="Arial" w:eastAsia="Calibri" w:hAnsi="Arial" w:cs="Arial"/>
          <w:i/>
          <w:sz w:val="24"/>
          <w:szCs w:val="24"/>
        </w:rPr>
        <w:t>inmediato</w:t>
      </w:r>
      <w:r w:rsidRPr="007162E7">
        <w:rPr>
          <w:rFonts w:ascii="Arial" w:eastAsia="Calibri" w:hAnsi="Arial" w:cs="Arial"/>
          <w:sz w:val="24"/>
          <w:szCs w:val="24"/>
        </w:rPr>
        <w:t xml:space="preserve">, el supuesto consecuente de la misma es su admisión por el juzgador para con ello pasar a convertirse en el supuesto precedente del acto de contestación de la excepción opuesta.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Aclarada ya la diferencia entre la condición posterior mediata e inmediata, se procede a distinguir los diferentes supuestos que engloba la primera consideración.</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Puede afirmarse que según el enfoque hacia el cual se dirija el ataque que funda la excepción en el proceso civil, las condici</w:t>
      </w:r>
      <w:r>
        <w:rPr>
          <w:rFonts w:ascii="Arial" w:eastAsia="Calibri" w:hAnsi="Arial" w:cs="Arial"/>
          <w:sz w:val="24"/>
          <w:szCs w:val="24"/>
        </w:rPr>
        <w:t>ones futuras mediatas</w:t>
      </w:r>
      <w:r w:rsidRPr="007162E7">
        <w:rPr>
          <w:rFonts w:ascii="Arial" w:eastAsia="Calibri" w:hAnsi="Arial" w:cs="Arial"/>
          <w:sz w:val="24"/>
          <w:szCs w:val="24"/>
        </w:rPr>
        <w:t xml:space="preserve"> se dividen en tres: 1.- las que atacan a la acción procurando extinguirla o paralizarla; 2.- las que atacan a la pretensión para que ella sea desestimada en la sentencia y; 3.- las que atacan la oportunidad en la cual el juez debe sentenciar a fin de evitar un caos jurídico.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En concreto: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i/>
          <w:sz w:val="24"/>
          <w:szCs w:val="24"/>
        </w:rPr>
        <w:t xml:space="preserve">Las que atacan a la acción </w:t>
      </w:r>
      <w:r w:rsidRPr="007162E7">
        <w:rPr>
          <w:rFonts w:ascii="Arial" w:eastAsia="Calibri" w:hAnsi="Arial" w:cs="Arial"/>
          <w:sz w:val="24"/>
          <w:szCs w:val="24"/>
        </w:rPr>
        <w:t xml:space="preserve">tienen por objeto impedir que se desarrolle la serie procedimental. </w:t>
      </w:r>
      <w:r w:rsidRPr="007162E7">
        <w:rPr>
          <w:rFonts w:ascii="Arial" w:eastAsia="Calibri" w:hAnsi="Arial" w:cs="Arial"/>
          <w:sz w:val="24"/>
          <w:szCs w:val="24"/>
          <w:vertAlign w:val="superscript"/>
        </w:rPr>
        <w:footnoteReference w:id="33"/>
      </w:r>
      <w:r w:rsidRPr="007162E7">
        <w:rPr>
          <w:rFonts w:ascii="Arial" w:eastAsia="Calibri" w:hAnsi="Arial" w:cs="Arial"/>
          <w:sz w:val="24"/>
          <w:szCs w:val="24"/>
        </w:rPr>
        <w:t xml:space="preserve"> Bien se mire, son la contracara de las condiciones previas de la acción procesal y de la demanda judicial.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Como se infiere, al tender estas excepciones al no desarrollo de la serie procedimental deben ser interpuestas al comienzo mismo del proceso.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Al decir de Alvarado Velloso </w:t>
      </w:r>
      <w:r w:rsidRPr="007162E7">
        <w:rPr>
          <w:rFonts w:ascii="Arial" w:eastAsia="Calibri" w:hAnsi="Arial" w:cs="Arial"/>
          <w:i/>
          <w:sz w:val="24"/>
          <w:szCs w:val="24"/>
        </w:rPr>
        <w:t xml:space="preserve">“cuando el demandado asume esta actitud, lo hace porque entiende que el proceso ya incoado en virtud de la admisión por el juez de la demanda del actor, carece de validez –por ejemplo, por estar prohibida la posibilidad de accionar- o porque reputa que no será útil para componer el litigio, en razón de no presentarse en el caso la suma total de los presupuestos de la acción y de la demanda” </w:t>
      </w:r>
      <w:r w:rsidRPr="007162E7">
        <w:rPr>
          <w:rFonts w:ascii="Arial" w:eastAsia="Calibri" w:hAnsi="Arial" w:cs="Arial"/>
          <w:i/>
          <w:sz w:val="24"/>
          <w:szCs w:val="24"/>
          <w:vertAlign w:val="superscript"/>
        </w:rPr>
        <w:footnoteReference w:id="34"/>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Ello así, dentro de este tipo de excepciones se pueden divisar dos tipos: las que pretenden obtener la </w:t>
      </w:r>
      <w:r w:rsidRPr="007162E7">
        <w:rPr>
          <w:rFonts w:ascii="Arial" w:eastAsia="Calibri" w:hAnsi="Arial" w:cs="Arial"/>
          <w:i/>
          <w:sz w:val="24"/>
          <w:szCs w:val="24"/>
        </w:rPr>
        <w:t xml:space="preserve">extinción </w:t>
      </w:r>
      <w:r w:rsidRPr="007162E7">
        <w:rPr>
          <w:rFonts w:ascii="Arial" w:eastAsia="Calibri" w:hAnsi="Arial" w:cs="Arial"/>
          <w:sz w:val="24"/>
          <w:szCs w:val="24"/>
        </w:rPr>
        <w:t xml:space="preserve">de la acción procesal y las que quieren obtener la </w:t>
      </w:r>
      <w:r w:rsidRPr="007162E7">
        <w:rPr>
          <w:rFonts w:ascii="Arial" w:eastAsia="Calibri" w:hAnsi="Arial" w:cs="Arial"/>
          <w:i/>
          <w:sz w:val="24"/>
          <w:szCs w:val="24"/>
        </w:rPr>
        <w:t xml:space="preserve">paralización </w:t>
      </w:r>
      <w:r w:rsidRPr="007162E7">
        <w:rPr>
          <w:rFonts w:ascii="Arial" w:eastAsia="Calibri" w:hAnsi="Arial" w:cs="Arial"/>
          <w:sz w:val="24"/>
          <w:szCs w:val="24"/>
        </w:rPr>
        <w:t>del proceso.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Las que procuran la extinción de la acción son la contracara de las condiciones previas de la respectiva acción procesal –coincidiendo en número y denominación- y se alegan afirmando </w:t>
      </w:r>
      <w:r w:rsidRPr="007162E7">
        <w:rPr>
          <w:rFonts w:ascii="Arial" w:eastAsia="Calibri" w:hAnsi="Arial" w:cs="Arial"/>
          <w:i/>
          <w:sz w:val="24"/>
          <w:szCs w:val="24"/>
        </w:rPr>
        <w:t>“la existencia de hechos impeditivos de la formación misma del proceso</w:t>
      </w:r>
      <w:r w:rsidRPr="007162E7">
        <w:rPr>
          <w:rFonts w:ascii="Arial" w:eastAsia="Calibri" w:hAnsi="Arial" w:cs="Arial"/>
          <w:sz w:val="24"/>
          <w:szCs w:val="24"/>
        </w:rPr>
        <w:t xml:space="preserve"> para </w:t>
      </w:r>
      <w:r w:rsidRPr="007162E7">
        <w:rPr>
          <w:rFonts w:ascii="Arial" w:eastAsia="Calibri" w:hAnsi="Arial" w:cs="Arial"/>
          <w:i/>
          <w:sz w:val="24"/>
          <w:szCs w:val="24"/>
        </w:rPr>
        <w:t xml:space="preserve">lograr la inmediata cesación del desarrollo de la serie iniciada con la admisión de la demanda (caso de acogerla, el juez debe ordenar el archivo de las actuaciones ya cumplidas ante él)” </w:t>
      </w:r>
      <w:r w:rsidRPr="007162E7">
        <w:rPr>
          <w:rFonts w:ascii="Arial" w:eastAsia="Calibri" w:hAnsi="Arial" w:cs="Arial"/>
          <w:sz w:val="24"/>
          <w:szCs w:val="24"/>
          <w:vertAlign w:val="superscript"/>
        </w:rPr>
        <w:footnoteReference w:id="35"/>
      </w:r>
      <w:r w:rsidRPr="007162E7">
        <w:rPr>
          <w:rFonts w:ascii="Arial" w:eastAsia="Calibri" w:hAnsi="Arial" w:cs="Arial"/>
          <w:i/>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Por su parte, las que persiguen la paralización del proceso son la contracara de las condiciones previas de la demanda judicial –coincidiendo en número y denominación- y se alegan afirmando hechos impeditivos de la continuación del proceso con la finalidad de la paralización íntegra de la serie procedimental.</w:t>
      </w:r>
      <w:r w:rsidRPr="007162E7">
        <w:rPr>
          <w:rFonts w:ascii="Arial" w:eastAsia="Calibri" w:hAnsi="Arial" w:cs="Arial"/>
          <w:sz w:val="24"/>
          <w:szCs w:val="24"/>
          <w:vertAlign w:val="superscript"/>
        </w:rPr>
        <w:footnoteReference w:id="36"/>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i/>
          <w:sz w:val="24"/>
          <w:szCs w:val="24"/>
        </w:rPr>
        <w:t xml:space="preserve">Las que atacan a la pretensión </w:t>
      </w:r>
      <w:r w:rsidRPr="007162E7">
        <w:rPr>
          <w:rFonts w:ascii="Arial" w:eastAsia="Calibri" w:hAnsi="Arial" w:cs="Arial"/>
          <w:sz w:val="24"/>
          <w:szCs w:val="24"/>
        </w:rPr>
        <w:t xml:space="preserve">procesal tienen por objeto que el juez la rechace en el momento de la sentencia. Su fuente puede estar en la legislación de fondo o de forma y </w:t>
      </w:r>
      <w:r w:rsidRPr="007162E7">
        <w:rPr>
          <w:rFonts w:ascii="Arial" w:eastAsia="Calibri" w:hAnsi="Arial" w:cs="Arial"/>
          <w:i/>
          <w:sz w:val="24"/>
          <w:szCs w:val="24"/>
        </w:rPr>
        <w:t xml:space="preserve">“no son de interposición ni de resolución previa, en razón de que no atacan a la formación misma del proceso, sino al hecho en el cual el actor basa su pretensión o al derecho en el cual lo encuadra.” </w:t>
      </w:r>
      <w:r w:rsidRPr="007162E7">
        <w:rPr>
          <w:rFonts w:ascii="Arial" w:eastAsia="Calibri" w:hAnsi="Arial" w:cs="Arial"/>
          <w:sz w:val="24"/>
          <w:szCs w:val="24"/>
          <w:vertAlign w:val="superscript"/>
        </w:rPr>
        <w:footnoteReference w:id="37"/>
      </w: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i/>
          <w:sz w:val="24"/>
          <w:szCs w:val="24"/>
        </w:rPr>
      </w:pPr>
      <w:r w:rsidRPr="007162E7">
        <w:rPr>
          <w:rFonts w:ascii="Arial" w:eastAsia="Calibri" w:hAnsi="Arial" w:cs="Arial"/>
          <w:sz w:val="24"/>
          <w:szCs w:val="24"/>
        </w:rPr>
        <w:t xml:space="preserve">Finalmente, </w:t>
      </w:r>
      <w:r w:rsidRPr="007162E7">
        <w:rPr>
          <w:rFonts w:ascii="Arial" w:eastAsia="Calibri" w:hAnsi="Arial" w:cs="Arial"/>
          <w:i/>
          <w:sz w:val="24"/>
          <w:szCs w:val="24"/>
        </w:rPr>
        <w:t xml:space="preserve">las que atacan la oportunidad en la cual el juez debe sentenciar </w:t>
      </w:r>
      <w:r w:rsidRPr="007162E7">
        <w:rPr>
          <w:rFonts w:ascii="Arial" w:eastAsia="Calibri" w:hAnsi="Arial" w:cs="Arial"/>
          <w:sz w:val="24"/>
          <w:szCs w:val="24"/>
        </w:rPr>
        <w:t xml:space="preserve">tienen por objeto que </w:t>
      </w:r>
      <w:r w:rsidRPr="007162E7">
        <w:rPr>
          <w:rFonts w:ascii="Arial" w:eastAsia="Calibri" w:hAnsi="Arial" w:cs="Arial"/>
          <w:i/>
          <w:sz w:val="24"/>
          <w:szCs w:val="24"/>
        </w:rPr>
        <w:t xml:space="preserve">“una vez terminado el curso de la serie procedimental, el juez postergue la emisión de la sentencia que resolverá el litigio </w:t>
      </w:r>
      <w:r w:rsidRPr="007162E7">
        <w:rPr>
          <w:rFonts w:ascii="Arial" w:eastAsia="Calibri" w:hAnsi="Arial" w:cs="Arial"/>
          <w:i/>
          <w:sz w:val="24"/>
          <w:szCs w:val="24"/>
        </w:rPr>
        <w:lastRenderedPageBreak/>
        <w:t xml:space="preserve">hasta tanto exista pronunciamiento definitivo en otro litigio conexo por la causa o hasta que ambos estén en condiciones de ser sentenciados por un mismo juzgador en acto único de juzgamiento” </w:t>
      </w:r>
      <w:r w:rsidRPr="007162E7">
        <w:rPr>
          <w:rFonts w:ascii="Arial" w:eastAsia="Calibri" w:hAnsi="Arial" w:cs="Arial"/>
          <w:i/>
          <w:sz w:val="24"/>
          <w:szCs w:val="24"/>
          <w:vertAlign w:val="superscript"/>
        </w:rPr>
        <w:footnoteReference w:id="38"/>
      </w:r>
      <w:r w:rsidRPr="007162E7">
        <w:rPr>
          <w:rFonts w:ascii="Arial" w:eastAsia="Calibri" w:hAnsi="Arial" w:cs="Arial"/>
          <w:i/>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De esta manera, se han expuesto los supuestos consecuentes a tener presente al excepcionar en el proceso civil, gustándome concluir este ítem con la reafirmación respecto a la diferencia entre los supuestos consecuentes mediatos y el inmediato.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Estimo que esta diferenciación permite a la defensa tener un doble análisis paralelo. Es decir, por un lado, enfocar su voluntad hacia la decisión final -lo que pretende obtener-, mientras que, por el otro, dirigirse a una providencia judicial que permita la contestación de la excepción interpuesta y que así prosiga la serie lógica y consecuencial de instancias bilaterales –el proceso-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El norte de la excepción procesal en el proceso civil está dado por los supuestos consecuentes de la misma. Es fundamental convencer al juez de la razón de la pretensión interpuesta. Sin tener claro este norte, sería una aventura sin destino el proceso judicial y, por ende, muy difícil la liberación del mismo por la parte demandada.</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b/>
          <w:sz w:val="24"/>
          <w:szCs w:val="24"/>
        </w:rPr>
      </w:pPr>
      <w:r w:rsidRPr="007162E7">
        <w:rPr>
          <w:rFonts w:ascii="Arial" w:eastAsia="Calibri" w:hAnsi="Arial" w:cs="Arial"/>
          <w:b/>
          <w:sz w:val="24"/>
          <w:szCs w:val="24"/>
        </w:rPr>
        <w:t>5.- Conclusión.</w:t>
      </w:r>
    </w:p>
    <w:p w:rsidR="007162E7" w:rsidRPr="007162E7" w:rsidRDefault="007162E7" w:rsidP="007162E7">
      <w:pPr>
        <w:spacing w:after="0" w:line="360" w:lineRule="auto"/>
        <w:ind w:firstLine="708"/>
        <w:jc w:val="both"/>
        <w:rPr>
          <w:rFonts w:ascii="Arial" w:eastAsia="Calibri" w:hAnsi="Arial" w:cs="Arial"/>
          <w:b/>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Todo acto de la vida tiene una causa, un motivo y un porqué, que sirve de andamiaje o base y fundamenta el respectivo para qué.</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Siendo ello así, los actos inmersos en cada una de las fases del proceso no escapan a tal realidad. Mejor dicho, cada acto procedimental tiene una causa, un porqué debe realizarse y un objetivo que determina el para qué se realiza.</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Delimitando la cuestión y analizándola respecto a la excepción procesal en el marco del proceso civil, se entiende que la causa, el origen o la razón de la misma es simplemente una: la admisión de la demanda por parte del juez.</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Basta con que el juez admita la demanda incoada por la parte actora para que la parte demandada tenga derecho a interponer una excepción procesal en el proceso civil.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lastRenderedPageBreak/>
        <w:t>Ahora bien, ahí está el ¿por qué? contesto la demanda. Pero claro, no es tan sencillo como parece, pues paralelamente al mismo tiempo que se razona el origen de mi actuar, se debe razonar lo que se pretende con dicho actuar. Esto define mi actitud.</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Será entonces la definición de mi actitud - ¿para qué? - la que determinará que el acto sea una excepción procesal.</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Como ven, este fenómeno complejísimo de por sí conlleva un proceso intelectual múltiple y dificultoso que evalúa no sólo porqué debo actuar, para qué lo hago o qué quiero obtener haciéndolo, sino también qué voy hacer para realizarlo, cómo, cuándo y dónde.</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La legislación contingente indicará los tiempos en que debe llevarse a cabo y plasmarse todo este análisis, pero lo cierto es que para hacerlo correctamente debe agudizarse el conocimiento al respecto.</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Poder definir las tres condiciones relacionadas con el origen, la realización y el objeto de la excepción procesal en el marco de un proceso civil, resulta fundamental para tener una comprensión cabal y </w:t>
      </w:r>
      <w:r>
        <w:rPr>
          <w:rFonts w:ascii="Arial" w:eastAsia="Calibri" w:hAnsi="Arial" w:cs="Arial"/>
          <w:sz w:val="24"/>
          <w:szCs w:val="24"/>
        </w:rPr>
        <w:t>sistémica</w:t>
      </w:r>
      <w:r w:rsidRPr="007162E7">
        <w:rPr>
          <w:rFonts w:ascii="Arial" w:eastAsia="Calibri" w:hAnsi="Arial" w:cs="Arial"/>
          <w:sz w:val="24"/>
          <w:szCs w:val="24"/>
        </w:rPr>
        <w:t xml:space="preserve"> de la cuestión a fin de dirigir nuestra voluntad con conocimiento </w:t>
      </w:r>
      <w:r>
        <w:rPr>
          <w:rFonts w:ascii="Arial" w:eastAsia="Calibri" w:hAnsi="Arial" w:cs="Arial"/>
          <w:sz w:val="24"/>
          <w:szCs w:val="24"/>
        </w:rPr>
        <w:t xml:space="preserve">profundo </w:t>
      </w:r>
      <w:r w:rsidRPr="007162E7">
        <w:rPr>
          <w:rFonts w:ascii="Arial" w:eastAsia="Calibri" w:hAnsi="Arial" w:cs="Arial"/>
          <w:sz w:val="24"/>
          <w:szCs w:val="24"/>
        </w:rPr>
        <w:t xml:space="preserve">sobre el caso y, así, procurar que el excepcionar el proceso civil </w:t>
      </w:r>
      <w:r w:rsidR="00FA41E8">
        <w:rPr>
          <w:rFonts w:ascii="Arial" w:eastAsia="Calibri" w:hAnsi="Arial" w:cs="Arial"/>
          <w:sz w:val="24"/>
          <w:szCs w:val="24"/>
        </w:rPr>
        <w:t>se pueda realizar con plena</w:t>
      </w:r>
      <w:r w:rsidRPr="007162E7">
        <w:rPr>
          <w:rFonts w:ascii="Arial" w:eastAsia="Calibri" w:hAnsi="Arial" w:cs="Arial"/>
          <w:sz w:val="24"/>
          <w:szCs w:val="24"/>
        </w:rPr>
        <w:t xml:space="preserve"> eficacia y eficiencia. </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 </w:t>
      </w:r>
      <w:r w:rsidRPr="007162E7">
        <w:rPr>
          <w:rFonts w:ascii="Arial" w:eastAsia="Calibri" w:hAnsi="Arial" w:cs="Arial"/>
          <w:sz w:val="24"/>
          <w:szCs w:val="24"/>
        </w:rPr>
        <w:tab/>
        <w:t xml:space="preserve"> </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b/>
          <w:i/>
          <w:sz w:val="24"/>
          <w:szCs w:val="24"/>
        </w:rPr>
      </w:pPr>
      <w:r w:rsidRPr="007162E7">
        <w:rPr>
          <w:rFonts w:ascii="Arial" w:eastAsia="Calibri" w:hAnsi="Arial" w:cs="Arial"/>
          <w:b/>
          <w:i/>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r w:rsidRPr="007162E7">
        <w:rPr>
          <w:rFonts w:ascii="Arial" w:eastAsia="Calibri" w:hAnsi="Arial" w:cs="Arial"/>
          <w:sz w:val="24"/>
          <w:szCs w:val="24"/>
        </w:rPr>
        <w:t xml:space="preserve">  </w:t>
      </w: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7162E7" w:rsidRPr="007162E7" w:rsidRDefault="007162E7" w:rsidP="007162E7">
      <w:pPr>
        <w:spacing w:after="0" w:line="360" w:lineRule="auto"/>
        <w:ind w:firstLine="708"/>
        <w:jc w:val="both"/>
        <w:rPr>
          <w:rFonts w:ascii="Arial" w:eastAsia="Calibri" w:hAnsi="Arial" w:cs="Arial"/>
          <w:sz w:val="24"/>
          <w:szCs w:val="24"/>
        </w:rPr>
      </w:pPr>
    </w:p>
    <w:p w:rsidR="00AE6913" w:rsidRPr="00194B08" w:rsidRDefault="00AE6913" w:rsidP="00194B08">
      <w:pPr>
        <w:spacing w:after="0" w:line="360" w:lineRule="auto"/>
        <w:ind w:firstLine="708"/>
        <w:jc w:val="both"/>
        <w:rPr>
          <w:rFonts w:ascii="Arial" w:hAnsi="Arial" w:cs="Arial"/>
          <w:sz w:val="24"/>
          <w:szCs w:val="24"/>
        </w:rPr>
      </w:pPr>
    </w:p>
    <w:sectPr w:rsidR="00AE6913" w:rsidRPr="00194B08">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8F9" w:rsidRDefault="000A38F9" w:rsidP="00207CC1">
      <w:pPr>
        <w:spacing w:after="0" w:line="240" w:lineRule="auto"/>
      </w:pPr>
      <w:r>
        <w:separator/>
      </w:r>
    </w:p>
  </w:endnote>
  <w:endnote w:type="continuationSeparator" w:id="0">
    <w:p w:rsidR="000A38F9" w:rsidRDefault="000A38F9" w:rsidP="0020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228970"/>
      <w:docPartObj>
        <w:docPartGallery w:val="Page Numbers (Bottom of Page)"/>
        <w:docPartUnique/>
      </w:docPartObj>
    </w:sdtPr>
    <w:sdtEndPr/>
    <w:sdtContent>
      <w:p w:rsidR="00D5679E" w:rsidRDefault="00D5679E">
        <w:pPr>
          <w:pStyle w:val="Piedepgina"/>
          <w:jc w:val="right"/>
        </w:pPr>
        <w:r>
          <w:fldChar w:fldCharType="begin"/>
        </w:r>
        <w:r>
          <w:instrText>PAGE   \* MERGEFORMAT</w:instrText>
        </w:r>
        <w:r>
          <w:fldChar w:fldCharType="separate"/>
        </w:r>
        <w:r w:rsidR="00E627D4" w:rsidRPr="00E627D4">
          <w:rPr>
            <w:noProof/>
            <w:lang w:val="es-ES"/>
          </w:rPr>
          <w:t>16</w:t>
        </w:r>
        <w:r>
          <w:fldChar w:fldCharType="end"/>
        </w:r>
      </w:p>
    </w:sdtContent>
  </w:sdt>
  <w:p w:rsidR="00D5679E" w:rsidRDefault="00D5679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8F9" w:rsidRDefault="000A38F9" w:rsidP="00207CC1">
      <w:pPr>
        <w:spacing w:after="0" w:line="240" w:lineRule="auto"/>
      </w:pPr>
      <w:r>
        <w:separator/>
      </w:r>
    </w:p>
  </w:footnote>
  <w:footnote w:type="continuationSeparator" w:id="0">
    <w:p w:rsidR="000A38F9" w:rsidRDefault="000A38F9" w:rsidP="00207CC1">
      <w:pPr>
        <w:spacing w:after="0" w:line="240" w:lineRule="auto"/>
      </w:pPr>
      <w:r>
        <w:continuationSeparator/>
      </w:r>
    </w:p>
  </w:footnote>
  <w:footnote w:id="1">
    <w:p w:rsidR="007162E7" w:rsidRDefault="007162E7" w:rsidP="007162E7">
      <w:pPr>
        <w:pStyle w:val="Textonotapie"/>
        <w:jc w:val="both"/>
        <w:rPr>
          <w:rFonts w:ascii="Calibri" w:hAnsi="Calibri" w:cs="Times New Roman"/>
        </w:rPr>
      </w:pPr>
      <w:r>
        <w:rPr>
          <w:rStyle w:val="Refdenotaalpie"/>
        </w:rPr>
        <w:footnoteRef/>
      </w:r>
      <w:r>
        <w:t xml:space="preserve"> “1. m. Construcción teórica para comprender un problema determinado.”;   </w:t>
      </w:r>
      <w:hyperlink r:id="rId1" w:history="1">
        <w:r>
          <w:rPr>
            <w:rStyle w:val="Hipervnculo"/>
          </w:rPr>
          <w:t>https://dle.rae.es/constructo</w:t>
        </w:r>
      </w:hyperlink>
      <w:r>
        <w:t>; 24/10/2022.</w:t>
      </w:r>
    </w:p>
  </w:footnote>
  <w:footnote w:id="2">
    <w:p w:rsidR="007162E7" w:rsidRDefault="007162E7" w:rsidP="007162E7">
      <w:pPr>
        <w:pStyle w:val="Textonotapie"/>
        <w:jc w:val="both"/>
        <w:rPr>
          <w:i/>
        </w:rPr>
      </w:pPr>
      <w:r>
        <w:rPr>
          <w:rStyle w:val="Refdenotaalpie"/>
        </w:rPr>
        <w:footnoteRef/>
      </w:r>
      <w:r>
        <w:t xml:space="preserve"> Véanse los conceptos de eficacia y eficiencia en: Alvarado Velloso, Adolfo; “Lecciones de derecho procesal”, adaptadas a la legislación civil y penal de la provincia de Buenos Aires por Gustavo </w:t>
      </w:r>
      <w:proofErr w:type="spellStart"/>
      <w:r>
        <w:t>Calvinho</w:t>
      </w:r>
      <w:proofErr w:type="spellEnd"/>
      <w:r>
        <w:t xml:space="preserve"> y Gabriel H. Di Giulio; </w:t>
      </w:r>
      <w:proofErr w:type="spellStart"/>
      <w:r>
        <w:t>Astrea</w:t>
      </w:r>
      <w:proofErr w:type="spellEnd"/>
      <w:r>
        <w:t>, Buenos Aires-Bogotá; 2015; pp. 181-182.</w:t>
      </w:r>
    </w:p>
  </w:footnote>
  <w:footnote w:id="3">
    <w:p w:rsidR="007162E7" w:rsidRDefault="007162E7" w:rsidP="007162E7">
      <w:pPr>
        <w:pStyle w:val="Textonotapie"/>
        <w:jc w:val="both"/>
      </w:pPr>
      <w:r>
        <w:rPr>
          <w:rStyle w:val="Refdenotaalpie"/>
        </w:rPr>
        <w:footnoteRef/>
      </w:r>
      <w:r>
        <w:t xml:space="preserve"> ALVARADO VELLOSO, Adolfo, El debido proceso de la garantía constitucional, Zeus, Rosario, 2003, p. 301; FERRAJOLI, Luigi, El </w:t>
      </w:r>
      <w:proofErr w:type="spellStart"/>
      <w:r>
        <w:t>garantismo</w:t>
      </w:r>
      <w:proofErr w:type="spellEnd"/>
      <w:r>
        <w:t xml:space="preserve"> y la filosofía del derecho, Trad. de Gerardo </w:t>
      </w:r>
      <w:proofErr w:type="spellStart"/>
      <w:r>
        <w:t>Pisarello</w:t>
      </w:r>
      <w:proofErr w:type="spellEnd"/>
      <w:r>
        <w:t xml:space="preserve">, </w:t>
      </w:r>
      <w:proofErr w:type="spellStart"/>
      <w:r>
        <w:t>Alexei</w:t>
      </w:r>
      <w:proofErr w:type="spellEnd"/>
      <w:r>
        <w:t xml:space="preserve"> Julio Estrada y José Manuel Díaz Martín, Universidad Externado de Colombia, Bogotá, 2001, pp. 167-171. Para completar la intelección se puede consultar la concepción del maestro italiano sobre los DERECHOS FUNDAMENTALES y la interpretación del término PLENITUD en: FERRAJOLI, Luigi, Epistemología jurídica y garantismo,http://www.academiadederecho.org/upload/biblio/contenidos/Epistemologia__Luigi_Ferrajoli.pdf, 18 de marzo de 2019, pp. 284-286 y FERRAJOLI, Luigi, El derecho como sistema de garantías, http://www.academiadederecho.org/upload/biblio/contenidos/RUDP__Anio_1999__Num_2__El_Derecho_como_Sistema_de_Garantias__Luigi_Ferrajoli.pdf, 18 de marzo de 2019, p. 215.</w:t>
      </w:r>
    </w:p>
  </w:footnote>
  <w:footnote w:id="4">
    <w:p w:rsidR="007162E7" w:rsidRDefault="007162E7" w:rsidP="007162E7">
      <w:pPr>
        <w:pStyle w:val="Textonotapie"/>
        <w:jc w:val="both"/>
      </w:pPr>
      <w:r>
        <w:rPr>
          <w:rStyle w:val="Refdenotaalpie"/>
        </w:rPr>
        <w:footnoteRef/>
      </w:r>
      <w:r>
        <w:t xml:space="preserve"> ALVARADO VELLOSO, Adolfo, El debido proceso…, ob. cit. p. 301. </w:t>
      </w:r>
    </w:p>
    <w:p w:rsidR="007162E7" w:rsidRDefault="007162E7" w:rsidP="007162E7">
      <w:pPr>
        <w:pStyle w:val="Textonotapie"/>
        <w:jc w:val="both"/>
      </w:pPr>
      <w:r>
        <w:t>Para una cognición sobre las GARANTÍAS vean: FERRAJOLI, Luigi, El derecho…, ob. cit., p. 210.</w:t>
      </w:r>
    </w:p>
  </w:footnote>
  <w:footnote w:id="5">
    <w:p w:rsidR="007162E7" w:rsidRDefault="007162E7" w:rsidP="007162E7">
      <w:pPr>
        <w:pStyle w:val="Textonotapie"/>
      </w:pPr>
      <w:r>
        <w:rPr>
          <w:rStyle w:val="Refdenotaalpie"/>
        </w:rPr>
        <w:footnoteRef/>
      </w:r>
      <w:r>
        <w:t xml:space="preserve"> ALVARADO VELLOSO, Adolfo, El debido proceso…, ob. cit. p. 302.</w:t>
      </w:r>
    </w:p>
  </w:footnote>
  <w:footnote w:id="6">
    <w:p w:rsidR="007162E7" w:rsidRDefault="007162E7" w:rsidP="007162E7">
      <w:pPr>
        <w:pStyle w:val="Textonotapie"/>
        <w:jc w:val="both"/>
      </w:pPr>
      <w:r>
        <w:rPr>
          <w:rStyle w:val="Refdenotaalpie"/>
        </w:rPr>
        <w:footnoteRef/>
      </w:r>
      <w:r>
        <w:t xml:space="preserve"> BRISEÑO SIERRA, Humberto, Derecho Procesal, 1ra. ed., Cárdenas, Distrito Federal, México, 1969, vol. III, p. 106.</w:t>
      </w:r>
    </w:p>
  </w:footnote>
  <w:footnote w:id="7">
    <w:p w:rsidR="007162E7" w:rsidRDefault="007162E7" w:rsidP="007162E7">
      <w:pPr>
        <w:pStyle w:val="Textonotapie"/>
      </w:pPr>
      <w:r>
        <w:rPr>
          <w:rStyle w:val="Refdenotaalpie"/>
        </w:rPr>
        <w:footnoteRef/>
      </w:r>
      <w:r>
        <w:t xml:space="preserve"> Ibídem. p. 112.</w:t>
      </w:r>
    </w:p>
  </w:footnote>
  <w:footnote w:id="8">
    <w:p w:rsidR="007162E7" w:rsidRDefault="007162E7" w:rsidP="007162E7">
      <w:pPr>
        <w:pStyle w:val="Textonotapie"/>
        <w:jc w:val="both"/>
      </w:pPr>
      <w:r>
        <w:rPr>
          <w:rStyle w:val="Refdenotaalpie"/>
        </w:rPr>
        <w:footnoteRef/>
      </w:r>
      <w:r>
        <w:t xml:space="preserve"> BRISEÑO SIERRA, Humberto, Compendio de Derecho Procesal, </w:t>
      </w:r>
      <w:proofErr w:type="spellStart"/>
      <w:r>
        <w:t>Humanitas</w:t>
      </w:r>
      <w:proofErr w:type="spellEnd"/>
      <w:r>
        <w:t>, Distrito Federal, México, 1989, p. 244.</w:t>
      </w:r>
    </w:p>
  </w:footnote>
  <w:footnote w:id="9">
    <w:p w:rsidR="007162E7" w:rsidRDefault="007162E7" w:rsidP="007162E7">
      <w:pPr>
        <w:pStyle w:val="Textonotapie"/>
      </w:pPr>
      <w:r>
        <w:rPr>
          <w:rStyle w:val="Refdenotaalpie"/>
        </w:rPr>
        <w:footnoteRef/>
      </w:r>
      <w:r>
        <w:t xml:space="preserve"> BRISEÑO SIERRA, Humberto, Derecho…, ob. cit., vol. III, p. 112.</w:t>
      </w:r>
    </w:p>
  </w:footnote>
  <w:footnote w:id="10">
    <w:p w:rsidR="007162E7" w:rsidRDefault="007162E7" w:rsidP="007162E7">
      <w:pPr>
        <w:pStyle w:val="Textonotapie"/>
        <w:jc w:val="both"/>
      </w:pPr>
      <w:r>
        <w:rPr>
          <w:rStyle w:val="Refdenotaalpie"/>
        </w:rPr>
        <w:footnoteRef/>
      </w:r>
      <w:r>
        <w:t xml:space="preserve"> ALVARADO VELLOSO, Adolfo; “Lecciones...”, ob. cit.; p. 168.</w:t>
      </w:r>
    </w:p>
  </w:footnote>
  <w:footnote w:id="11">
    <w:p w:rsidR="007162E7" w:rsidRDefault="007162E7" w:rsidP="007162E7">
      <w:pPr>
        <w:pStyle w:val="Textonotapie"/>
      </w:pPr>
      <w:r>
        <w:rPr>
          <w:rStyle w:val="Refdenotaalpie"/>
        </w:rPr>
        <w:footnoteRef/>
      </w:r>
      <w:r>
        <w:t xml:space="preserve"> Ídem.</w:t>
      </w:r>
    </w:p>
  </w:footnote>
  <w:footnote w:id="12">
    <w:p w:rsidR="007162E7" w:rsidRDefault="007162E7" w:rsidP="007162E7">
      <w:pPr>
        <w:pStyle w:val="Textonotapie"/>
      </w:pPr>
      <w:r>
        <w:rPr>
          <w:rStyle w:val="Refdenotaalpie"/>
        </w:rPr>
        <w:footnoteRef/>
      </w:r>
      <w:r>
        <w:t xml:space="preserve"> Ibídem. p. 169</w:t>
      </w:r>
    </w:p>
  </w:footnote>
  <w:footnote w:id="13">
    <w:p w:rsidR="007162E7" w:rsidRDefault="007162E7" w:rsidP="007162E7">
      <w:pPr>
        <w:pStyle w:val="Textonotapie"/>
      </w:pPr>
      <w:r>
        <w:rPr>
          <w:rStyle w:val="Refdenotaalpie"/>
        </w:rPr>
        <w:footnoteRef/>
      </w:r>
      <w:r>
        <w:t xml:space="preserve"> </w:t>
      </w:r>
      <w:hyperlink r:id="rId2" w:anchor="ABisSB6" w:history="1">
        <w:r>
          <w:rPr>
            <w:rStyle w:val="Hipervnculo"/>
          </w:rPr>
          <w:t>https://dle.rae.es/condici%C3%B3n#ABisSB6</w:t>
        </w:r>
      </w:hyperlink>
      <w:r>
        <w:t>; 12/10/2022</w:t>
      </w:r>
    </w:p>
  </w:footnote>
  <w:footnote w:id="14">
    <w:p w:rsidR="007162E7" w:rsidRDefault="007162E7" w:rsidP="007162E7">
      <w:pPr>
        <w:pStyle w:val="Textonotapie"/>
      </w:pPr>
      <w:r>
        <w:rPr>
          <w:rStyle w:val="Refdenotaalpie"/>
        </w:rPr>
        <w:footnoteRef/>
      </w:r>
      <w:r>
        <w:t xml:space="preserve"> </w:t>
      </w:r>
      <w:hyperlink r:id="rId3" w:history="1">
        <w:r>
          <w:rPr>
            <w:rStyle w:val="Hipervnculo"/>
          </w:rPr>
          <w:t>https://dle.rae.es/presupuesto?m=form</w:t>
        </w:r>
      </w:hyperlink>
      <w:r>
        <w:t>; 12/10/2022</w:t>
      </w:r>
    </w:p>
  </w:footnote>
  <w:footnote w:id="15">
    <w:p w:rsidR="007162E7" w:rsidRDefault="007162E7" w:rsidP="007162E7">
      <w:pPr>
        <w:pStyle w:val="Textonotapie"/>
        <w:jc w:val="both"/>
      </w:pPr>
      <w:r>
        <w:rPr>
          <w:rStyle w:val="Refdenotaalpie"/>
        </w:rPr>
        <w:footnoteRef/>
      </w:r>
      <w:r>
        <w:t xml:space="preserve"> COUTURE, Eduardo J.; “</w:t>
      </w:r>
      <w:proofErr w:type="spellStart"/>
      <w:r>
        <w:t>Fudamentos</w:t>
      </w:r>
      <w:proofErr w:type="spellEnd"/>
      <w:r>
        <w:t xml:space="preserve"> del Derecho Procesal Civil”; Euros Editores, cuarta edición, primera de esta editorial, Buenos Aires, 2005, p. 84.</w:t>
      </w:r>
    </w:p>
  </w:footnote>
  <w:footnote w:id="16">
    <w:p w:rsidR="007162E7" w:rsidRDefault="007162E7" w:rsidP="007162E7">
      <w:pPr>
        <w:pStyle w:val="Textonotapie"/>
      </w:pPr>
      <w:r>
        <w:rPr>
          <w:rStyle w:val="Refdenotaalpie"/>
        </w:rPr>
        <w:footnoteRef/>
      </w:r>
      <w:r>
        <w:t xml:space="preserve"> Ibídem. p. 85.</w:t>
      </w:r>
    </w:p>
  </w:footnote>
  <w:footnote w:id="17">
    <w:p w:rsidR="007162E7" w:rsidRDefault="007162E7" w:rsidP="007162E7">
      <w:pPr>
        <w:pStyle w:val="Textonotapie"/>
      </w:pPr>
      <w:r>
        <w:rPr>
          <w:rStyle w:val="Refdenotaalpie"/>
        </w:rPr>
        <w:footnoteRef/>
      </w:r>
      <w:r>
        <w:t xml:space="preserve"> ECHANDÍA, </w:t>
      </w:r>
      <w:proofErr w:type="spellStart"/>
      <w:r>
        <w:t>Devis</w:t>
      </w:r>
      <w:proofErr w:type="spellEnd"/>
      <w:r>
        <w:t>, Teoría General de Proceso, T. I, editorial Universidad, 1984, Buenos Aires, p. 315.</w:t>
      </w:r>
    </w:p>
  </w:footnote>
  <w:footnote w:id="18">
    <w:p w:rsidR="007162E7" w:rsidRDefault="007162E7" w:rsidP="007162E7">
      <w:pPr>
        <w:pStyle w:val="Textonotapie"/>
        <w:jc w:val="both"/>
      </w:pPr>
      <w:r>
        <w:rPr>
          <w:rStyle w:val="Refdenotaalpie"/>
        </w:rPr>
        <w:footnoteRef/>
      </w:r>
      <w:r>
        <w:t xml:space="preserve"> BUENO VIDIGAL, Presupuesto procesales y condiciones de la acción, Revista de </w:t>
      </w:r>
      <w:proofErr w:type="spellStart"/>
      <w:r>
        <w:t>Direito</w:t>
      </w:r>
      <w:proofErr w:type="spellEnd"/>
      <w:r>
        <w:t xml:space="preserve"> </w:t>
      </w:r>
      <w:proofErr w:type="spellStart"/>
      <w:r>
        <w:t>Processaul</w:t>
      </w:r>
      <w:proofErr w:type="spellEnd"/>
      <w:r>
        <w:t xml:space="preserve"> Civil, San Pablo, 1967-VI-5, citado por </w:t>
      </w:r>
      <w:proofErr w:type="spellStart"/>
      <w:r>
        <w:t>Morello</w:t>
      </w:r>
      <w:proofErr w:type="spellEnd"/>
      <w:r>
        <w:t>-Sosa-</w:t>
      </w:r>
      <w:proofErr w:type="spellStart"/>
      <w:r>
        <w:t>Berizonce</w:t>
      </w:r>
      <w:proofErr w:type="spellEnd"/>
      <w:r>
        <w:t xml:space="preserve">, Códigos Procesales en lo Civil y Comercial de la Provincia de Buenos </w:t>
      </w:r>
      <w:proofErr w:type="gramStart"/>
      <w:r>
        <w:t>Aires  y</w:t>
      </w:r>
      <w:proofErr w:type="gramEnd"/>
      <w:r>
        <w:t xml:space="preserve"> de la Nación, comentados y anotados, cuarta edición ampliada y actualizada, </w:t>
      </w:r>
      <w:proofErr w:type="spellStart"/>
      <w:r>
        <w:t>Abeledo</w:t>
      </w:r>
      <w:proofErr w:type="spellEnd"/>
      <w:r>
        <w:t xml:space="preserve"> </w:t>
      </w:r>
      <w:proofErr w:type="spellStart"/>
      <w:r>
        <w:t>Perrot</w:t>
      </w:r>
      <w:proofErr w:type="spellEnd"/>
      <w:r>
        <w:t>, Ciudad Autónoma de Buenos Aires, 2015, T. V, p. 566, nota al pie número 3.</w:t>
      </w:r>
    </w:p>
  </w:footnote>
  <w:footnote w:id="19">
    <w:p w:rsidR="007162E7" w:rsidRDefault="007162E7" w:rsidP="007162E7">
      <w:pPr>
        <w:pStyle w:val="Textonotapie"/>
      </w:pPr>
      <w:r>
        <w:rPr>
          <w:rStyle w:val="Refdenotaalpie"/>
        </w:rPr>
        <w:footnoteRef/>
      </w:r>
      <w:r>
        <w:rPr>
          <w:vertAlign w:val="superscript"/>
        </w:rPr>
        <w:footnoteRef/>
      </w:r>
      <w:r>
        <w:t xml:space="preserve"> ALVARADO VELLOSO, Adolfo; “Lecciones …, ob. cit., p. 182.</w:t>
      </w:r>
    </w:p>
  </w:footnote>
  <w:footnote w:id="20">
    <w:p w:rsidR="007162E7" w:rsidRDefault="007162E7" w:rsidP="007162E7">
      <w:pPr>
        <w:pStyle w:val="Textonotapie"/>
      </w:pPr>
      <w:r>
        <w:rPr>
          <w:rStyle w:val="Refdenotaalpie"/>
        </w:rPr>
        <w:footnoteRef/>
      </w:r>
      <w:r>
        <w:t xml:space="preserve"> Ídem.</w:t>
      </w:r>
    </w:p>
  </w:footnote>
  <w:footnote w:id="21">
    <w:p w:rsidR="007162E7" w:rsidRDefault="007162E7" w:rsidP="007162E7">
      <w:pPr>
        <w:pStyle w:val="Textonotapie"/>
      </w:pPr>
      <w:r>
        <w:rPr>
          <w:rStyle w:val="Refdenotaalpie"/>
        </w:rPr>
        <w:footnoteRef/>
      </w:r>
      <w:r>
        <w:t xml:space="preserve"> Ibídem. p. 184.</w:t>
      </w:r>
    </w:p>
  </w:footnote>
  <w:footnote w:id="22">
    <w:p w:rsidR="007162E7" w:rsidRDefault="007162E7" w:rsidP="007162E7">
      <w:pPr>
        <w:pStyle w:val="Textonotapie"/>
      </w:pPr>
      <w:r>
        <w:rPr>
          <w:rStyle w:val="Refdenotaalpie"/>
        </w:rPr>
        <w:footnoteRef/>
      </w:r>
      <w:r>
        <w:t xml:space="preserve"> Ibídem. p. 183.</w:t>
      </w:r>
    </w:p>
  </w:footnote>
  <w:footnote w:id="23">
    <w:p w:rsidR="007162E7" w:rsidRDefault="007162E7" w:rsidP="007162E7">
      <w:pPr>
        <w:pStyle w:val="Textonotapie"/>
      </w:pPr>
      <w:r>
        <w:rPr>
          <w:rStyle w:val="Refdenotaalpie"/>
        </w:rPr>
        <w:footnoteRef/>
      </w:r>
      <w:r>
        <w:t xml:space="preserve"> Ídem.</w:t>
      </w:r>
    </w:p>
  </w:footnote>
  <w:footnote w:id="24">
    <w:p w:rsidR="007162E7" w:rsidRDefault="007162E7" w:rsidP="007162E7">
      <w:pPr>
        <w:pStyle w:val="Textonotapie"/>
      </w:pPr>
      <w:r>
        <w:rPr>
          <w:rStyle w:val="Refdenotaalpie"/>
        </w:rPr>
        <w:footnoteRef/>
      </w:r>
      <w:r>
        <w:t xml:space="preserve"> Ídem.</w:t>
      </w:r>
    </w:p>
  </w:footnote>
  <w:footnote w:id="25">
    <w:p w:rsidR="007162E7" w:rsidRDefault="007162E7" w:rsidP="007162E7">
      <w:pPr>
        <w:pStyle w:val="Textonotapie"/>
      </w:pPr>
      <w:r>
        <w:rPr>
          <w:rStyle w:val="Refdenotaalpie"/>
        </w:rPr>
        <w:footnoteRef/>
      </w:r>
      <w:r>
        <w:t xml:space="preserve"> Ibídem. p. 183.</w:t>
      </w:r>
    </w:p>
  </w:footnote>
  <w:footnote w:id="26">
    <w:p w:rsidR="007162E7" w:rsidRDefault="007162E7" w:rsidP="007162E7">
      <w:pPr>
        <w:pStyle w:val="Textonotapie"/>
        <w:jc w:val="both"/>
      </w:pPr>
      <w:r>
        <w:rPr>
          <w:rStyle w:val="Refdenotaalpie"/>
        </w:rPr>
        <w:footnoteRef/>
      </w:r>
      <w:r>
        <w:t xml:space="preserve"> MORELLO -SOSA- BERIZONCE, Códigos Procesales en lo Civil y Comercial de la Provincia de Buenos </w:t>
      </w:r>
      <w:proofErr w:type="gramStart"/>
      <w:r>
        <w:t>Aires  y</w:t>
      </w:r>
      <w:proofErr w:type="gramEnd"/>
      <w:r>
        <w:t xml:space="preserve"> de la Nación, comentados y anotados, cuarta edición ampliada y actualizada, </w:t>
      </w:r>
      <w:proofErr w:type="spellStart"/>
      <w:r>
        <w:t>Abeledo</w:t>
      </w:r>
      <w:proofErr w:type="spellEnd"/>
      <w:r>
        <w:t xml:space="preserve"> </w:t>
      </w:r>
      <w:proofErr w:type="spellStart"/>
      <w:r>
        <w:t>Perrot</w:t>
      </w:r>
      <w:proofErr w:type="spellEnd"/>
      <w:r>
        <w:t>, Ciudad Autónoma de Buenos Aires, 2015, T. V, pp. 567-571.</w:t>
      </w:r>
    </w:p>
  </w:footnote>
  <w:footnote w:id="27">
    <w:p w:rsidR="007162E7" w:rsidRDefault="007162E7" w:rsidP="007162E7">
      <w:pPr>
        <w:pStyle w:val="Textonotapie"/>
        <w:jc w:val="both"/>
      </w:pPr>
      <w:r>
        <w:rPr>
          <w:rStyle w:val="Refdenotaalpie"/>
        </w:rPr>
        <w:footnoteRef/>
      </w:r>
      <w:r>
        <w:t xml:space="preserve"> BENABENTOS, Omar A. “Excepciones y defensas procesales”, editorial </w:t>
      </w:r>
      <w:proofErr w:type="spellStart"/>
      <w:r>
        <w:t>Juris</w:t>
      </w:r>
      <w:proofErr w:type="spellEnd"/>
      <w:r>
        <w:t>, primera impresión y primera reimpresión, Rosario, Santa Fe, p. 21.</w:t>
      </w:r>
    </w:p>
  </w:footnote>
  <w:footnote w:id="28">
    <w:p w:rsidR="007162E7" w:rsidRDefault="007162E7" w:rsidP="007162E7">
      <w:pPr>
        <w:pStyle w:val="Textonotapie"/>
      </w:pPr>
      <w:r>
        <w:rPr>
          <w:rStyle w:val="Refdenotaalpie"/>
        </w:rPr>
        <w:footnoteRef/>
      </w:r>
      <w:r>
        <w:t xml:space="preserve"> ALVARADO VELLOSO, Adolfo; Lecciones…, ob. cit.; p. 423.</w:t>
      </w:r>
    </w:p>
  </w:footnote>
  <w:footnote w:id="29">
    <w:p w:rsidR="007162E7" w:rsidRDefault="007162E7" w:rsidP="007162E7">
      <w:pPr>
        <w:pStyle w:val="Textonotapie"/>
      </w:pPr>
      <w:r>
        <w:rPr>
          <w:rStyle w:val="Refdenotaalpie"/>
        </w:rPr>
        <w:footnoteRef/>
      </w:r>
      <w:r>
        <w:t xml:space="preserve"> Ibídem. p. 425.</w:t>
      </w:r>
    </w:p>
  </w:footnote>
  <w:footnote w:id="30">
    <w:p w:rsidR="007162E7" w:rsidRDefault="007162E7" w:rsidP="007162E7">
      <w:pPr>
        <w:pStyle w:val="Textonotapie"/>
        <w:rPr>
          <w:lang w:val="es-ES"/>
        </w:rPr>
      </w:pPr>
      <w:r>
        <w:rPr>
          <w:rStyle w:val="Refdenotaalpie"/>
        </w:rPr>
        <w:footnoteRef/>
      </w:r>
      <w:r>
        <w:t xml:space="preserve"> Ibídem. p. 458.</w:t>
      </w:r>
    </w:p>
  </w:footnote>
  <w:footnote w:id="31">
    <w:p w:rsidR="007162E7" w:rsidRDefault="007162E7" w:rsidP="007162E7">
      <w:pPr>
        <w:pStyle w:val="Textonotapie"/>
      </w:pPr>
      <w:r>
        <w:rPr>
          <w:rStyle w:val="Refdenotaalpie"/>
        </w:rPr>
        <w:footnoteRef/>
      </w:r>
      <w:r>
        <w:t xml:space="preserve"> Ibídem. p. 426.</w:t>
      </w:r>
    </w:p>
  </w:footnote>
  <w:footnote w:id="32">
    <w:p w:rsidR="007162E7" w:rsidRDefault="007162E7" w:rsidP="007162E7">
      <w:pPr>
        <w:pStyle w:val="Textonotapie"/>
      </w:pPr>
      <w:r>
        <w:rPr>
          <w:rStyle w:val="Refdenotaalpie"/>
        </w:rPr>
        <w:footnoteRef/>
      </w:r>
      <w:r>
        <w:t xml:space="preserve"> Ibídem p. 459.</w:t>
      </w:r>
    </w:p>
  </w:footnote>
  <w:footnote w:id="33">
    <w:p w:rsidR="007162E7" w:rsidRDefault="007162E7" w:rsidP="007162E7">
      <w:pPr>
        <w:pStyle w:val="Textonotapie"/>
      </w:pPr>
      <w:r>
        <w:rPr>
          <w:rStyle w:val="Refdenotaalpie"/>
        </w:rPr>
        <w:footnoteRef/>
      </w:r>
      <w:r>
        <w:t xml:space="preserve"> Ibídem. p. 426.</w:t>
      </w:r>
    </w:p>
  </w:footnote>
  <w:footnote w:id="34">
    <w:p w:rsidR="007162E7" w:rsidRDefault="007162E7" w:rsidP="007162E7">
      <w:pPr>
        <w:pStyle w:val="Textonotapie"/>
      </w:pPr>
      <w:r>
        <w:rPr>
          <w:rStyle w:val="Refdenotaalpie"/>
        </w:rPr>
        <w:footnoteRef/>
      </w:r>
      <w:r>
        <w:t xml:space="preserve"> Ídem.</w:t>
      </w:r>
    </w:p>
  </w:footnote>
  <w:footnote w:id="35">
    <w:p w:rsidR="007162E7" w:rsidRDefault="007162E7" w:rsidP="007162E7">
      <w:pPr>
        <w:pStyle w:val="Textonotapie"/>
      </w:pPr>
      <w:r>
        <w:rPr>
          <w:rStyle w:val="Refdenotaalpie"/>
        </w:rPr>
        <w:footnoteRef/>
      </w:r>
      <w:r>
        <w:t xml:space="preserve"> Ibídem. p. 427.</w:t>
      </w:r>
    </w:p>
  </w:footnote>
  <w:footnote w:id="36">
    <w:p w:rsidR="007162E7" w:rsidRDefault="007162E7" w:rsidP="007162E7">
      <w:pPr>
        <w:pStyle w:val="Textonotapie"/>
      </w:pPr>
      <w:r>
        <w:rPr>
          <w:rStyle w:val="Refdenotaalpie"/>
        </w:rPr>
        <w:footnoteRef/>
      </w:r>
      <w:r>
        <w:t xml:space="preserve"> Ibídem. p. 430.</w:t>
      </w:r>
    </w:p>
  </w:footnote>
  <w:footnote w:id="37">
    <w:p w:rsidR="007162E7" w:rsidRDefault="007162E7" w:rsidP="007162E7">
      <w:pPr>
        <w:pStyle w:val="Textonotapie"/>
      </w:pPr>
      <w:r>
        <w:rPr>
          <w:rStyle w:val="Refdenotaalpie"/>
        </w:rPr>
        <w:footnoteRef/>
      </w:r>
      <w:r>
        <w:t xml:space="preserve"> Ibídem. p. 438.</w:t>
      </w:r>
    </w:p>
  </w:footnote>
  <w:footnote w:id="38">
    <w:p w:rsidR="007162E7" w:rsidRDefault="007162E7" w:rsidP="007162E7">
      <w:pPr>
        <w:pStyle w:val="Textonotapie"/>
        <w:rPr>
          <w:lang w:val="es-ES"/>
        </w:rPr>
      </w:pPr>
      <w:r>
        <w:rPr>
          <w:rStyle w:val="Refdenotaalpie"/>
        </w:rPr>
        <w:footnoteRef/>
      </w:r>
      <w:r>
        <w:t xml:space="preserve"> </w:t>
      </w:r>
      <w:r>
        <w:rPr>
          <w:lang w:val="es-ES"/>
        </w:rPr>
        <w:t>Ibídem. p. 444.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08"/>
    <w:rsid w:val="00012B37"/>
    <w:rsid w:val="000174A4"/>
    <w:rsid w:val="00026317"/>
    <w:rsid w:val="00036300"/>
    <w:rsid w:val="0004450C"/>
    <w:rsid w:val="00084203"/>
    <w:rsid w:val="000A38F9"/>
    <w:rsid w:val="000C4CBE"/>
    <w:rsid w:val="00163546"/>
    <w:rsid w:val="00164661"/>
    <w:rsid w:val="00172BAF"/>
    <w:rsid w:val="00172DC3"/>
    <w:rsid w:val="00173684"/>
    <w:rsid w:val="00194B08"/>
    <w:rsid w:val="00207CC1"/>
    <w:rsid w:val="002402B0"/>
    <w:rsid w:val="00252729"/>
    <w:rsid w:val="00267E5F"/>
    <w:rsid w:val="00271578"/>
    <w:rsid w:val="00290515"/>
    <w:rsid w:val="002A0DC7"/>
    <w:rsid w:val="00313ADE"/>
    <w:rsid w:val="0036239D"/>
    <w:rsid w:val="00371057"/>
    <w:rsid w:val="0037714E"/>
    <w:rsid w:val="00385705"/>
    <w:rsid w:val="00397A5F"/>
    <w:rsid w:val="003C6469"/>
    <w:rsid w:val="003F3450"/>
    <w:rsid w:val="0044649E"/>
    <w:rsid w:val="00447A15"/>
    <w:rsid w:val="0045057D"/>
    <w:rsid w:val="00452337"/>
    <w:rsid w:val="00460BA0"/>
    <w:rsid w:val="004A2F28"/>
    <w:rsid w:val="004A6479"/>
    <w:rsid w:val="004B175E"/>
    <w:rsid w:val="004D0868"/>
    <w:rsid w:val="005142BF"/>
    <w:rsid w:val="00546F15"/>
    <w:rsid w:val="0055576B"/>
    <w:rsid w:val="00564D9B"/>
    <w:rsid w:val="0057075A"/>
    <w:rsid w:val="00583018"/>
    <w:rsid w:val="005941B8"/>
    <w:rsid w:val="005A5ECC"/>
    <w:rsid w:val="005D2805"/>
    <w:rsid w:val="005D69E6"/>
    <w:rsid w:val="00611CED"/>
    <w:rsid w:val="00665BF0"/>
    <w:rsid w:val="00683DB2"/>
    <w:rsid w:val="006B3FC2"/>
    <w:rsid w:val="007162E7"/>
    <w:rsid w:val="007312D7"/>
    <w:rsid w:val="00732BC9"/>
    <w:rsid w:val="00745497"/>
    <w:rsid w:val="008444FD"/>
    <w:rsid w:val="008627AB"/>
    <w:rsid w:val="008B56D1"/>
    <w:rsid w:val="008C13D0"/>
    <w:rsid w:val="008D3AA4"/>
    <w:rsid w:val="008D5C5E"/>
    <w:rsid w:val="008D73F2"/>
    <w:rsid w:val="00917E16"/>
    <w:rsid w:val="00931E8A"/>
    <w:rsid w:val="00954630"/>
    <w:rsid w:val="009756F1"/>
    <w:rsid w:val="009851A6"/>
    <w:rsid w:val="009F30CC"/>
    <w:rsid w:val="00A11B73"/>
    <w:rsid w:val="00A21E97"/>
    <w:rsid w:val="00A27978"/>
    <w:rsid w:val="00A524C4"/>
    <w:rsid w:val="00A528D3"/>
    <w:rsid w:val="00A652C8"/>
    <w:rsid w:val="00AB1ADB"/>
    <w:rsid w:val="00AB1C54"/>
    <w:rsid w:val="00AD2829"/>
    <w:rsid w:val="00AE6913"/>
    <w:rsid w:val="00AF3F02"/>
    <w:rsid w:val="00B20FCD"/>
    <w:rsid w:val="00B25BA3"/>
    <w:rsid w:val="00B2683C"/>
    <w:rsid w:val="00B43DEE"/>
    <w:rsid w:val="00B55305"/>
    <w:rsid w:val="00B7461D"/>
    <w:rsid w:val="00BC2303"/>
    <w:rsid w:val="00BC3B3A"/>
    <w:rsid w:val="00BD167D"/>
    <w:rsid w:val="00C034AB"/>
    <w:rsid w:val="00C42126"/>
    <w:rsid w:val="00C72DBD"/>
    <w:rsid w:val="00CB6BB4"/>
    <w:rsid w:val="00CC7DE0"/>
    <w:rsid w:val="00CE637D"/>
    <w:rsid w:val="00CE7C89"/>
    <w:rsid w:val="00D132E0"/>
    <w:rsid w:val="00D304D6"/>
    <w:rsid w:val="00D34F24"/>
    <w:rsid w:val="00D40084"/>
    <w:rsid w:val="00D5679E"/>
    <w:rsid w:val="00D65645"/>
    <w:rsid w:val="00D77B09"/>
    <w:rsid w:val="00DA3BE6"/>
    <w:rsid w:val="00DB5F13"/>
    <w:rsid w:val="00DB7A1F"/>
    <w:rsid w:val="00DC17EA"/>
    <w:rsid w:val="00DE4EE9"/>
    <w:rsid w:val="00DE6CBF"/>
    <w:rsid w:val="00E029BB"/>
    <w:rsid w:val="00E11C70"/>
    <w:rsid w:val="00E2568B"/>
    <w:rsid w:val="00E475B2"/>
    <w:rsid w:val="00E627D4"/>
    <w:rsid w:val="00EE2311"/>
    <w:rsid w:val="00F00889"/>
    <w:rsid w:val="00F26025"/>
    <w:rsid w:val="00F52378"/>
    <w:rsid w:val="00F54BFC"/>
    <w:rsid w:val="00FA0085"/>
    <w:rsid w:val="00FA41E8"/>
    <w:rsid w:val="00FA7D46"/>
    <w:rsid w:val="00FB67B0"/>
    <w:rsid w:val="00FE2101"/>
    <w:rsid w:val="00FE5A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6F6A"/>
  <w15:chartTrackingRefBased/>
  <w15:docId w15:val="{6887E079-0179-4139-8B23-C9BFBA28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07C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7CC1"/>
    <w:rPr>
      <w:sz w:val="20"/>
      <w:szCs w:val="20"/>
    </w:rPr>
  </w:style>
  <w:style w:type="character" w:styleId="Refdenotaalpie">
    <w:name w:val="footnote reference"/>
    <w:basedOn w:val="Fuentedeprrafopredeter"/>
    <w:uiPriority w:val="99"/>
    <w:semiHidden/>
    <w:unhideWhenUsed/>
    <w:rsid w:val="00207CC1"/>
    <w:rPr>
      <w:vertAlign w:val="superscript"/>
    </w:rPr>
  </w:style>
  <w:style w:type="character" w:styleId="Hipervnculo">
    <w:name w:val="Hyperlink"/>
    <w:basedOn w:val="Fuentedeprrafopredeter"/>
    <w:uiPriority w:val="99"/>
    <w:unhideWhenUsed/>
    <w:rsid w:val="00447A15"/>
    <w:rPr>
      <w:color w:val="0563C1" w:themeColor="hyperlink"/>
      <w:u w:val="single"/>
    </w:rPr>
  </w:style>
  <w:style w:type="paragraph" w:styleId="Encabezado">
    <w:name w:val="header"/>
    <w:basedOn w:val="Normal"/>
    <w:link w:val="EncabezadoCar"/>
    <w:uiPriority w:val="99"/>
    <w:unhideWhenUsed/>
    <w:rsid w:val="00D567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79E"/>
  </w:style>
  <w:style w:type="paragraph" w:styleId="Piedepgina">
    <w:name w:val="footer"/>
    <w:basedOn w:val="Normal"/>
    <w:link w:val="PiedepginaCar"/>
    <w:uiPriority w:val="99"/>
    <w:unhideWhenUsed/>
    <w:rsid w:val="00D567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66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presupuesto?m=form" TargetMode="External"/><Relationship Id="rId2" Type="http://schemas.openxmlformats.org/officeDocument/2006/relationships/hyperlink" Target="https://dle.rae.es/condici%C3%B3n" TargetMode="External"/><Relationship Id="rId1" Type="http://schemas.openxmlformats.org/officeDocument/2006/relationships/hyperlink" Target="https://dle.rae.es/construc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36476-6F91-4F25-9AC6-BC419A29B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16</Pages>
  <Words>4163</Words>
  <Characters>23732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Bidegain</dc:creator>
  <cp:keywords/>
  <dc:description/>
  <cp:lastModifiedBy>augusto bdegain</cp:lastModifiedBy>
  <cp:revision>23</cp:revision>
  <dcterms:created xsi:type="dcterms:W3CDTF">2022-10-26T20:13:00Z</dcterms:created>
  <dcterms:modified xsi:type="dcterms:W3CDTF">2022-11-03T14:33:00Z</dcterms:modified>
</cp:coreProperties>
</file>