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D1B" w:rsidRPr="00132D1B" w:rsidRDefault="00132D1B" w:rsidP="00132D1B">
      <w:pPr>
        <w:jc w:val="both"/>
        <w:rPr>
          <w:b/>
          <w:u w:val="single"/>
          <w:lang w:val="es-AR"/>
        </w:rPr>
      </w:pPr>
      <w:r w:rsidRPr="00132D1B">
        <w:rPr>
          <w:b/>
          <w:u w:val="single"/>
          <w:lang w:val="es-AR"/>
        </w:rPr>
        <w:t>EL ERROR TECNICO FORENSE – LA IMPUGNACION DEL PERITAJE.</w:t>
      </w:r>
      <w:bookmarkStart w:id="0" w:name="_GoBack"/>
      <w:bookmarkEnd w:id="0"/>
    </w:p>
    <w:p w:rsidR="00132D1B" w:rsidRDefault="00132D1B" w:rsidP="00132D1B">
      <w:pPr>
        <w:spacing w:line="240" w:lineRule="auto"/>
        <w:jc w:val="both"/>
        <w:rPr>
          <w:bCs/>
          <w:lang w:val="es-AR"/>
        </w:rPr>
      </w:pPr>
      <w:r w:rsidRPr="00132D1B">
        <w:rPr>
          <w:bCs/>
          <w:lang w:val="es-AR"/>
        </w:rPr>
        <w:t xml:space="preserve">                                                      </w:t>
      </w:r>
      <w:r>
        <w:rPr>
          <w:bCs/>
          <w:lang w:val="es-AR"/>
        </w:rPr>
        <w:t xml:space="preserve">                                                           Ab. Ivana de Lourdes Boetto.</w:t>
      </w:r>
    </w:p>
    <w:p w:rsidR="00132D1B" w:rsidRPr="00132D1B" w:rsidRDefault="00132D1B" w:rsidP="00132D1B">
      <w:pPr>
        <w:spacing w:line="240" w:lineRule="auto"/>
        <w:jc w:val="center"/>
        <w:rPr>
          <w:bCs/>
          <w:lang w:val="es-AR"/>
        </w:rPr>
      </w:pPr>
      <w:r w:rsidRPr="00132D1B">
        <w:rPr>
          <w:bCs/>
          <w:lang w:val="es-AR"/>
        </w:rPr>
        <w:t>“Todo lo que escuchamos es una opinión,</w:t>
      </w:r>
    </w:p>
    <w:p w:rsidR="00132D1B" w:rsidRPr="00132D1B" w:rsidRDefault="00132D1B" w:rsidP="00132D1B">
      <w:pPr>
        <w:spacing w:line="240" w:lineRule="auto"/>
        <w:jc w:val="center"/>
        <w:rPr>
          <w:bCs/>
          <w:lang w:val="es-AR"/>
        </w:rPr>
      </w:pPr>
      <w:proofErr w:type="gramStart"/>
      <w:r w:rsidRPr="00132D1B">
        <w:rPr>
          <w:bCs/>
          <w:lang w:val="es-AR"/>
        </w:rPr>
        <w:t>no</w:t>
      </w:r>
      <w:proofErr w:type="gramEnd"/>
      <w:r w:rsidRPr="00132D1B">
        <w:rPr>
          <w:bCs/>
          <w:lang w:val="es-AR"/>
        </w:rPr>
        <w:t xml:space="preserve"> un hecho. Todo lo que vemos es</w:t>
      </w:r>
    </w:p>
    <w:p w:rsidR="00132D1B" w:rsidRPr="00132D1B" w:rsidRDefault="00132D1B" w:rsidP="00132D1B">
      <w:pPr>
        <w:spacing w:line="240" w:lineRule="auto"/>
        <w:jc w:val="center"/>
        <w:rPr>
          <w:bCs/>
          <w:lang w:val="es-AR"/>
        </w:rPr>
      </w:pPr>
      <w:proofErr w:type="gramStart"/>
      <w:r w:rsidRPr="00132D1B">
        <w:rPr>
          <w:bCs/>
          <w:lang w:val="es-AR"/>
        </w:rPr>
        <w:t>una</w:t>
      </w:r>
      <w:proofErr w:type="gramEnd"/>
      <w:r w:rsidRPr="00132D1B">
        <w:rPr>
          <w:bCs/>
          <w:lang w:val="es-AR"/>
        </w:rPr>
        <w:t xml:space="preserve"> perspectiva, no la verdad.”</w:t>
      </w:r>
    </w:p>
    <w:p w:rsidR="00132D1B" w:rsidRPr="00132D1B" w:rsidRDefault="00132D1B" w:rsidP="00132D1B">
      <w:pPr>
        <w:spacing w:line="240" w:lineRule="auto"/>
        <w:jc w:val="center"/>
        <w:rPr>
          <w:bCs/>
          <w:lang w:val="es-AR"/>
        </w:rPr>
      </w:pPr>
      <w:r w:rsidRPr="00132D1B">
        <w:rPr>
          <w:bCs/>
          <w:lang w:val="es-AR"/>
        </w:rPr>
        <w:t>(Marco Aurelio)</w:t>
      </w:r>
    </w:p>
    <w:p w:rsidR="00132D1B" w:rsidRPr="00132D1B" w:rsidRDefault="00132D1B" w:rsidP="00132D1B">
      <w:pPr>
        <w:numPr>
          <w:ilvl w:val="0"/>
          <w:numId w:val="1"/>
        </w:numPr>
        <w:spacing w:line="480" w:lineRule="auto"/>
        <w:jc w:val="both"/>
        <w:rPr>
          <w:b/>
          <w:lang w:val="es-AR"/>
        </w:rPr>
      </w:pPr>
      <w:r w:rsidRPr="00132D1B">
        <w:rPr>
          <w:b/>
          <w:lang w:val="es-AR"/>
        </w:rPr>
        <w:t>INTRODUCCION.</w:t>
      </w:r>
    </w:p>
    <w:p w:rsidR="00132D1B" w:rsidRPr="00132D1B" w:rsidRDefault="00132D1B" w:rsidP="00132D1B">
      <w:pPr>
        <w:spacing w:line="480" w:lineRule="auto"/>
        <w:jc w:val="both"/>
        <w:rPr>
          <w:lang w:val="es-AR"/>
        </w:rPr>
      </w:pPr>
      <w:r>
        <w:rPr>
          <w:lang w:val="es-AR"/>
        </w:rPr>
        <w:t xml:space="preserve">                </w:t>
      </w:r>
      <w:r w:rsidRPr="00132D1B">
        <w:rPr>
          <w:lang w:val="es-AR"/>
        </w:rPr>
        <w:t xml:space="preserve">Dentro del abanico de medios de prueba regulados en los diversos ordenamientos procesales, la prueba pericial, en las últimas décadas, adquirió mayor relevancia, ha tenido una explosión en su uso que plantea toda una serie de nuevos problemas y aumenta la importancia de los viejos. En tal sentido, la frecuencia con que se recurre a la ciencia para suministrar pruebas de los hechos está creciendo abrumadoramente en todos los sistemas procesales. </w:t>
      </w:r>
    </w:p>
    <w:p w:rsidR="00132D1B" w:rsidRPr="00132D1B" w:rsidRDefault="00132D1B" w:rsidP="00132D1B">
      <w:pPr>
        <w:spacing w:line="480" w:lineRule="auto"/>
        <w:jc w:val="both"/>
        <w:rPr>
          <w:lang w:val="es-AR"/>
        </w:rPr>
      </w:pPr>
      <w:r>
        <w:rPr>
          <w:lang w:val="es-AR"/>
        </w:rPr>
        <w:t xml:space="preserve">               </w:t>
      </w:r>
      <w:r w:rsidRPr="00132D1B">
        <w:rPr>
          <w:lang w:val="es-AR"/>
        </w:rPr>
        <w:t>Esta trascendencia, se encuentra vinculada a la objetividad y la experticia de la persona de la cual emana la misma, considerado un auxiliar del juez. Las limitaciones de conocimiento de los juzgadores hacen que tengan la necesidad de recurrir a expertos. Sin embargo, la verdad procesal, aun con el aporte de los peritos, solo es una construcción que, en el mejor de los casos, puede alcanzar una correspondencia satisfactoria entre la verdad jurídica y la verdad fáctica, en un cierto grado de aproximación (</w:t>
      </w:r>
      <w:proofErr w:type="spellStart"/>
      <w:r w:rsidRPr="00132D1B">
        <w:rPr>
          <w:lang w:val="es-AR"/>
        </w:rPr>
        <w:t>Ferrajoli</w:t>
      </w:r>
      <w:proofErr w:type="spellEnd"/>
      <w:r w:rsidRPr="00132D1B">
        <w:rPr>
          <w:lang w:val="es-AR"/>
        </w:rPr>
        <w:t xml:space="preserve"> 1989:45 y ss.). </w:t>
      </w:r>
    </w:p>
    <w:p w:rsidR="00132D1B" w:rsidRPr="00132D1B" w:rsidRDefault="00132D1B" w:rsidP="00132D1B">
      <w:pPr>
        <w:spacing w:line="480" w:lineRule="auto"/>
        <w:jc w:val="both"/>
        <w:rPr>
          <w:lang w:val="es-AR"/>
        </w:rPr>
      </w:pPr>
      <w:r>
        <w:rPr>
          <w:lang w:val="es-AR"/>
        </w:rPr>
        <w:t xml:space="preserve">               </w:t>
      </w:r>
      <w:r w:rsidRPr="00132D1B">
        <w:rPr>
          <w:lang w:val="es-AR"/>
        </w:rPr>
        <w:t>El hecho de que los peritos brinden información más o menos objetiva y científicamente demostrada, no obsta que al ingresar al procedimiento como medio de prueba en algún punto se desnaturalice. La prueba en sí, goza de una gran objetividad, pero son analizadas por personas, y como tal, tenemos prejuicios, estamos sesgados e imprimimos esas características en el análisis de la prueba.</w:t>
      </w:r>
    </w:p>
    <w:p w:rsidR="00132D1B" w:rsidRPr="00132D1B" w:rsidRDefault="00132D1B" w:rsidP="00132D1B">
      <w:pPr>
        <w:spacing w:line="480" w:lineRule="auto"/>
        <w:jc w:val="both"/>
        <w:rPr>
          <w:lang w:val="es-AR"/>
        </w:rPr>
      </w:pPr>
      <w:r>
        <w:rPr>
          <w:lang w:val="es-AR"/>
        </w:rPr>
        <w:t xml:space="preserve">                </w:t>
      </w:r>
      <w:r w:rsidRPr="00132D1B">
        <w:rPr>
          <w:lang w:val="es-AR"/>
        </w:rPr>
        <w:t xml:space="preserve">La realidad muestra que el error es más común de lo que creemos, </w:t>
      </w:r>
      <w:r w:rsidR="00FB29B1" w:rsidRPr="00132D1B">
        <w:rPr>
          <w:lang w:val="es-AR"/>
        </w:rPr>
        <w:t>aun</w:t>
      </w:r>
      <w:r w:rsidRPr="00132D1B">
        <w:rPr>
          <w:lang w:val="es-AR"/>
        </w:rPr>
        <w:t xml:space="preserve"> cuando se utiliza ciencia forense en el proceso. Por ello, concluiremos en la necesidad de aceptar la </w:t>
      </w:r>
      <w:r w:rsidRPr="00132D1B">
        <w:rPr>
          <w:lang w:val="es-AR"/>
        </w:rPr>
        <w:lastRenderedPageBreak/>
        <w:t xml:space="preserve">existencia de los errores y esforzarnos en controlar la condición del experto, su competencia en el caso concreto, el contenido de las pericias y las conclusiones arribada por el mismo. </w:t>
      </w:r>
    </w:p>
    <w:p w:rsidR="00132D1B" w:rsidRPr="00132D1B" w:rsidRDefault="00132D1B" w:rsidP="00132D1B">
      <w:pPr>
        <w:spacing w:line="480" w:lineRule="auto"/>
        <w:jc w:val="both"/>
        <w:rPr>
          <w:b/>
          <w:lang w:val="es-AR"/>
        </w:rPr>
      </w:pPr>
      <w:r w:rsidRPr="00132D1B">
        <w:rPr>
          <w:b/>
          <w:lang w:val="es-AR"/>
        </w:rPr>
        <w:t>2. CONCEPTO – DIFERENCIA ENTRE CIENCIA FORENSE Y PERITAJE.</w:t>
      </w:r>
    </w:p>
    <w:p w:rsidR="00132D1B" w:rsidRPr="00132D1B" w:rsidRDefault="00132D1B" w:rsidP="00132D1B">
      <w:pPr>
        <w:spacing w:line="480" w:lineRule="auto"/>
        <w:jc w:val="both"/>
        <w:rPr>
          <w:lang w:val="es-AR"/>
        </w:rPr>
      </w:pPr>
      <w:r w:rsidRPr="00132D1B">
        <w:rPr>
          <w:bCs/>
          <w:lang w:val="es-AR"/>
        </w:rPr>
        <w:t xml:space="preserve">               </w:t>
      </w:r>
      <w:r w:rsidRPr="00132D1B">
        <w:rPr>
          <w:lang w:val="es-AR"/>
        </w:rPr>
        <w:t>A través de la doctrina, se ha señalado que el peritaje es la actividad realizada por personas especialmente calificadas, distintas e independientes de las partes y del juez del proceso, por sus conocimientos técnicos, artísticos o científicos, mediante el cual se suministra al juez argumentos o razones para la formación de su convencimiento respecto de ciertos hechos cuya percepción o entendimiento escapa a la del común de la gente. Es una prueba ilustrativa sobre alguna materia técnica, que escapa al conocimiento del magistrado (Falcón, 2003:4).</w:t>
      </w:r>
    </w:p>
    <w:p w:rsidR="00132D1B" w:rsidRPr="00132D1B" w:rsidRDefault="00132D1B" w:rsidP="00132D1B">
      <w:pPr>
        <w:spacing w:line="480" w:lineRule="auto"/>
        <w:jc w:val="both"/>
        <w:rPr>
          <w:lang w:val="es-AR"/>
        </w:rPr>
      </w:pPr>
      <w:r w:rsidRPr="00132D1B">
        <w:rPr>
          <w:lang w:val="es-AR"/>
        </w:rPr>
        <w:t xml:space="preserve">               "Lo que distingue a la pericia del resto de los medios de prueba es que la pericial intenta lograr la convicción del tribunal respecto de hechos técnicamente complejos, o sobre aspectos especializados de hechos determinados (FLORES PRADA (2005). </w:t>
      </w:r>
    </w:p>
    <w:p w:rsidR="00132D1B" w:rsidRPr="00132D1B" w:rsidRDefault="00132D1B" w:rsidP="00132D1B">
      <w:pPr>
        <w:spacing w:line="480" w:lineRule="auto"/>
        <w:jc w:val="both"/>
        <w:rPr>
          <w:lang w:val="es-AR"/>
        </w:rPr>
      </w:pPr>
      <w:r w:rsidRPr="00132D1B">
        <w:rPr>
          <w:lang w:val="es-AR"/>
        </w:rPr>
        <w:t xml:space="preserve">               </w:t>
      </w:r>
      <w:r>
        <w:rPr>
          <w:lang w:val="es-AR"/>
        </w:rPr>
        <w:t xml:space="preserve"> </w:t>
      </w:r>
      <w:r w:rsidRPr="00132D1B">
        <w:rPr>
          <w:lang w:val="es-AR"/>
        </w:rPr>
        <w:t>La prueba pericial se enmarca, dentro de lo que se denomina la prueba científica, la que goza de un alto poder de fiabilidad. Sin embargo, es necesario marcar la diferencia entre ciencia forense y prueba pericial.</w:t>
      </w:r>
    </w:p>
    <w:p w:rsidR="00132D1B" w:rsidRPr="00132D1B" w:rsidRDefault="00132D1B" w:rsidP="00132D1B">
      <w:pPr>
        <w:spacing w:line="480" w:lineRule="auto"/>
        <w:jc w:val="both"/>
        <w:rPr>
          <w:bCs/>
          <w:lang w:val="es-AR"/>
        </w:rPr>
      </w:pPr>
      <w:r w:rsidRPr="00132D1B">
        <w:rPr>
          <w:bCs/>
          <w:lang w:val="es-AR"/>
        </w:rPr>
        <w:t xml:space="preserve"> </w:t>
      </w:r>
      <w:r>
        <w:rPr>
          <w:bCs/>
          <w:lang w:val="es-AR"/>
        </w:rPr>
        <w:t xml:space="preserve">              </w:t>
      </w:r>
      <w:r w:rsidRPr="00132D1B">
        <w:rPr>
          <w:bCs/>
          <w:lang w:val="es-AR"/>
        </w:rPr>
        <w:t xml:space="preserve">La </w:t>
      </w:r>
      <w:r w:rsidRPr="00132D1B">
        <w:rPr>
          <w:bCs/>
          <w:u w:val="single"/>
          <w:lang w:val="es-AR"/>
        </w:rPr>
        <w:t>ciencia forense</w:t>
      </w:r>
      <w:r w:rsidRPr="00132D1B">
        <w:rPr>
          <w:bCs/>
          <w:lang w:val="es-AR"/>
        </w:rPr>
        <w:t xml:space="preserve"> es entendida como las aplicaciones de prácticas, técnicas y metodologías que se destinan  al reconocimiento, análisis e interpretación de evidencias en contextos reglados, como es el proceso judicial.</w:t>
      </w:r>
    </w:p>
    <w:p w:rsidR="00132D1B" w:rsidRPr="00132D1B" w:rsidRDefault="00132D1B" w:rsidP="00132D1B">
      <w:pPr>
        <w:spacing w:line="480" w:lineRule="auto"/>
        <w:jc w:val="both"/>
        <w:rPr>
          <w:bCs/>
          <w:lang w:val="es-AR"/>
        </w:rPr>
      </w:pPr>
      <w:r>
        <w:rPr>
          <w:bCs/>
          <w:lang w:val="es-AR"/>
        </w:rPr>
        <w:t xml:space="preserve">                </w:t>
      </w:r>
      <w:r w:rsidRPr="00132D1B">
        <w:rPr>
          <w:bCs/>
          <w:lang w:val="es-AR"/>
        </w:rPr>
        <w:t xml:space="preserve">En tanto que, la </w:t>
      </w:r>
      <w:r w:rsidRPr="00132D1B">
        <w:rPr>
          <w:bCs/>
          <w:u w:val="single"/>
          <w:lang w:val="es-AR"/>
        </w:rPr>
        <w:t>prueba pericial</w:t>
      </w:r>
      <w:r w:rsidRPr="00132D1B">
        <w:rPr>
          <w:bCs/>
          <w:lang w:val="es-AR"/>
        </w:rPr>
        <w:t xml:space="preserve"> es la inferencia, razonamiento desde cierta </w:t>
      </w:r>
      <w:proofErr w:type="spellStart"/>
      <w:r w:rsidRPr="00132D1B">
        <w:rPr>
          <w:bCs/>
          <w:lang w:val="es-AR"/>
        </w:rPr>
        <w:t>expertise</w:t>
      </w:r>
      <w:proofErr w:type="spellEnd"/>
      <w:r w:rsidRPr="00132D1B">
        <w:rPr>
          <w:bCs/>
          <w:lang w:val="es-AR"/>
        </w:rPr>
        <w:t xml:space="preserve"> que nos permite llegar a una conclusión propia de ese campo.</w:t>
      </w:r>
    </w:p>
    <w:p w:rsidR="00132D1B" w:rsidRPr="00132D1B" w:rsidRDefault="00132D1B" w:rsidP="00132D1B">
      <w:pPr>
        <w:spacing w:line="480" w:lineRule="auto"/>
        <w:jc w:val="both"/>
        <w:rPr>
          <w:bCs/>
          <w:lang w:val="es-AR"/>
        </w:rPr>
      </w:pPr>
      <w:r>
        <w:rPr>
          <w:bCs/>
          <w:lang w:val="es-AR"/>
        </w:rPr>
        <w:lastRenderedPageBreak/>
        <w:t xml:space="preserve">                </w:t>
      </w:r>
      <w:r w:rsidRPr="00132D1B">
        <w:rPr>
          <w:bCs/>
          <w:lang w:val="es-AR"/>
        </w:rPr>
        <w:t xml:space="preserve">Como explicaremos a continuación, esta diferenciación reviste importancia a la hora del estudio del error, dado que, la ciencia forense, por su base epistemológica, gozaba de un grado de fiabilidad casi absoluto.  </w:t>
      </w:r>
    </w:p>
    <w:p w:rsidR="00132D1B" w:rsidRPr="00132D1B" w:rsidRDefault="00132D1B" w:rsidP="00132D1B">
      <w:pPr>
        <w:spacing w:line="480" w:lineRule="auto"/>
        <w:jc w:val="both"/>
        <w:rPr>
          <w:b/>
          <w:bCs/>
          <w:lang w:val="es-AR"/>
        </w:rPr>
      </w:pPr>
      <w:r w:rsidRPr="00132D1B">
        <w:rPr>
          <w:b/>
          <w:bCs/>
          <w:lang w:val="es-AR"/>
        </w:rPr>
        <w:t>3. EL ERROR TECNICO FORENSE.</w:t>
      </w:r>
    </w:p>
    <w:p w:rsidR="00132D1B" w:rsidRPr="00132D1B" w:rsidRDefault="00132D1B" w:rsidP="00132D1B">
      <w:pPr>
        <w:spacing w:line="480" w:lineRule="auto"/>
        <w:jc w:val="both"/>
        <w:rPr>
          <w:bCs/>
          <w:lang w:val="es-AR"/>
        </w:rPr>
      </w:pPr>
      <w:r>
        <w:rPr>
          <w:lang w:val="es-AR"/>
        </w:rPr>
        <w:t xml:space="preserve">                 </w:t>
      </w:r>
      <w:r w:rsidRPr="00132D1B">
        <w:rPr>
          <w:lang w:val="es-AR"/>
        </w:rPr>
        <w:t>En varias oportunidades, asignamos un valor de certeza absoluta a la ciencia forense y no solo eso, sino que creemos ciegamente en las afirmaciones de los peritos. Esto último no se debe a que somos ingenuos o que tenemos un amor especial por las ciencias forenses, sino que se trata de creencias, sesgos, de confianza y certeza que asignamos a una persona por las credenciales que tiene, por la seguridad en que lo transmite.</w:t>
      </w:r>
      <w:r w:rsidRPr="00132D1B">
        <w:rPr>
          <w:bCs/>
          <w:lang w:val="es-AR"/>
        </w:rPr>
        <w:t xml:space="preserve"> </w:t>
      </w:r>
    </w:p>
    <w:p w:rsidR="00132D1B" w:rsidRPr="00132D1B" w:rsidRDefault="00132D1B" w:rsidP="00132D1B">
      <w:pPr>
        <w:spacing w:line="480" w:lineRule="auto"/>
        <w:jc w:val="both"/>
        <w:rPr>
          <w:bCs/>
          <w:lang w:val="es-AR"/>
        </w:rPr>
      </w:pPr>
      <w:r>
        <w:rPr>
          <w:bCs/>
          <w:lang w:val="es-AR"/>
        </w:rPr>
        <w:t xml:space="preserve">                </w:t>
      </w:r>
      <w:r w:rsidRPr="00132D1B">
        <w:rPr>
          <w:bCs/>
          <w:lang w:val="es-AR"/>
        </w:rPr>
        <w:t xml:space="preserve">La sobrevaloración de la prueba pericial, la falta de control y la aceptación de los datos sin cuestionamiento, ha llevado a incurrir en errores y a la necesidad del estudio de los mismos, a través de la denominada “Teoría del Error”,  a fin de aportar pautas para disminuirlos y otorgar un marco de fiabilidad mayor en los resultados, tal como contaba dicha ciencia en sus comienzos. </w:t>
      </w:r>
    </w:p>
    <w:p w:rsidR="00132D1B" w:rsidRPr="00132D1B" w:rsidRDefault="00132D1B" w:rsidP="00132D1B">
      <w:pPr>
        <w:spacing w:line="480" w:lineRule="auto"/>
        <w:jc w:val="both"/>
        <w:rPr>
          <w:b/>
          <w:lang w:val="es-AR"/>
        </w:rPr>
      </w:pPr>
      <w:r w:rsidRPr="00132D1B">
        <w:rPr>
          <w:b/>
          <w:lang w:val="es-AR"/>
        </w:rPr>
        <w:t>3.1 ERROR EN LAS CIENCIAS FORENSES.</w:t>
      </w:r>
    </w:p>
    <w:p w:rsidR="00132D1B" w:rsidRPr="00132D1B" w:rsidRDefault="00132D1B" w:rsidP="00132D1B">
      <w:pPr>
        <w:spacing w:line="480" w:lineRule="auto"/>
        <w:jc w:val="both"/>
        <w:rPr>
          <w:lang w:val="es-AR"/>
        </w:rPr>
      </w:pPr>
      <w:r w:rsidRPr="00132D1B">
        <w:rPr>
          <w:lang w:val="es-AR"/>
        </w:rPr>
        <w:t xml:space="preserve">             </w:t>
      </w:r>
      <w:r>
        <w:rPr>
          <w:lang w:val="es-AR"/>
        </w:rPr>
        <w:t xml:space="preserve">   </w:t>
      </w:r>
      <w:r w:rsidRPr="00132D1B">
        <w:rPr>
          <w:lang w:val="es-AR"/>
        </w:rPr>
        <w:t xml:space="preserve">Como sostuvimos precedentemente, la ciencia forense gozaba de un grado de fiabilidad altísimo. Un claro ejemplo de ello, lo constituye el ADN, considerado el “estándar de oro” de las pruebas forenses, por su grado de fiabilidad. </w:t>
      </w:r>
    </w:p>
    <w:p w:rsidR="00132D1B" w:rsidRPr="00132D1B" w:rsidRDefault="00132D1B" w:rsidP="00132D1B">
      <w:pPr>
        <w:spacing w:line="480" w:lineRule="auto"/>
        <w:jc w:val="both"/>
        <w:rPr>
          <w:lang w:val="es-AR"/>
        </w:rPr>
      </w:pPr>
      <w:r>
        <w:rPr>
          <w:lang w:val="es-AR"/>
        </w:rPr>
        <w:t xml:space="preserve">                </w:t>
      </w:r>
      <w:r w:rsidRPr="00132D1B">
        <w:rPr>
          <w:lang w:val="es-AR"/>
        </w:rPr>
        <w:t xml:space="preserve">Sin perjuicio de ello, el margen de error ha sido explorado en la práctica jurídica estadounidense, en un primer momento, en el caso </w:t>
      </w:r>
      <w:proofErr w:type="spellStart"/>
      <w:r w:rsidRPr="00132D1B">
        <w:rPr>
          <w:lang w:val="es-AR"/>
        </w:rPr>
        <w:t>Daubert</w:t>
      </w:r>
      <w:proofErr w:type="spellEnd"/>
      <w:r w:rsidRPr="00132D1B">
        <w:rPr>
          <w:lang w:val="es-AR"/>
        </w:rPr>
        <w:t xml:space="preserve"> v. </w:t>
      </w:r>
      <w:proofErr w:type="spellStart"/>
      <w:r w:rsidRPr="00132D1B">
        <w:rPr>
          <w:lang w:val="es-AR"/>
        </w:rPr>
        <w:t>Merrel</w:t>
      </w:r>
      <w:proofErr w:type="spellEnd"/>
      <w:r w:rsidRPr="00132D1B">
        <w:rPr>
          <w:lang w:val="es-AR"/>
        </w:rPr>
        <w:t xml:space="preserve"> Dow </w:t>
      </w:r>
      <w:proofErr w:type="spellStart"/>
      <w:r w:rsidRPr="00132D1B">
        <w:rPr>
          <w:lang w:val="es-AR"/>
        </w:rPr>
        <w:t>Pharmaceuticals</w:t>
      </w:r>
      <w:proofErr w:type="spellEnd"/>
      <w:r w:rsidRPr="00132D1B">
        <w:rPr>
          <w:lang w:val="es-AR"/>
        </w:rPr>
        <w:t xml:space="preserve">, Inc., 509 U.S. 579 de 1993. Pero en el año 2004, el caso </w:t>
      </w:r>
      <w:proofErr w:type="spellStart"/>
      <w:r w:rsidRPr="00132D1B">
        <w:rPr>
          <w:lang w:val="es-AR"/>
        </w:rPr>
        <w:t>Mayfield</w:t>
      </w:r>
      <w:proofErr w:type="spellEnd"/>
      <w:r w:rsidRPr="00132D1B">
        <w:rPr>
          <w:lang w:val="es-AR"/>
        </w:rPr>
        <w:t>, marcó un antes y un después en el estudio de los errores en esta prueba, cuestionando la fiabilidad de la misma y la calidad de las ciencias forenses.</w:t>
      </w:r>
    </w:p>
    <w:p w:rsidR="00132D1B" w:rsidRPr="00132D1B" w:rsidRDefault="00132D1B" w:rsidP="00132D1B">
      <w:pPr>
        <w:spacing w:line="480" w:lineRule="auto"/>
        <w:jc w:val="both"/>
      </w:pPr>
      <w:r w:rsidRPr="00132D1B">
        <w:lastRenderedPageBreak/>
        <w:t xml:space="preserve">             </w:t>
      </w:r>
      <w:r>
        <w:t xml:space="preserve">   </w:t>
      </w:r>
      <w:r w:rsidRPr="00132D1B">
        <w:t xml:space="preserve">Después del atentado en Madrid, la policía nacional de España, a través de la Interpol, solicitó se compararan 20 huellas dactilares de una bolsa que hallaron dentro de una </w:t>
      </w:r>
      <w:proofErr w:type="spellStart"/>
      <w:r w:rsidRPr="00132D1B">
        <w:t>minibans</w:t>
      </w:r>
      <w:proofErr w:type="spellEnd"/>
      <w:r w:rsidRPr="00132D1B">
        <w:t xml:space="preserve"> en las inmediaciones de la estación de trenes. El FBI dictaminó, en dos oportunidades, que las huellas pertenecían a </w:t>
      </w:r>
      <w:proofErr w:type="spellStart"/>
      <w:r w:rsidRPr="00132D1B">
        <w:t>Mayfield</w:t>
      </w:r>
      <w:proofErr w:type="spellEnd"/>
      <w:r w:rsidRPr="00132D1B">
        <w:t xml:space="preserve">, las mismas figuraban en los archivos del FBI por haber servido en el ejército. Pero </w:t>
      </w:r>
      <w:proofErr w:type="spellStart"/>
      <w:r w:rsidRPr="00132D1B">
        <w:t>Mayfield</w:t>
      </w:r>
      <w:proofErr w:type="spellEnd"/>
      <w:r w:rsidRPr="00132D1B">
        <w:rPr>
          <w:b/>
          <w:bCs/>
        </w:rPr>
        <w:t xml:space="preserve"> </w:t>
      </w:r>
      <w:r w:rsidRPr="00132D1B">
        <w:t xml:space="preserve">era, además, musulmán, convertido al islam a través de su mujer egipcia. Y aún peor (para el FBI), como abogado había defendido a un integrante de los llamados Siete de Portland, un grupo de estadounidenses que habían tratado de viajar a Afganistán para unirse a Al Qaida; pero no en un juicio relacionado con este hecho, sino en un caso de custodia. Estos indicios llevaron a la detención de </w:t>
      </w:r>
      <w:proofErr w:type="spellStart"/>
      <w:r w:rsidRPr="00132D1B">
        <w:t>Mayfield</w:t>
      </w:r>
      <w:proofErr w:type="spellEnd"/>
      <w:r w:rsidRPr="00132D1B">
        <w:t xml:space="preserve">, quien desde el primer momento sostuvo su inocencia. Lo llamativo del caso es que, semanas antes del arresto de </w:t>
      </w:r>
      <w:proofErr w:type="spellStart"/>
      <w:r w:rsidRPr="00132D1B">
        <w:t>Mayfield</w:t>
      </w:r>
      <w:proofErr w:type="spellEnd"/>
      <w:r w:rsidRPr="00132D1B">
        <w:t>, la Policía Nacional de España había enviado un escrito al FBI descartando la coincidencia entre las huellas del abogado y las halladas en la bolsa</w:t>
      </w:r>
      <w:r w:rsidRPr="00132D1B">
        <w:rPr>
          <w:b/>
          <w:bCs/>
        </w:rPr>
        <w:t>,</w:t>
      </w:r>
      <w:r w:rsidRPr="00132D1B">
        <w:t xml:space="preserve"> y apuntando a otros posibles sospechosos. Lo que fue corroborado con posterioridad, recuperando así su libertad </w:t>
      </w:r>
      <w:proofErr w:type="spellStart"/>
      <w:r w:rsidRPr="00132D1B">
        <w:t>Mayfield</w:t>
      </w:r>
      <w:proofErr w:type="spellEnd"/>
      <w:r w:rsidRPr="00132D1B">
        <w:t>.</w:t>
      </w:r>
    </w:p>
    <w:p w:rsidR="00132D1B" w:rsidRPr="00132D1B" w:rsidRDefault="00132D1B" w:rsidP="00132D1B">
      <w:pPr>
        <w:spacing w:line="480" w:lineRule="auto"/>
        <w:jc w:val="both"/>
        <w:rPr>
          <w:lang w:val="es-AR"/>
        </w:rPr>
      </w:pPr>
      <w:r w:rsidRPr="00132D1B">
        <w:rPr>
          <w:lang w:val="es-AR"/>
        </w:rPr>
        <w:t xml:space="preserve">            </w:t>
      </w:r>
      <w:r>
        <w:rPr>
          <w:lang w:val="es-AR"/>
        </w:rPr>
        <w:t xml:space="preserve">     </w:t>
      </w:r>
      <w:r w:rsidRPr="00132D1B">
        <w:rPr>
          <w:lang w:val="es-AR"/>
        </w:rPr>
        <w:t xml:space="preserve">Como puede observarse, este caso dejó expuesto que pese a tratarse de una prueba científica no queda exenta de los sesgos de los científicos que elaboran los dictámenes y la posibilidad de errores en los mismos. Esto dio lugar a la elaboración del informe NAS </w:t>
      </w:r>
      <w:proofErr w:type="spellStart"/>
      <w:r w:rsidRPr="00132D1B">
        <w:rPr>
          <w:lang w:val="es-AR"/>
        </w:rPr>
        <w:t>Report</w:t>
      </w:r>
      <w:proofErr w:type="spellEnd"/>
      <w:r w:rsidRPr="00132D1B">
        <w:rPr>
          <w:lang w:val="es-AR"/>
        </w:rPr>
        <w:t xml:space="preserve"> del 2009, que fue un llamado de atención para las disciplinas forenses y los jueces; el PCAST (</w:t>
      </w:r>
      <w:proofErr w:type="spellStart"/>
      <w:r w:rsidRPr="00132D1B">
        <w:rPr>
          <w:lang w:val="es-AR"/>
        </w:rPr>
        <w:t>Forensic</w:t>
      </w:r>
      <w:proofErr w:type="spellEnd"/>
      <w:r w:rsidRPr="00132D1B">
        <w:rPr>
          <w:lang w:val="es-AR"/>
        </w:rPr>
        <w:t xml:space="preserve"> </w:t>
      </w:r>
      <w:proofErr w:type="spellStart"/>
      <w:r w:rsidRPr="00132D1B">
        <w:rPr>
          <w:lang w:val="es-AR"/>
        </w:rPr>
        <w:t>Science</w:t>
      </w:r>
      <w:proofErr w:type="spellEnd"/>
      <w:r w:rsidRPr="00132D1B">
        <w:rPr>
          <w:lang w:val="es-AR"/>
        </w:rPr>
        <w:t xml:space="preserve"> in Criminal </w:t>
      </w:r>
      <w:proofErr w:type="spellStart"/>
      <w:r w:rsidRPr="00132D1B">
        <w:rPr>
          <w:lang w:val="es-AR"/>
        </w:rPr>
        <w:t>Courts</w:t>
      </w:r>
      <w:proofErr w:type="spellEnd"/>
      <w:r w:rsidRPr="00132D1B">
        <w:rPr>
          <w:lang w:val="es-AR"/>
        </w:rPr>
        <w:t>) de 2016, y el informe del NIST (</w:t>
      </w:r>
      <w:proofErr w:type="spellStart"/>
      <w:r w:rsidRPr="00132D1B">
        <w:rPr>
          <w:lang w:val="es-AR"/>
        </w:rPr>
        <w:t>National</w:t>
      </w:r>
      <w:proofErr w:type="spellEnd"/>
      <w:r w:rsidRPr="00132D1B">
        <w:rPr>
          <w:lang w:val="es-AR"/>
        </w:rPr>
        <w:t xml:space="preserve"> </w:t>
      </w:r>
      <w:proofErr w:type="spellStart"/>
      <w:r w:rsidRPr="00132D1B">
        <w:rPr>
          <w:lang w:val="es-AR"/>
        </w:rPr>
        <w:t>Institute</w:t>
      </w:r>
      <w:proofErr w:type="spellEnd"/>
      <w:r w:rsidRPr="00132D1B">
        <w:rPr>
          <w:lang w:val="es-AR"/>
        </w:rPr>
        <w:t xml:space="preserve"> of </w:t>
      </w:r>
      <w:proofErr w:type="spellStart"/>
      <w:r w:rsidRPr="00132D1B">
        <w:rPr>
          <w:lang w:val="es-AR"/>
        </w:rPr>
        <w:t>Standards</w:t>
      </w:r>
      <w:proofErr w:type="spellEnd"/>
      <w:r w:rsidRPr="00132D1B">
        <w:rPr>
          <w:lang w:val="es-AR"/>
        </w:rPr>
        <w:t xml:space="preserve"> and </w:t>
      </w:r>
      <w:proofErr w:type="spellStart"/>
      <w:r w:rsidRPr="00132D1B">
        <w:rPr>
          <w:lang w:val="es-AR"/>
        </w:rPr>
        <w:t>Technology</w:t>
      </w:r>
      <w:proofErr w:type="spellEnd"/>
      <w:r w:rsidRPr="00132D1B">
        <w:rPr>
          <w:lang w:val="es-AR"/>
        </w:rPr>
        <w:t>) de septiembre del 2024. Estos informes, sumados al estudio realizado en 1993, en el caso señalado “supra”, determinan que son dos las causas del error: una, dada por el origen, la fuente de error que puede estar en la mala ciencia forense, la mal realización de la pericia o la mala comunicación de datos; y la segunda, en la falta de control de calidad de los datos que se incorporan.</w:t>
      </w:r>
    </w:p>
    <w:p w:rsidR="00132D1B" w:rsidRPr="00132D1B" w:rsidRDefault="00132D1B" w:rsidP="00132D1B">
      <w:pPr>
        <w:spacing w:line="480" w:lineRule="auto"/>
        <w:jc w:val="both"/>
        <w:rPr>
          <w:lang w:val="es-AR"/>
        </w:rPr>
      </w:pPr>
      <w:r w:rsidRPr="00132D1B">
        <w:rPr>
          <w:b/>
          <w:lang w:val="es-AR"/>
        </w:rPr>
        <w:t>3. 2  ERROR EN LA PRUEBA TECNICA</w:t>
      </w:r>
      <w:r w:rsidRPr="00132D1B">
        <w:rPr>
          <w:lang w:val="es-AR"/>
        </w:rPr>
        <w:t>.</w:t>
      </w:r>
    </w:p>
    <w:p w:rsidR="00132D1B" w:rsidRPr="00132D1B" w:rsidRDefault="00132D1B" w:rsidP="00132D1B">
      <w:pPr>
        <w:spacing w:line="480" w:lineRule="auto"/>
        <w:jc w:val="both"/>
        <w:rPr>
          <w:lang w:val="es-AR"/>
        </w:rPr>
      </w:pPr>
      <w:r w:rsidRPr="00132D1B">
        <w:rPr>
          <w:lang w:val="es-AR"/>
        </w:rPr>
        <w:lastRenderedPageBreak/>
        <w:t xml:space="preserve">     </w:t>
      </w:r>
      <w:r>
        <w:rPr>
          <w:lang w:val="es-AR"/>
        </w:rPr>
        <w:t xml:space="preserve">           </w:t>
      </w:r>
      <w:r w:rsidRPr="00132D1B">
        <w:rPr>
          <w:lang w:val="es-AR"/>
        </w:rPr>
        <w:t xml:space="preserve">Hemos dicho que, la prueba pericial, es técnica, es </w:t>
      </w:r>
      <w:proofErr w:type="spellStart"/>
      <w:r w:rsidRPr="00132D1B">
        <w:rPr>
          <w:lang w:val="es-AR"/>
        </w:rPr>
        <w:t>seudo</w:t>
      </w:r>
      <w:proofErr w:type="spellEnd"/>
      <w:r w:rsidRPr="00132D1B">
        <w:rPr>
          <w:lang w:val="es-AR"/>
        </w:rPr>
        <w:t xml:space="preserve"> científica, es la opinión del experto, por lo que constituye una pieza procesal de avidez. El grado de fiabilidad es menor al de las ciencias forenses, en consecuencia, el margen de error es mayor.         </w:t>
      </w:r>
    </w:p>
    <w:p w:rsidR="00132D1B" w:rsidRPr="00132D1B" w:rsidRDefault="00132D1B" w:rsidP="00132D1B">
      <w:pPr>
        <w:spacing w:line="480" w:lineRule="auto"/>
        <w:jc w:val="both"/>
        <w:rPr>
          <w:lang w:val="es-AR"/>
        </w:rPr>
      </w:pPr>
      <w:r w:rsidRPr="00132D1B">
        <w:rPr>
          <w:lang w:val="es-AR"/>
        </w:rPr>
        <w:t xml:space="preserve">    </w:t>
      </w:r>
      <w:r>
        <w:rPr>
          <w:lang w:val="es-AR"/>
        </w:rPr>
        <w:t xml:space="preserve">           </w:t>
      </w:r>
      <w:r w:rsidRPr="00132D1B">
        <w:rPr>
          <w:lang w:val="es-AR"/>
        </w:rPr>
        <w:t>El peritaje no es una garantía de verdad, existen tasas de error conocidas y potenciales. Los errores pueden ser subjetivos u objetivos,</w:t>
      </w:r>
      <w:r w:rsidRPr="00132D1B">
        <w:t xml:space="preserve"> </w:t>
      </w:r>
      <w:r w:rsidRPr="00132D1B">
        <w:rPr>
          <w:lang w:val="es-AR"/>
        </w:rPr>
        <w:t xml:space="preserve"> teniendo como causa, entre otras: La pobre o nula base científica que tienen algunas de las disciplinas; Expertos con buena fe pero sin riguroso estudio ni revisión; No se comprueba método tasa de error; Falta de investigación respecto al grado de comparación (método comparativo utilizado), falta de refuerzo en la validación y práctica, es necesario, acreditaciones periódicas; Sesgos cognitivos de los expertos; La comunicación, la manera en que los peritos comunican al Tribunal la conclusión de la pericia, los expertos conocen el valor de su labor y muchas veces, sobrevaloran los resultados. </w:t>
      </w:r>
    </w:p>
    <w:p w:rsidR="00132D1B" w:rsidRPr="00132D1B" w:rsidRDefault="00132D1B" w:rsidP="00132D1B">
      <w:pPr>
        <w:spacing w:line="480" w:lineRule="auto"/>
        <w:jc w:val="both"/>
        <w:rPr>
          <w:b/>
          <w:lang w:val="es-AR"/>
        </w:rPr>
      </w:pPr>
      <w:r w:rsidRPr="00132D1B">
        <w:rPr>
          <w:b/>
          <w:lang w:val="es-AR"/>
        </w:rPr>
        <w:t>3. 3 CONCLUSIONES SOBRE EL ERROR TECNICO FORENSE.</w:t>
      </w:r>
    </w:p>
    <w:p w:rsidR="00132D1B" w:rsidRPr="00132D1B" w:rsidRDefault="00132D1B" w:rsidP="00132D1B">
      <w:pPr>
        <w:spacing w:line="480" w:lineRule="auto"/>
        <w:jc w:val="both"/>
      </w:pPr>
      <w:r w:rsidRPr="00132D1B">
        <w:rPr>
          <w:lang w:val="es-AR"/>
        </w:rPr>
        <w:t xml:space="preserve">  </w:t>
      </w:r>
      <w:r>
        <w:rPr>
          <w:lang w:val="es-AR"/>
        </w:rPr>
        <w:t xml:space="preserve">              </w:t>
      </w:r>
      <w:r w:rsidRPr="00132D1B">
        <w:rPr>
          <w:lang w:val="es-AR"/>
        </w:rPr>
        <w:t xml:space="preserve">En síntesis, </w:t>
      </w:r>
      <w:r w:rsidRPr="00132D1B">
        <w:t>los errores de “forma” se refieren al aspecto formal y externo del informe, normalmente serán subsanables y no invalidarán su contenido. Por el contrario, los errores de “fondo” pueden desvirtuar la metodología, proceso analítico y consecuentemente las conclusiones del informe.</w:t>
      </w:r>
    </w:p>
    <w:p w:rsidR="00132D1B" w:rsidRPr="00132D1B" w:rsidRDefault="00132D1B" w:rsidP="00132D1B">
      <w:pPr>
        <w:spacing w:line="480" w:lineRule="auto"/>
        <w:jc w:val="both"/>
        <w:rPr>
          <w:lang w:val="es-AR"/>
        </w:rPr>
      </w:pPr>
      <w:r w:rsidRPr="00132D1B">
        <w:rPr>
          <w:lang w:val="es-AR"/>
        </w:rPr>
        <w:t xml:space="preserve">  </w:t>
      </w:r>
      <w:r>
        <w:rPr>
          <w:lang w:val="es-AR"/>
        </w:rPr>
        <w:t xml:space="preserve">             </w:t>
      </w:r>
      <w:r w:rsidRPr="00132D1B">
        <w:rPr>
          <w:lang w:val="es-AR"/>
        </w:rPr>
        <w:t xml:space="preserve">Cuando no se controla la fiabilidad de los datos es más probable que se cometan errores en las sentencias. Por lo que resulta necesario el control de los tribunales respecto de la fiabilidad del informe. Generalmente, el control se limita al aspecto formal, es decir, si el perito es experto o técnico en esa ciencia, pero no se verifica si esa persona </w:t>
      </w:r>
      <w:r w:rsidR="00472586" w:rsidRPr="00132D1B">
        <w:rPr>
          <w:lang w:val="es-AR"/>
        </w:rPr>
        <w:t>está</w:t>
      </w:r>
      <w:r w:rsidRPr="00132D1B">
        <w:rPr>
          <w:lang w:val="es-AR"/>
        </w:rPr>
        <w:t xml:space="preserve"> capacitada para esa pericia, si es competente para el caso en concreto. La </w:t>
      </w:r>
      <w:proofErr w:type="spellStart"/>
      <w:r w:rsidRPr="00132D1B">
        <w:rPr>
          <w:lang w:val="es-AR"/>
        </w:rPr>
        <w:t>expertise</w:t>
      </w:r>
      <w:proofErr w:type="spellEnd"/>
      <w:r w:rsidRPr="00132D1B">
        <w:rPr>
          <w:lang w:val="es-AR"/>
        </w:rPr>
        <w:t xml:space="preserve"> debe materializarse en el acto del peritaje, en el aquí y ahora.      </w:t>
      </w:r>
    </w:p>
    <w:p w:rsidR="00132D1B" w:rsidRPr="00132D1B" w:rsidRDefault="00132D1B" w:rsidP="00132D1B">
      <w:pPr>
        <w:spacing w:line="480" w:lineRule="auto"/>
        <w:jc w:val="both"/>
        <w:rPr>
          <w:lang w:val="es-AR"/>
        </w:rPr>
      </w:pPr>
      <w:r w:rsidRPr="00132D1B">
        <w:rPr>
          <w:lang w:val="es-AR"/>
        </w:rPr>
        <w:lastRenderedPageBreak/>
        <w:t xml:space="preserve">           </w:t>
      </w:r>
      <w:r>
        <w:rPr>
          <w:lang w:val="es-AR"/>
        </w:rPr>
        <w:t xml:space="preserve">     </w:t>
      </w:r>
      <w:r w:rsidRPr="00132D1B">
        <w:rPr>
          <w:lang w:val="es-AR"/>
        </w:rPr>
        <w:t xml:space="preserve">En este sentido, y a modo ejemplificativo, el artículo 282 del Código Procesal Civil y Comercial de Córdoba, faculta al Tribunal, de oficio o a pedido de parte, a pedir informes a entes públicos cuando el dictamen pericial exija conocimientos específicos. Pese a ello, esta facultad es poco utilizada, por cuanto los jueces son acríticos de la función del perito, en algún sentido con fundamento en la necesidad de resolver las causas.   </w:t>
      </w:r>
    </w:p>
    <w:p w:rsidR="00132D1B" w:rsidRPr="00132D1B" w:rsidRDefault="00132D1B" w:rsidP="00132D1B">
      <w:pPr>
        <w:spacing w:line="480" w:lineRule="auto"/>
        <w:jc w:val="both"/>
      </w:pPr>
      <w:r w:rsidRPr="00132D1B">
        <w:rPr>
          <w:lang w:val="es-AR"/>
        </w:rPr>
        <w:t xml:space="preserve">          </w:t>
      </w:r>
      <w:r>
        <w:rPr>
          <w:lang w:val="es-AR"/>
        </w:rPr>
        <w:t xml:space="preserve">   </w:t>
      </w:r>
      <w:r w:rsidRPr="00132D1B">
        <w:rPr>
          <w:lang w:val="es-AR"/>
        </w:rPr>
        <w:t xml:space="preserve"> </w:t>
      </w:r>
      <w:r>
        <w:rPr>
          <w:lang w:val="es-AR"/>
        </w:rPr>
        <w:t xml:space="preserve">  </w:t>
      </w:r>
      <w:r w:rsidRPr="00132D1B">
        <w:rPr>
          <w:lang w:val="es-AR"/>
        </w:rPr>
        <w:t>A más del control que debe realizar el Juez, los abogados debemos también realizar controles para lo cual, en primer</w:t>
      </w:r>
      <w:r w:rsidR="00472586">
        <w:rPr>
          <w:lang w:val="es-AR"/>
        </w:rPr>
        <w:t xml:space="preserve"> lugar, debemos aceptar que carecemos de ciertos conocimientos específicos, que somos neófitos en materias técnicas </w:t>
      </w:r>
      <w:r w:rsidRPr="00132D1B">
        <w:rPr>
          <w:lang w:val="es-AR"/>
        </w:rPr>
        <w:t>y solicitar</w:t>
      </w:r>
      <w:r w:rsidR="00472586">
        <w:rPr>
          <w:lang w:val="es-AR"/>
        </w:rPr>
        <w:t xml:space="preserve"> el acompañamiento de un especialista</w:t>
      </w:r>
      <w:r w:rsidRPr="00132D1B">
        <w:rPr>
          <w:lang w:val="es-AR"/>
        </w:rPr>
        <w:t>. Luego, las cuatro fuentes -informes realizados en la práctica jurídica estadounidense- nos enseñan preguntas que podemos realizar tanto en la investigación previa del caso, como en la producción de información en juicio. Son preguntas sobre el perito, su acreditación, preguntas sobre la aplicación empírica, sobre la pericia, sobre el consenso científico respecto a la metodología empleada, sobre el grado de error y sobre los resultados de los apuntes del laboratorio. Estos pasos no son otra cosa que controlar la información.</w:t>
      </w:r>
      <w:r w:rsidRPr="00132D1B">
        <w:t xml:space="preserve"> </w:t>
      </w:r>
    </w:p>
    <w:p w:rsidR="00132D1B" w:rsidRPr="00132D1B" w:rsidRDefault="00132D1B" w:rsidP="00132D1B">
      <w:pPr>
        <w:spacing w:line="480" w:lineRule="auto"/>
        <w:jc w:val="both"/>
      </w:pPr>
      <w:r w:rsidRPr="00132D1B">
        <w:t xml:space="preserve">           </w:t>
      </w:r>
      <w:r>
        <w:t xml:space="preserve">    </w:t>
      </w:r>
      <w:r w:rsidRPr="00132D1B">
        <w:t>En definitiva, debemos dejar de exigir certezas y empezar a preguntar por las dimensiones del error.</w:t>
      </w:r>
    </w:p>
    <w:p w:rsidR="00132D1B" w:rsidRPr="00132D1B" w:rsidRDefault="00132D1B" w:rsidP="00132D1B">
      <w:pPr>
        <w:spacing w:line="480" w:lineRule="auto"/>
        <w:jc w:val="both"/>
        <w:rPr>
          <w:b/>
          <w:lang w:val="es-AR"/>
        </w:rPr>
      </w:pPr>
      <w:r w:rsidRPr="00132D1B">
        <w:rPr>
          <w:b/>
          <w:lang w:val="es-AR"/>
        </w:rPr>
        <w:t>4-</w:t>
      </w:r>
      <w:r w:rsidRPr="00132D1B">
        <w:rPr>
          <w:lang w:val="es-AR"/>
        </w:rPr>
        <w:t xml:space="preserve"> </w:t>
      </w:r>
      <w:r w:rsidRPr="00132D1B">
        <w:rPr>
          <w:b/>
          <w:lang w:val="es-AR"/>
        </w:rPr>
        <w:t>IMPUGNACION DE LA PERICIA.</w:t>
      </w:r>
    </w:p>
    <w:p w:rsidR="00132D1B" w:rsidRPr="00132D1B" w:rsidRDefault="00132D1B" w:rsidP="00132D1B">
      <w:pPr>
        <w:spacing w:line="480" w:lineRule="auto"/>
        <w:jc w:val="both"/>
        <w:rPr>
          <w:lang w:val="es-AR"/>
        </w:rPr>
      </w:pPr>
      <w:r w:rsidRPr="00132D1B">
        <w:rPr>
          <w:b/>
          <w:lang w:val="es-AR"/>
        </w:rPr>
        <w:t xml:space="preserve">             </w:t>
      </w:r>
      <w:r>
        <w:rPr>
          <w:b/>
          <w:lang w:val="es-AR"/>
        </w:rPr>
        <w:t xml:space="preserve">  </w:t>
      </w:r>
      <w:r w:rsidRPr="00132D1B">
        <w:rPr>
          <w:lang w:val="es-AR"/>
        </w:rPr>
        <w:t>La impugnación de la pericia es la posibilidad de atacar un dictamen pericial por distintas razones, siguiendo a Alsina diremos que esos fundamentos pueden resumirse en dos: 1) Por haberse apartado el perito de las cuestiones propuestas a su examen o por considerar equivocado el procedimiento seguido por ellos o por haber violado alguna de las formalidades prescriptas para la misma;  2) Por objeciones a las conclusiones o fundamentos.</w:t>
      </w:r>
    </w:p>
    <w:p w:rsidR="00132D1B" w:rsidRPr="00132D1B" w:rsidRDefault="00132D1B" w:rsidP="00132D1B">
      <w:pPr>
        <w:spacing w:line="480" w:lineRule="auto"/>
        <w:jc w:val="both"/>
        <w:rPr>
          <w:lang w:val="es-AR"/>
        </w:rPr>
      </w:pPr>
      <w:r w:rsidRPr="00132D1B">
        <w:rPr>
          <w:lang w:val="es-AR"/>
        </w:rPr>
        <w:lastRenderedPageBreak/>
        <w:t xml:space="preserve">               </w:t>
      </w:r>
      <w:r>
        <w:rPr>
          <w:lang w:val="es-AR"/>
        </w:rPr>
        <w:t xml:space="preserve"> </w:t>
      </w:r>
      <w:r w:rsidRPr="00132D1B">
        <w:rPr>
          <w:lang w:val="es-AR"/>
        </w:rPr>
        <w:t xml:space="preserve">Los momentos oportunos para impugnar, están sujetos a la causa que se invoque. Si el fundamento radica en cuestiones formales, la mayoría de los Códigos procesales establecen un plazo de cinco días desde la incorporación del dictamen pericial y debe formularse a través de un incidente, que tramitará de manera sumarísima por el juicio más abreviado legislado. Si en cambio, lo que se objeta son las conclusiones, dicha objeción debe plantearse en los alegatos, momento en que la parte aducirá las consideraciones que estime pertinentes para destruir la eficacia probatoria.  </w:t>
      </w:r>
    </w:p>
    <w:p w:rsidR="00132D1B" w:rsidRPr="00132D1B" w:rsidRDefault="00132D1B" w:rsidP="00132D1B">
      <w:pPr>
        <w:spacing w:line="480" w:lineRule="auto"/>
        <w:jc w:val="both"/>
        <w:rPr>
          <w:lang w:val="es-AR"/>
        </w:rPr>
      </w:pPr>
      <w:r w:rsidRPr="00132D1B">
        <w:rPr>
          <w:lang w:val="es-AR"/>
        </w:rPr>
        <w:t xml:space="preserve">             </w:t>
      </w:r>
      <w:r>
        <w:rPr>
          <w:lang w:val="es-AR"/>
        </w:rPr>
        <w:t xml:space="preserve">  </w:t>
      </w:r>
      <w:r w:rsidRPr="00132D1B">
        <w:rPr>
          <w:lang w:val="es-AR"/>
        </w:rPr>
        <w:t xml:space="preserve">Es decir, hay dos maneras de cuestionar una prueba pericial, una va dirigida al contenido de la misma, a través de la impugnación y el momento procesal oportuno lo constituye el alegato; la otra va direccionada al aspecto formal del acto, hace a la validez del mismo, y el procedimiento correcto es a través del incidente de nulidad.    </w:t>
      </w:r>
    </w:p>
    <w:p w:rsidR="00132D1B" w:rsidRPr="00132D1B" w:rsidRDefault="00132D1B" w:rsidP="00132D1B">
      <w:pPr>
        <w:spacing w:line="480" w:lineRule="auto"/>
        <w:jc w:val="both"/>
        <w:rPr>
          <w:lang w:val="es-AR"/>
        </w:rPr>
      </w:pPr>
      <w:r w:rsidRPr="00132D1B">
        <w:rPr>
          <w:lang w:val="es-AR"/>
        </w:rPr>
        <w:t xml:space="preserve">               A más de estas dos maneras de cuestionar la prueba pericial, se puede solicitar al perito amplíe o aclare algunos puntos de pericia por resultar oscuros, por omisiones o errores. El momento depende del proceso, generalmente, se formula el pedido dentro del plazo para promover incidente. En el procedimiento civil por audiencias en la Provincia de Córdoba, el pedido se realiza dentro de los cinco días de incorporado el dictamen. El Perito, una vez notificado cuenta con un plazo establecido por el Tribunal para ampliar la pericia. Igualmente, será citado a la audiencia complementaria para formular las aclaraciones que le sean requeridas por las partes o el Juez.</w:t>
      </w:r>
    </w:p>
    <w:p w:rsidR="00132D1B" w:rsidRPr="00132D1B" w:rsidRDefault="00132D1B" w:rsidP="00132D1B">
      <w:pPr>
        <w:spacing w:line="480" w:lineRule="auto"/>
        <w:jc w:val="both"/>
        <w:rPr>
          <w:lang w:val="es-AR"/>
        </w:rPr>
      </w:pPr>
      <w:r w:rsidRPr="00132D1B">
        <w:rPr>
          <w:lang w:val="es-AR"/>
        </w:rPr>
        <w:t xml:space="preserve">                Asimismo, las partes cuentan con la posibilidad de ofrecer peritos de control que realizarán una contra-pericia. En la mayoría de las legislaciones procesales, en materia civil, el momento oportuno para nombrar un perito de control es en el plazo desde que se sorteó el perito oficial hasta tres días después de aceptado el cargo por aquel.   </w:t>
      </w:r>
    </w:p>
    <w:p w:rsidR="00132D1B" w:rsidRPr="00132D1B" w:rsidRDefault="00132D1B" w:rsidP="00132D1B">
      <w:pPr>
        <w:spacing w:line="480" w:lineRule="auto"/>
        <w:jc w:val="both"/>
        <w:rPr>
          <w:b/>
          <w:lang w:val="es-AR"/>
        </w:rPr>
      </w:pPr>
      <w:r w:rsidRPr="00132D1B">
        <w:rPr>
          <w:b/>
          <w:lang w:val="es-AR"/>
        </w:rPr>
        <w:t xml:space="preserve">4.1 VALORACION DEL DICTAMEN PERICIAL             </w:t>
      </w:r>
    </w:p>
    <w:p w:rsidR="00132D1B" w:rsidRPr="00132D1B" w:rsidRDefault="00132D1B" w:rsidP="00132D1B">
      <w:pPr>
        <w:spacing w:line="480" w:lineRule="auto"/>
        <w:jc w:val="both"/>
        <w:rPr>
          <w:lang w:val="es-AR"/>
        </w:rPr>
      </w:pPr>
      <w:r w:rsidRPr="00132D1B">
        <w:rPr>
          <w:lang w:val="es-AR"/>
        </w:rPr>
        <w:lastRenderedPageBreak/>
        <w:t xml:space="preserve">               Como apartado especial y complementario a las objeciones de los dictámenes periciales, haremos mención, en sentido general, de la valoración del mismo por parte del Juez. Si bien el dictamen pericial no es vinculante para el Juez, la práctica procesal muestra que la mayoría de las veces, las Sentencias encuentran sustentos en los dictámenes –oficiales- incorporados en los procesos. El Juez tiene libertad a la hora de valorarlo, pudiendo abstenerse de considerarlo, mediante decisión debidamente fundamentada.</w:t>
      </w:r>
    </w:p>
    <w:p w:rsidR="00132D1B" w:rsidRPr="00132D1B" w:rsidRDefault="00132D1B" w:rsidP="00132D1B">
      <w:pPr>
        <w:spacing w:line="480" w:lineRule="auto"/>
        <w:jc w:val="both"/>
        <w:rPr>
          <w:lang w:val="es-AR"/>
        </w:rPr>
      </w:pPr>
      <w:r w:rsidRPr="00132D1B">
        <w:rPr>
          <w:lang w:val="es-AR"/>
        </w:rPr>
        <w:t xml:space="preserve">                Para la mayoría de la doctrina y jurisprudencia el dictamen del perito oficial es idóneo per se para formar convicción y que su opinión debe prevalecer, en principio, sobre la del perito de control o perito de parte, que como tal ha sido designado para defender los intereses de quien lo propone, premiando la objetividad y fundamentación científica y técnica y/o empírica del dictamen, por encima del sujeto que la haya emitido. La aptitud epistemológica de la opinión nos suministra un estándar valorativo, una guía imprescindible para establecer su valor probatorio. </w:t>
      </w:r>
    </w:p>
    <w:p w:rsidR="00132D1B" w:rsidRPr="00132D1B" w:rsidRDefault="00132D1B" w:rsidP="00132D1B">
      <w:pPr>
        <w:spacing w:line="480" w:lineRule="auto"/>
        <w:jc w:val="both"/>
        <w:rPr>
          <w:lang w:val="es-AR"/>
        </w:rPr>
      </w:pPr>
      <w:r w:rsidRPr="00132D1B">
        <w:rPr>
          <w:lang w:val="es-AR"/>
        </w:rPr>
        <w:t xml:space="preserve">               Si el juez basa su decisión en la pericia oficial, no debe agregar ninguna fundamentación a la misma. En cambio, para apartarse de la pericia oficial el magistrado tiene que dar a saber cuáles son las razones de entidad suficiente que justifiquen su decisión. Esta valoración queda en la libre convicción del juzgador, siempre bajo las reglas de la sana crítica racional.</w:t>
      </w:r>
    </w:p>
    <w:p w:rsidR="00132D1B" w:rsidRPr="00132D1B" w:rsidRDefault="00132D1B" w:rsidP="00132D1B">
      <w:pPr>
        <w:spacing w:line="480" w:lineRule="auto"/>
        <w:jc w:val="both"/>
        <w:rPr>
          <w:lang w:val="es-AR"/>
        </w:rPr>
      </w:pPr>
      <w:r w:rsidRPr="00132D1B">
        <w:rPr>
          <w:b/>
        </w:rPr>
        <w:t>5. CONCLUSIONES</w:t>
      </w:r>
      <w:r w:rsidRPr="00132D1B">
        <w:t>.</w:t>
      </w:r>
    </w:p>
    <w:p w:rsidR="00132D1B" w:rsidRPr="00132D1B" w:rsidRDefault="00132D1B" w:rsidP="00132D1B">
      <w:pPr>
        <w:spacing w:line="480" w:lineRule="auto"/>
        <w:jc w:val="both"/>
      </w:pPr>
      <w:r w:rsidRPr="00132D1B">
        <w:t xml:space="preserve">      </w:t>
      </w:r>
      <w:r>
        <w:t xml:space="preserve">          </w:t>
      </w:r>
      <w:r w:rsidRPr="00132D1B">
        <w:t>Como corolario, podemos afirmar que, si bien en los últimos años, la prueba pericial adquirió mayor relevancia por sobre los demás medios de prueba, la misma, sea científica o técnica</w:t>
      </w:r>
      <w:r w:rsidR="008326F8">
        <w:t xml:space="preserve">, </w:t>
      </w:r>
      <w:r w:rsidRPr="00132D1B">
        <w:t xml:space="preserve"> no es infalible.  Por el contrario, la práctica jurídica nos ha demostrado la existencia de errores, al punto de realizar estudios respecto de los mismos a través de la denominada “Teoría del Error” que establece las causas del mismo y las pautas para evitarlos.</w:t>
      </w:r>
    </w:p>
    <w:p w:rsidR="002D1FAA" w:rsidRDefault="00132D1B" w:rsidP="00132D1B">
      <w:pPr>
        <w:spacing w:line="480" w:lineRule="auto"/>
        <w:jc w:val="both"/>
      </w:pPr>
      <w:r w:rsidRPr="00132D1B">
        <w:lastRenderedPageBreak/>
        <w:t xml:space="preserve">      </w:t>
      </w:r>
      <w:r>
        <w:t xml:space="preserve">        </w:t>
      </w:r>
      <w:r w:rsidR="002D1FAA">
        <w:t xml:space="preserve"> En palabras de Gascón Abellán “...</w:t>
      </w:r>
      <w:r w:rsidR="002D1FAA" w:rsidRPr="002C6B74">
        <w:rPr>
          <w:i/>
        </w:rPr>
        <w:t>La importancia de las pruebas científicas en la práctica procesal no ha sido acompañada de un proceso paralelo de cautelas y controles y relación con las mismas. Más bien ha sucedido todo lo contrario</w:t>
      </w:r>
      <w:r w:rsidR="002D1FAA">
        <w:t>...”</w:t>
      </w:r>
    </w:p>
    <w:p w:rsidR="00132D1B" w:rsidRPr="00132D1B" w:rsidRDefault="002D1FAA" w:rsidP="00132D1B">
      <w:pPr>
        <w:spacing w:line="480" w:lineRule="auto"/>
        <w:jc w:val="both"/>
      </w:pPr>
      <w:r>
        <w:t xml:space="preserve">              </w:t>
      </w:r>
      <w:r w:rsidR="00132D1B">
        <w:t xml:space="preserve"> </w:t>
      </w:r>
      <w:r w:rsidR="00132D1B" w:rsidRPr="00132D1B">
        <w:t>Los informes generados en la práctica jurídica estadounidense, concluyen en la formulación de preguntas que debemos realizar, los jueces y los abogados a fin de controlar la realización de la pericia. Todas estas preguntas son las que dan lugar a diseminar la prueba pericial. Permiten que exijamos un correcto modo de trabajar con la prueba. Permiten que asumamos un riesgo de error. Permiten que los peritos estén más atentos y consientes de los sesgos. Permiten que las fuerzas de seguridad asuman el riesgo de trabajar con una sola hipótesis. Permiten que quienes decidan, lo hagan con mejor información y mejores razones.</w:t>
      </w:r>
    </w:p>
    <w:p w:rsidR="00132D1B" w:rsidRPr="00132D1B" w:rsidRDefault="00132D1B" w:rsidP="00132D1B">
      <w:pPr>
        <w:spacing w:line="480" w:lineRule="auto"/>
        <w:jc w:val="both"/>
      </w:pPr>
      <w:r w:rsidRPr="00132D1B">
        <w:t xml:space="preserve">      </w:t>
      </w:r>
      <w:r>
        <w:t xml:space="preserve">         </w:t>
      </w:r>
      <w:r w:rsidRPr="00132D1B">
        <w:t xml:space="preserve">En definitiva, es necesario que, los expertos asuman la responsabilidad de mantenerse actualizados en las técnicas y acreditar práctica periódica, competencia válida en el caso concreto. Los jueces, por su parte, deben ampliar el control, es decir, no limitarse al control formal sino también realizar la verificación correspondiente respecto de la capacidad o competencia del perito nombrado. </w:t>
      </w:r>
    </w:p>
    <w:p w:rsidR="00132D1B" w:rsidRPr="00132D1B" w:rsidRDefault="00132D1B" w:rsidP="00132D1B">
      <w:pPr>
        <w:spacing w:line="480" w:lineRule="auto"/>
        <w:jc w:val="both"/>
      </w:pPr>
      <w:r w:rsidRPr="00132D1B">
        <w:t xml:space="preserve">      </w:t>
      </w:r>
      <w:r>
        <w:t xml:space="preserve">        </w:t>
      </w:r>
      <w:r w:rsidRPr="00132D1B">
        <w:t>Por último, los abogados debemos partir de nuestra</w:t>
      </w:r>
      <w:r w:rsidR="002C6B74">
        <w:t xml:space="preserve"> falta de conocimiento específico</w:t>
      </w:r>
      <w:r w:rsidRPr="00132D1B">
        <w:t xml:space="preserve"> para solicitar el acompañamiento de un experto, desde el momento mismo de la teoría del caso, es decir, desde que asumimos la representación de una de las partes. </w:t>
      </w:r>
    </w:p>
    <w:p w:rsidR="00132D1B" w:rsidRPr="00132D1B" w:rsidRDefault="00132D1B" w:rsidP="00132D1B">
      <w:pPr>
        <w:spacing w:line="480" w:lineRule="auto"/>
        <w:jc w:val="both"/>
      </w:pPr>
      <w:r w:rsidRPr="00132D1B">
        <w:t xml:space="preserve">      </w:t>
      </w:r>
      <w:r>
        <w:t xml:space="preserve">         </w:t>
      </w:r>
      <w:r w:rsidRPr="00132D1B">
        <w:t xml:space="preserve">Reconocer la existencia de errores en las pericias, nos permite no solo controlar la realización de las mismas sino también, en caso de que se produzcan dichos errores, poder objetar e impugnar los dictámenes en tiempo oportuno, favoreciendo en definitiva, al dictado de sentencias correctas, disminuyendo el grado de error en las mismas. </w:t>
      </w:r>
    </w:p>
    <w:p w:rsidR="00132D1B" w:rsidRPr="00132D1B" w:rsidRDefault="00132D1B" w:rsidP="00132D1B">
      <w:pPr>
        <w:jc w:val="both"/>
        <w:rPr>
          <w:b/>
        </w:rPr>
      </w:pPr>
      <w:r w:rsidRPr="00132D1B">
        <w:rPr>
          <w:b/>
        </w:rPr>
        <w:t>5. BIBLIOGRAFIA.</w:t>
      </w:r>
    </w:p>
    <w:p w:rsidR="00132D1B" w:rsidRPr="00132D1B" w:rsidRDefault="00132D1B" w:rsidP="00132D1B">
      <w:pPr>
        <w:jc w:val="both"/>
        <w:rPr>
          <w:lang w:val="es-AR"/>
        </w:rPr>
      </w:pPr>
      <w:r w:rsidRPr="00132D1B">
        <w:rPr>
          <w:lang w:val="es-AR"/>
        </w:rPr>
        <w:t xml:space="preserve">1- ALSINA, Hugo. Tratado Teórico Práctico de Derecho Procesal Civil y Comercial. </w:t>
      </w:r>
      <w:proofErr w:type="spellStart"/>
      <w:r w:rsidRPr="00132D1B">
        <w:rPr>
          <w:lang w:val="es-AR"/>
        </w:rPr>
        <w:t>Ediar</w:t>
      </w:r>
      <w:proofErr w:type="spellEnd"/>
      <w:r w:rsidRPr="00132D1B">
        <w:rPr>
          <w:lang w:val="es-AR"/>
        </w:rPr>
        <w:t>, Buenos Aires, 1956.</w:t>
      </w:r>
    </w:p>
    <w:p w:rsidR="00132D1B" w:rsidRPr="00132D1B" w:rsidRDefault="00132D1B" w:rsidP="00132D1B">
      <w:pPr>
        <w:jc w:val="both"/>
        <w:rPr>
          <w:lang w:val="es-AR"/>
        </w:rPr>
      </w:pPr>
      <w:r w:rsidRPr="00132D1B">
        <w:rPr>
          <w:lang w:val="es-AR"/>
        </w:rPr>
        <w:lastRenderedPageBreak/>
        <w:t xml:space="preserve">2- FALCÓN, E. Tratado de la prueba, t. 2.-  </w:t>
      </w:r>
      <w:proofErr w:type="spellStart"/>
      <w:r w:rsidRPr="00132D1B">
        <w:rPr>
          <w:lang w:val="es-AR"/>
        </w:rPr>
        <w:t>Astrea</w:t>
      </w:r>
      <w:proofErr w:type="spellEnd"/>
      <w:r w:rsidRPr="00132D1B">
        <w:rPr>
          <w:lang w:val="es-AR"/>
        </w:rPr>
        <w:t>, Buenos Aires, 2003.</w:t>
      </w:r>
    </w:p>
    <w:p w:rsidR="00132D1B" w:rsidRPr="00132D1B" w:rsidRDefault="00132D1B" w:rsidP="00132D1B">
      <w:pPr>
        <w:jc w:val="both"/>
        <w:rPr>
          <w:bCs/>
          <w:lang w:val="es-AR"/>
        </w:rPr>
      </w:pPr>
      <w:r w:rsidRPr="00132D1B">
        <w:rPr>
          <w:bCs/>
          <w:lang w:val="es-AR"/>
        </w:rPr>
        <w:t xml:space="preserve">3- FERRAJIOLI, Luigi, Derecho y </w:t>
      </w:r>
      <w:r w:rsidR="002D1FAA" w:rsidRPr="00132D1B">
        <w:rPr>
          <w:bCs/>
          <w:lang w:val="es-AR"/>
        </w:rPr>
        <w:t>Razón</w:t>
      </w:r>
      <w:r w:rsidRPr="00132D1B">
        <w:rPr>
          <w:bCs/>
          <w:lang w:val="es-AR"/>
        </w:rPr>
        <w:t xml:space="preserve">, Madrid, </w:t>
      </w:r>
      <w:proofErr w:type="spellStart"/>
      <w:r w:rsidRPr="00132D1B">
        <w:rPr>
          <w:bCs/>
          <w:lang w:val="es-AR"/>
        </w:rPr>
        <w:t>Trotta</w:t>
      </w:r>
      <w:proofErr w:type="spellEnd"/>
      <w:r w:rsidRPr="00132D1B">
        <w:rPr>
          <w:bCs/>
          <w:lang w:val="es-AR"/>
        </w:rPr>
        <w:t>, segunda edición, 1997.</w:t>
      </w:r>
    </w:p>
    <w:p w:rsidR="00132D1B" w:rsidRPr="00132D1B" w:rsidRDefault="002D1FAA" w:rsidP="00132D1B">
      <w:pPr>
        <w:jc w:val="both"/>
        <w:rPr>
          <w:bCs/>
          <w:lang w:val="es-AR"/>
        </w:rPr>
      </w:pPr>
      <w:r>
        <w:rPr>
          <w:bCs/>
          <w:lang w:val="es-AR"/>
        </w:rPr>
        <w:t>4- FLORES PRADA, Ignacio</w:t>
      </w:r>
      <w:r w:rsidR="00132D1B" w:rsidRPr="00132D1B">
        <w:rPr>
          <w:bCs/>
          <w:lang w:val="es-AR"/>
        </w:rPr>
        <w:t>, La prueba pericial de parte en el proceso civil, Ed. Tirant lo Blanch. Valencia, 2005.</w:t>
      </w:r>
    </w:p>
    <w:p w:rsidR="00132D1B" w:rsidRPr="00132D1B" w:rsidRDefault="002C6B74" w:rsidP="00132D1B">
      <w:pPr>
        <w:jc w:val="both"/>
      </w:pPr>
      <w:r>
        <w:rPr>
          <w:lang w:val="es-AR"/>
        </w:rPr>
        <w:t>5- GASCON ABELLAN Marina , “</w:t>
      </w:r>
      <w:r w:rsidR="002D1FAA">
        <w:rPr>
          <w:lang w:val="es-AR"/>
        </w:rPr>
        <w:t xml:space="preserve">Ideas para un control de fiabilidad de las pruebas forenses”, en Pablo </w:t>
      </w:r>
      <w:proofErr w:type="spellStart"/>
      <w:r w:rsidR="002D1FAA">
        <w:rPr>
          <w:lang w:val="es-AR"/>
        </w:rPr>
        <w:t>Rovatti</w:t>
      </w:r>
      <w:proofErr w:type="spellEnd"/>
      <w:r w:rsidR="002D1FAA">
        <w:rPr>
          <w:lang w:val="es-AR"/>
        </w:rPr>
        <w:t>, Manual sobre Derechos humanos y prueba en el proceso penal, Suprema Corte de Justicia de la Nación, Dirección de Derechos Humanos y Escuela Federal de Formación J</w:t>
      </w:r>
      <w:r>
        <w:rPr>
          <w:lang w:val="es-AR"/>
        </w:rPr>
        <w:t>u</w:t>
      </w:r>
      <w:r w:rsidR="002D1FAA">
        <w:rPr>
          <w:lang w:val="es-AR"/>
        </w:rPr>
        <w:t>dicial</w:t>
      </w:r>
      <w:r>
        <w:rPr>
          <w:lang w:val="es-AR"/>
        </w:rPr>
        <w:t>, México, 2021.</w:t>
      </w:r>
      <w:r w:rsidR="002D1FAA">
        <w:rPr>
          <w:lang w:val="es-AR"/>
        </w:rPr>
        <w:t xml:space="preserve"> </w:t>
      </w:r>
    </w:p>
    <w:sectPr w:rsidR="00132D1B" w:rsidRPr="00132D1B">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483" w:rsidRDefault="00215483">
      <w:pPr>
        <w:spacing w:after="0" w:line="240" w:lineRule="auto"/>
      </w:pPr>
      <w:r>
        <w:separator/>
      </w:r>
    </w:p>
  </w:endnote>
  <w:endnote w:type="continuationSeparator" w:id="0">
    <w:p w:rsidR="00215483" w:rsidRDefault="00215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487" w:rsidRDefault="00215483">
    <w:pPr>
      <w:pStyle w:val="Piedepgina"/>
      <w:rPr>
        <w:lang w:val="es-ES"/>
      </w:rPr>
    </w:pPr>
  </w:p>
  <w:p w:rsidR="00741487" w:rsidRPr="00A3442E" w:rsidRDefault="00215483">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483" w:rsidRDefault="00215483">
      <w:pPr>
        <w:spacing w:after="0" w:line="240" w:lineRule="auto"/>
      </w:pPr>
      <w:r>
        <w:separator/>
      </w:r>
    </w:p>
  </w:footnote>
  <w:footnote w:type="continuationSeparator" w:id="0">
    <w:p w:rsidR="00215483" w:rsidRDefault="002154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C10212"/>
    <w:multiLevelType w:val="hybridMultilevel"/>
    <w:tmpl w:val="F75AFB5C"/>
    <w:lvl w:ilvl="0" w:tplc="FFFFFFF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D1B"/>
    <w:rsid w:val="00132D1B"/>
    <w:rsid w:val="00215483"/>
    <w:rsid w:val="002C6B74"/>
    <w:rsid w:val="002D1FAA"/>
    <w:rsid w:val="00472586"/>
    <w:rsid w:val="008326F8"/>
    <w:rsid w:val="00922118"/>
    <w:rsid w:val="00E53C04"/>
    <w:rsid w:val="00FB29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32D1B"/>
    <w:pPr>
      <w:tabs>
        <w:tab w:val="center" w:pos="4252"/>
        <w:tab w:val="right" w:pos="8504"/>
      </w:tabs>
      <w:spacing w:after="0" w:line="240" w:lineRule="auto"/>
    </w:pPr>
    <w:rPr>
      <w:kern w:val="2"/>
      <w:sz w:val="24"/>
      <w:szCs w:val="24"/>
      <w:lang w:val="es-AR"/>
      <w14:ligatures w14:val="standardContextual"/>
    </w:rPr>
  </w:style>
  <w:style w:type="character" w:customStyle="1" w:styleId="PiedepginaCar">
    <w:name w:val="Pie de página Car"/>
    <w:basedOn w:val="Fuentedeprrafopredeter"/>
    <w:link w:val="Piedepgina"/>
    <w:uiPriority w:val="99"/>
    <w:rsid w:val="00132D1B"/>
    <w:rPr>
      <w:kern w:val="2"/>
      <w:sz w:val="24"/>
      <w:szCs w:val="24"/>
      <w:lang w:val="es-AR"/>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132D1B"/>
    <w:pPr>
      <w:tabs>
        <w:tab w:val="center" w:pos="4252"/>
        <w:tab w:val="right" w:pos="8504"/>
      </w:tabs>
      <w:spacing w:after="0" w:line="240" w:lineRule="auto"/>
    </w:pPr>
    <w:rPr>
      <w:kern w:val="2"/>
      <w:sz w:val="24"/>
      <w:szCs w:val="24"/>
      <w:lang w:val="es-AR"/>
      <w14:ligatures w14:val="standardContextual"/>
    </w:rPr>
  </w:style>
  <w:style w:type="character" w:customStyle="1" w:styleId="PiedepginaCar">
    <w:name w:val="Pie de página Car"/>
    <w:basedOn w:val="Fuentedeprrafopredeter"/>
    <w:link w:val="Piedepgina"/>
    <w:uiPriority w:val="99"/>
    <w:rsid w:val="00132D1B"/>
    <w:rPr>
      <w:kern w:val="2"/>
      <w:sz w:val="24"/>
      <w:szCs w:val="24"/>
      <w:lang w:val="es-A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1</Pages>
  <Words>2769</Words>
  <Characters>15235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Ivana</cp:lastModifiedBy>
  <cp:revision>3</cp:revision>
  <dcterms:created xsi:type="dcterms:W3CDTF">2025-09-15T18:16:00Z</dcterms:created>
  <dcterms:modified xsi:type="dcterms:W3CDTF">2025-09-16T18:30:00Z</dcterms:modified>
</cp:coreProperties>
</file>