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BA1" w:rsidRDefault="00EE4BA1" w:rsidP="00035B02">
      <w:pPr>
        <w:spacing w:line="480" w:lineRule="auto"/>
        <w:jc w:val="both"/>
        <w:rPr>
          <w:rFonts w:ascii="Calibri" w:hAnsi="Calibri" w:cs="Calibri"/>
          <w:b/>
          <w:i/>
          <w:color w:val="000000"/>
          <w:shd w:val="clear" w:color="auto" w:fill="FFFFFF"/>
        </w:rPr>
      </w:pPr>
      <w:r w:rsidRPr="00035B02">
        <w:rPr>
          <w:rFonts w:ascii="Calibri" w:hAnsi="Calibri" w:cs="Calibri"/>
          <w:b/>
          <w:color w:val="000000"/>
          <w:shd w:val="clear" w:color="auto" w:fill="FFFFFF"/>
        </w:rPr>
        <w:t>LA REALIDAD DE LOS FALLOS DE LA CSJN ANTE EL CUMPLIMIENTO O INCUMPLIMIENTO DE LA REGLA DE  MAYORÍAS CONCORDANTES EN SUS SENTENCIAS</w:t>
      </w:r>
      <w:r w:rsidRPr="00035B02">
        <w:rPr>
          <w:rFonts w:ascii="Calibri" w:hAnsi="Calibri" w:cs="Calibri"/>
          <w:b/>
          <w:i/>
          <w:color w:val="000000"/>
          <w:shd w:val="clear" w:color="auto" w:fill="FFFFFF"/>
        </w:rPr>
        <w:t xml:space="preserve">. </w:t>
      </w:r>
    </w:p>
    <w:p w:rsidR="00035B02" w:rsidRPr="00035B02" w:rsidRDefault="00035B02" w:rsidP="00035B02">
      <w:pPr>
        <w:spacing w:line="480" w:lineRule="auto"/>
        <w:jc w:val="both"/>
        <w:rPr>
          <w:rFonts w:ascii="Calibri" w:hAnsi="Calibri" w:cs="Calibri"/>
          <w:color w:val="000000"/>
          <w:shd w:val="clear" w:color="auto" w:fill="FFFFFF"/>
        </w:rPr>
      </w:pPr>
      <w:r>
        <w:rPr>
          <w:rFonts w:ascii="Calibri" w:hAnsi="Calibri" w:cs="Calibri"/>
          <w:b/>
          <w:i/>
          <w:color w:val="000000"/>
          <w:shd w:val="clear" w:color="auto" w:fill="FFFFFF"/>
        </w:rPr>
        <w:tab/>
      </w:r>
      <w:r>
        <w:rPr>
          <w:rFonts w:ascii="Calibri" w:hAnsi="Calibri" w:cs="Calibri"/>
          <w:b/>
          <w:i/>
          <w:color w:val="000000"/>
          <w:shd w:val="clear" w:color="auto" w:fill="FFFFFF"/>
        </w:rPr>
        <w:tab/>
      </w:r>
      <w:r>
        <w:rPr>
          <w:rFonts w:ascii="Calibri" w:hAnsi="Calibri" w:cs="Calibri"/>
          <w:b/>
          <w:i/>
          <w:color w:val="000000"/>
          <w:shd w:val="clear" w:color="auto" w:fill="FFFFFF"/>
        </w:rPr>
        <w:tab/>
      </w:r>
      <w:r>
        <w:rPr>
          <w:rFonts w:ascii="Calibri" w:hAnsi="Calibri" w:cs="Calibri"/>
          <w:b/>
          <w:i/>
          <w:color w:val="000000"/>
          <w:shd w:val="clear" w:color="auto" w:fill="FFFFFF"/>
        </w:rPr>
        <w:tab/>
      </w:r>
      <w:r>
        <w:rPr>
          <w:rFonts w:ascii="Calibri" w:hAnsi="Calibri" w:cs="Calibri"/>
          <w:b/>
          <w:i/>
          <w:color w:val="000000"/>
          <w:shd w:val="clear" w:color="auto" w:fill="FFFFFF"/>
        </w:rPr>
        <w:tab/>
      </w:r>
      <w:r>
        <w:rPr>
          <w:rFonts w:ascii="Calibri" w:hAnsi="Calibri" w:cs="Calibri"/>
          <w:b/>
          <w:i/>
          <w:color w:val="000000"/>
          <w:shd w:val="clear" w:color="auto" w:fill="FFFFFF"/>
        </w:rPr>
        <w:tab/>
      </w:r>
      <w:r>
        <w:rPr>
          <w:rFonts w:ascii="Calibri" w:hAnsi="Calibri" w:cs="Calibri"/>
          <w:b/>
          <w:i/>
          <w:color w:val="000000"/>
          <w:shd w:val="clear" w:color="auto" w:fill="FFFFFF"/>
        </w:rPr>
        <w:tab/>
      </w:r>
      <w:r>
        <w:rPr>
          <w:rFonts w:ascii="Calibri" w:hAnsi="Calibri" w:cs="Calibri"/>
          <w:b/>
          <w:i/>
          <w:color w:val="000000"/>
          <w:shd w:val="clear" w:color="auto" w:fill="FFFFFF"/>
        </w:rPr>
        <w:tab/>
      </w:r>
      <w:r w:rsidRPr="00035B02">
        <w:rPr>
          <w:rFonts w:ascii="Calibri" w:hAnsi="Calibri" w:cs="Calibri"/>
          <w:color w:val="000000"/>
          <w:shd w:val="clear" w:color="auto" w:fill="FFFFFF"/>
        </w:rPr>
        <w:t xml:space="preserve">Por </w:t>
      </w:r>
      <w:proofErr w:type="spellStart"/>
      <w:r w:rsidRPr="00035B02">
        <w:rPr>
          <w:rFonts w:ascii="Calibri" w:hAnsi="Calibri" w:cs="Calibri"/>
          <w:color w:val="000000"/>
          <w:shd w:val="clear" w:color="auto" w:fill="FFFFFF"/>
        </w:rPr>
        <w:t>Mgr</w:t>
      </w:r>
      <w:proofErr w:type="spellEnd"/>
      <w:r w:rsidRPr="00035B02">
        <w:rPr>
          <w:rFonts w:ascii="Calibri" w:hAnsi="Calibri" w:cs="Calibri"/>
          <w:color w:val="000000"/>
          <w:shd w:val="clear" w:color="auto" w:fill="FFFFFF"/>
        </w:rPr>
        <w:t>. Leonardo Bordenave</w:t>
      </w:r>
    </w:p>
    <w:p w:rsidR="00EE4BA1" w:rsidRPr="00035B02" w:rsidRDefault="00EE4BA1" w:rsidP="00035B02">
      <w:pPr>
        <w:spacing w:line="480" w:lineRule="auto"/>
        <w:jc w:val="both"/>
        <w:rPr>
          <w:rFonts w:ascii="Calibri" w:hAnsi="Calibri" w:cs="Calibri"/>
          <w:color w:val="000000"/>
          <w:shd w:val="clear" w:color="auto" w:fill="FFFFFF"/>
        </w:rPr>
      </w:pPr>
    </w:p>
    <w:p w:rsidR="009E2A0F" w:rsidRPr="00035B02" w:rsidRDefault="009E2A0F" w:rsidP="00035B02">
      <w:pPr>
        <w:spacing w:line="480" w:lineRule="auto"/>
        <w:jc w:val="both"/>
        <w:rPr>
          <w:rFonts w:ascii="Calibri" w:hAnsi="Calibri" w:cs="Calibri"/>
          <w:b/>
          <w:color w:val="000000"/>
          <w:shd w:val="clear" w:color="auto" w:fill="FFFFFF"/>
        </w:rPr>
      </w:pPr>
      <w:r w:rsidRPr="00035B02">
        <w:rPr>
          <w:rFonts w:ascii="Calibri" w:hAnsi="Calibri" w:cs="Calibri"/>
          <w:color w:val="000000"/>
          <w:shd w:val="clear" w:color="auto" w:fill="FFFFFF"/>
        </w:rPr>
        <w:tab/>
      </w:r>
      <w:r w:rsidRPr="00035B02">
        <w:rPr>
          <w:rFonts w:ascii="Calibri" w:hAnsi="Calibri" w:cs="Calibri"/>
          <w:color w:val="000000"/>
          <w:shd w:val="clear" w:color="auto" w:fill="FFFFFF"/>
        </w:rPr>
        <w:tab/>
      </w:r>
      <w:r w:rsidRPr="00035B02">
        <w:rPr>
          <w:rFonts w:ascii="Calibri" w:hAnsi="Calibri" w:cs="Calibri"/>
          <w:b/>
          <w:color w:val="000000"/>
          <w:shd w:val="clear" w:color="auto" w:fill="FFFFFF"/>
        </w:rPr>
        <w:t>I.- Introducción</w:t>
      </w:r>
    </w:p>
    <w:p w:rsidR="00B90A87" w:rsidRPr="00035B02" w:rsidRDefault="009E2A0F" w:rsidP="00035B02">
      <w:pPr>
        <w:spacing w:line="480" w:lineRule="auto"/>
        <w:ind w:firstLine="708"/>
        <w:jc w:val="both"/>
        <w:rPr>
          <w:rFonts w:ascii="Calibri" w:hAnsi="Calibri" w:cs="Calibri"/>
          <w:color w:val="000000"/>
          <w:shd w:val="clear" w:color="auto" w:fill="FFFFFF"/>
        </w:rPr>
      </w:pPr>
      <w:r w:rsidRPr="00035B02">
        <w:rPr>
          <w:rFonts w:ascii="Calibri" w:hAnsi="Calibri" w:cs="Calibri"/>
          <w:color w:val="000000"/>
          <w:shd w:val="clear" w:color="auto" w:fill="FFFFFF"/>
        </w:rPr>
        <w:t xml:space="preserve">A los fines de enseñar la diferencia entre Derecho y Moral, el reconocido </w:t>
      </w:r>
      <w:proofErr w:type="spellStart"/>
      <w:r w:rsidRPr="00035B02">
        <w:rPr>
          <w:rFonts w:ascii="Calibri" w:hAnsi="Calibri" w:cs="Calibri"/>
          <w:color w:val="000000"/>
          <w:shd w:val="clear" w:color="auto" w:fill="FFFFFF"/>
        </w:rPr>
        <w:t>ius</w:t>
      </w:r>
      <w:proofErr w:type="spellEnd"/>
      <w:r w:rsidRPr="00035B02">
        <w:rPr>
          <w:rFonts w:ascii="Calibri" w:hAnsi="Calibri" w:cs="Calibri"/>
          <w:color w:val="000000"/>
          <w:shd w:val="clear" w:color="auto" w:fill="FFFFFF"/>
        </w:rPr>
        <w:t xml:space="preserve"> filósofo argentino, Carlos Salvador </w:t>
      </w:r>
      <w:r w:rsidR="00695993" w:rsidRPr="00035B02">
        <w:rPr>
          <w:rFonts w:ascii="Calibri" w:hAnsi="Calibri" w:cs="Calibri"/>
          <w:color w:val="000000"/>
          <w:shd w:val="clear" w:color="auto" w:fill="FFFFFF"/>
        </w:rPr>
        <w:t>NINO</w:t>
      </w:r>
      <w:r w:rsidR="00A94363" w:rsidRPr="00035B02">
        <w:rPr>
          <w:rStyle w:val="Refdenotaalpie"/>
          <w:rFonts w:ascii="Calibri" w:hAnsi="Calibri" w:cs="Calibri"/>
          <w:color w:val="000000"/>
          <w:shd w:val="clear" w:color="auto" w:fill="FFFFFF"/>
        </w:rPr>
        <w:footnoteReference w:id="1"/>
      </w:r>
      <w:r w:rsidRPr="00035B02">
        <w:rPr>
          <w:rFonts w:ascii="Calibri" w:hAnsi="Calibri" w:cs="Calibri"/>
          <w:color w:val="000000"/>
          <w:shd w:val="clear" w:color="auto" w:fill="FFFFFF"/>
        </w:rPr>
        <w:t xml:space="preserve"> </w:t>
      </w:r>
      <w:r w:rsidR="00DA3741" w:rsidRPr="00035B02">
        <w:rPr>
          <w:rFonts w:ascii="Calibri" w:hAnsi="Calibri" w:cs="Calibri"/>
          <w:color w:val="000000"/>
          <w:shd w:val="clear" w:color="auto" w:fill="FFFFFF"/>
        </w:rPr>
        <w:t xml:space="preserve"> </w:t>
      </w:r>
      <w:r w:rsidR="008050BB">
        <w:rPr>
          <w:rFonts w:ascii="Calibri" w:hAnsi="Calibri" w:cs="Calibri"/>
          <w:color w:val="000000"/>
          <w:shd w:val="clear" w:color="auto" w:fill="FFFFFF"/>
        </w:rPr>
        <w:t>supo elaborar</w:t>
      </w:r>
      <w:r w:rsidR="00DA3741" w:rsidRPr="00035B02">
        <w:rPr>
          <w:rFonts w:ascii="Calibri" w:hAnsi="Calibri" w:cs="Calibri"/>
          <w:color w:val="000000"/>
          <w:shd w:val="clear" w:color="auto" w:fill="FFFFFF"/>
        </w:rPr>
        <w:t xml:space="preserve"> una especie de dramatización del juic</w:t>
      </w:r>
      <w:r w:rsidRPr="00035B02">
        <w:rPr>
          <w:rFonts w:ascii="Calibri" w:hAnsi="Calibri" w:cs="Calibri"/>
          <w:color w:val="000000"/>
          <w:shd w:val="clear" w:color="auto" w:fill="FFFFFF"/>
        </w:rPr>
        <w:t xml:space="preserve">io que se llevara adelante en </w:t>
      </w:r>
      <w:proofErr w:type="spellStart"/>
      <w:r w:rsidRPr="00035B02">
        <w:rPr>
          <w:rFonts w:ascii="Calibri" w:hAnsi="Calibri" w:cs="Calibri"/>
          <w:color w:val="000000"/>
          <w:shd w:val="clear" w:color="auto" w:fill="FFFFFF"/>
        </w:rPr>
        <w:t>Nü</w:t>
      </w:r>
      <w:r w:rsidR="00DA3741" w:rsidRPr="00035B02">
        <w:rPr>
          <w:rFonts w:ascii="Calibri" w:hAnsi="Calibri" w:cs="Calibri"/>
          <w:color w:val="000000"/>
          <w:shd w:val="clear" w:color="auto" w:fill="FFFFFF"/>
        </w:rPr>
        <w:t>remberg</w:t>
      </w:r>
      <w:proofErr w:type="spellEnd"/>
      <w:r w:rsidR="00DA3741" w:rsidRPr="00035B02">
        <w:rPr>
          <w:rFonts w:ascii="Calibri" w:hAnsi="Calibri" w:cs="Calibri"/>
          <w:color w:val="000000"/>
          <w:shd w:val="clear" w:color="auto" w:fill="FFFFFF"/>
        </w:rPr>
        <w:t xml:space="preserve"> en contra de los </w:t>
      </w:r>
      <w:r w:rsidR="00B90A87" w:rsidRPr="00035B02">
        <w:rPr>
          <w:rFonts w:ascii="Calibri" w:hAnsi="Calibri" w:cs="Calibri"/>
          <w:color w:val="000000"/>
          <w:shd w:val="clear" w:color="auto" w:fill="FFFFFF"/>
        </w:rPr>
        <w:t>J</w:t>
      </w:r>
      <w:r w:rsidR="00DA3741" w:rsidRPr="00035B02">
        <w:rPr>
          <w:rFonts w:ascii="Calibri" w:hAnsi="Calibri" w:cs="Calibri"/>
          <w:color w:val="000000"/>
          <w:shd w:val="clear" w:color="auto" w:fill="FFFFFF"/>
        </w:rPr>
        <w:t xml:space="preserve">erarcas Nazis, </w:t>
      </w:r>
      <w:r w:rsidR="00B90A87" w:rsidRPr="00035B02">
        <w:rPr>
          <w:rFonts w:ascii="Calibri" w:hAnsi="Calibri" w:cs="Calibri"/>
          <w:color w:val="000000"/>
          <w:shd w:val="clear" w:color="auto" w:fill="FFFFFF"/>
        </w:rPr>
        <w:t xml:space="preserve">por los crímenes cometidos durante la segunda guerra mundial. </w:t>
      </w:r>
    </w:p>
    <w:p w:rsidR="00FA1159" w:rsidRPr="00035B02" w:rsidRDefault="00B90A87" w:rsidP="00035B02">
      <w:pPr>
        <w:spacing w:line="480" w:lineRule="auto"/>
        <w:ind w:firstLine="708"/>
        <w:jc w:val="both"/>
        <w:rPr>
          <w:rFonts w:ascii="Calibri" w:hAnsi="Calibri" w:cs="Calibri"/>
          <w:color w:val="000000"/>
          <w:shd w:val="clear" w:color="auto" w:fill="FFFFFF"/>
        </w:rPr>
      </w:pPr>
      <w:r w:rsidRPr="00035B02">
        <w:rPr>
          <w:rFonts w:ascii="Calibri" w:hAnsi="Calibri" w:cs="Calibri"/>
          <w:color w:val="000000"/>
          <w:shd w:val="clear" w:color="auto" w:fill="FFFFFF"/>
        </w:rPr>
        <w:t xml:space="preserve">En dicha </w:t>
      </w:r>
      <w:r w:rsidR="009E2A0F" w:rsidRPr="00035B02">
        <w:rPr>
          <w:rFonts w:ascii="Calibri" w:hAnsi="Calibri" w:cs="Calibri"/>
          <w:color w:val="000000"/>
          <w:shd w:val="clear" w:color="auto" w:fill="FFFFFF"/>
        </w:rPr>
        <w:t xml:space="preserve"> dramatización </w:t>
      </w:r>
      <w:r w:rsidRPr="00035B02">
        <w:rPr>
          <w:rFonts w:ascii="Calibri" w:hAnsi="Calibri" w:cs="Calibri"/>
          <w:color w:val="000000"/>
          <w:shd w:val="clear" w:color="auto" w:fill="FFFFFF"/>
        </w:rPr>
        <w:t xml:space="preserve">de Juicio, </w:t>
      </w:r>
      <w:r w:rsidR="00FA1159" w:rsidRPr="00035B02">
        <w:rPr>
          <w:rFonts w:ascii="Calibri" w:hAnsi="Calibri" w:cs="Calibri"/>
          <w:color w:val="000000"/>
          <w:shd w:val="clear" w:color="auto" w:fill="FFFFFF"/>
        </w:rPr>
        <w:t xml:space="preserve">los defensores de los acusados  </w:t>
      </w:r>
      <w:r w:rsidRPr="00035B02">
        <w:rPr>
          <w:rFonts w:ascii="Calibri" w:hAnsi="Calibri" w:cs="Calibri"/>
          <w:color w:val="000000"/>
          <w:shd w:val="clear" w:color="auto" w:fill="FFFFFF"/>
        </w:rPr>
        <w:t>no negaron haber cometido</w:t>
      </w:r>
      <w:r w:rsidR="00FA1159" w:rsidRPr="00035B02">
        <w:rPr>
          <w:rFonts w:ascii="Calibri" w:hAnsi="Calibri" w:cs="Calibri"/>
          <w:color w:val="000000"/>
          <w:shd w:val="clear" w:color="auto" w:fill="FFFFFF"/>
        </w:rPr>
        <w:t xml:space="preserve"> las atrocidades </w:t>
      </w:r>
      <w:r w:rsidR="008050BB">
        <w:rPr>
          <w:rFonts w:ascii="Calibri" w:hAnsi="Calibri" w:cs="Calibri"/>
          <w:color w:val="000000"/>
          <w:shd w:val="clear" w:color="auto" w:fill="FFFFFF"/>
        </w:rPr>
        <w:t>por las que se los acusaba, sino que i</w:t>
      </w:r>
      <w:r w:rsidRPr="00035B02">
        <w:rPr>
          <w:rFonts w:ascii="Calibri" w:hAnsi="Calibri" w:cs="Calibri"/>
          <w:color w:val="000000"/>
          <w:shd w:val="clear" w:color="auto" w:fill="FFFFFF"/>
        </w:rPr>
        <w:t>mpugnaron</w:t>
      </w:r>
      <w:r w:rsidR="00FA1159" w:rsidRPr="00035B02">
        <w:rPr>
          <w:rFonts w:ascii="Calibri" w:hAnsi="Calibri" w:cs="Calibri"/>
          <w:color w:val="000000"/>
          <w:shd w:val="clear" w:color="auto" w:fill="FFFFFF"/>
        </w:rPr>
        <w:t xml:space="preserve"> la calificación jurídica que los haría punibles. Argumenta</w:t>
      </w:r>
      <w:r w:rsidRPr="00035B02">
        <w:rPr>
          <w:rFonts w:ascii="Calibri" w:hAnsi="Calibri" w:cs="Calibri"/>
          <w:color w:val="000000"/>
          <w:shd w:val="clear" w:color="auto" w:fill="FFFFFF"/>
        </w:rPr>
        <w:t>ron</w:t>
      </w:r>
      <w:r w:rsidR="00FA1159" w:rsidRPr="00035B02">
        <w:rPr>
          <w:rFonts w:ascii="Calibri" w:hAnsi="Calibri" w:cs="Calibri"/>
          <w:color w:val="000000"/>
          <w:shd w:val="clear" w:color="auto" w:fill="FFFFFF"/>
        </w:rPr>
        <w:t xml:space="preserve"> que los actos que cometieron eran legítimos </w:t>
      </w:r>
      <w:r w:rsidR="00913BEC">
        <w:rPr>
          <w:rFonts w:ascii="Calibri" w:hAnsi="Calibri" w:cs="Calibri"/>
          <w:color w:val="000000"/>
          <w:shd w:val="clear" w:color="auto" w:fill="FFFFFF"/>
        </w:rPr>
        <w:t xml:space="preserve">dado  que estaban </w:t>
      </w:r>
      <w:r w:rsidR="009E2A0F" w:rsidRPr="00035B02">
        <w:rPr>
          <w:rFonts w:ascii="Calibri" w:hAnsi="Calibri" w:cs="Calibri"/>
          <w:color w:val="000000"/>
          <w:shd w:val="clear" w:color="auto" w:fill="FFFFFF"/>
        </w:rPr>
        <w:t>legitimados por</w:t>
      </w:r>
      <w:r w:rsidRPr="00035B02">
        <w:rPr>
          <w:rFonts w:ascii="Calibri" w:hAnsi="Calibri" w:cs="Calibri"/>
          <w:color w:val="000000"/>
          <w:shd w:val="clear" w:color="auto" w:fill="FFFFFF"/>
        </w:rPr>
        <w:t xml:space="preserve"> </w:t>
      </w:r>
      <w:r w:rsidR="00FA1159" w:rsidRPr="00035B02">
        <w:rPr>
          <w:rFonts w:ascii="Calibri" w:hAnsi="Calibri" w:cs="Calibri"/>
          <w:color w:val="000000"/>
          <w:shd w:val="clear" w:color="auto" w:fill="FFFFFF"/>
        </w:rPr>
        <w:t xml:space="preserve"> el orden jurídico existente en ese lugar y tiempo. </w:t>
      </w:r>
      <w:r w:rsidR="009E2A0F" w:rsidRPr="00035B02">
        <w:rPr>
          <w:rFonts w:ascii="Calibri" w:hAnsi="Calibri" w:cs="Calibri"/>
          <w:color w:val="000000"/>
          <w:shd w:val="clear" w:color="auto" w:fill="FFFFFF"/>
        </w:rPr>
        <w:t>De hecho, afirma</w:t>
      </w:r>
      <w:r w:rsidR="008050BB">
        <w:rPr>
          <w:rFonts w:ascii="Calibri" w:hAnsi="Calibri" w:cs="Calibri"/>
          <w:color w:val="000000"/>
          <w:shd w:val="clear" w:color="auto" w:fill="FFFFFF"/>
        </w:rPr>
        <w:t>ron</w:t>
      </w:r>
      <w:r w:rsidR="009E2A0F" w:rsidRPr="00035B02">
        <w:rPr>
          <w:rFonts w:ascii="Calibri" w:hAnsi="Calibri" w:cs="Calibri"/>
          <w:color w:val="000000"/>
          <w:shd w:val="clear" w:color="auto" w:fill="FFFFFF"/>
        </w:rPr>
        <w:t xml:space="preserve"> q</w:t>
      </w:r>
      <w:r w:rsidR="00FA1159" w:rsidRPr="00035B02">
        <w:rPr>
          <w:rFonts w:ascii="Calibri" w:hAnsi="Calibri" w:cs="Calibri"/>
          <w:color w:val="000000"/>
          <w:shd w:val="clear" w:color="auto" w:fill="FFFFFF"/>
        </w:rPr>
        <w:t>ue ellos actuaban, en muchas ocasiones, obligados, según lo e</w:t>
      </w:r>
      <w:r w:rsidRPr="00035B02">
        <w:rPr>
          <w:rFonts w:ascii="Calibri" w:hAnsi="Calibri" w:cs="Calibri"/>
          <w:color w:val="000000"/>
          <w:shd w:val="clear" w:color="auto" w:fill="FFFFFF"/>
        </w:rPr>
        <w:t xml:space="preserve">stablecido </w:t>
      </w:r>
      <w:r w:rsidR="008050BB">
        <w:rPr>
          <w:rFonts w:ascii="Calibri" w:hAnsi="Calibri" w:cs="Calibri"/>
          <w:color w:val="000000"/>
          <w:shd w:val="clear" w:color="auto" w:fill="FFFFFF"/>
        </w:rPr>
        <w:t xml:space="preserve">el </w:t>
      </w:r>
      <w:r w:rsidRPr="00035B02">
        <w:rPr>
          <w:rFonts w:ascii="Calibri" w:hAnsi="Calibri" w:cs="Calibri"/>
          <w:color w:val="000000"/>
          <w:shd w:val="clear" w:color="auto" w:fill="FFFFFF"/>
        </w:rPr>
        <w:t xml:space="preserve">orden jurídico. </w:t>
      </w:r>
      <w:r w:rsidR="00FA1159" w:rsidRPr="00035B02">
        <w:rPr>
          <w:rFonts w:ascii="Calibri" w:hAnsi="Calibri" w:cs="Calibri"/>
          <w:color w:val="000000"/>
          <w:shd w:val="clear" w:color="auto" w:fill="FFFFFF"/>
        </w:rPr>
        <w:t xml:space="preserve">Finalmente, </w:t>
      </w:r>
      <w:r w:rsidR="008050BB">
        <w:rPr>
          <w:rFonts w:ascii="Calibri" w:hAnsi="Calibri" w:cs="Calibri"/>
          <w:color w:val="000000"/>
          <w:shd w:val="clear" w:color="auto" w:fill="FFFFFF"/>
        </w:rPr>
        <w:t xml:space="preserve">argumentaron </w:t>
      </w:r>
      <w:r w:rsidR="00FA1159" w:rsidRPr="00035B02">
        <w:rPr>
          <w:rFonts w:ascii="Calibri" w:hAnsi="Calibri" w:cs="Calibri"/>
          <w:color w:val="000000"/>
          <w:shd w:val="clear" w:color="auto" w:fill="FFFFFF"/>
        </w:rPr>
        <w:t>que no podían ser condenados a una pena por un acto que no se encontraba prohibido por el derecho vigente –</w:t>
      </w:r>
      <w:proofErr w:type="spellStart"/>
      <w:r w:rsidR="00FA1159" w:rsidRPr="00035B02">
        <w:rPr>
          <w:rFonts w:ascii="Calibri" w:hAnsi="Calibri" w:cs="Calibri"/>
          <w:i/>
          <w:color w:val="000000"/>
          <w:shd w:val="clear" w:color="auto" w:fill="FFFFFF"/>
        </w:rPr>
        <w:t>nullum</w:t>
      </w:r>
      <w:proofErr w:type="spellEnd"/>
      <w:r w:rsidR="00FA1159" w:rsidRPr="00035B02">
        <w:rPr>
          <w:rFonts w:ascii="Calibri" w:hAnsi="Calibri" w:cs="Calibri"/>
          <w:i/>
          <w:color w:val="000000"/>
          <w:shd w:val="clear" w:color="auto" w:fill="FFFFFF"/>
        </w:rPr>
        <w:t xml:space="preserve"> crimen sine </w:t>
      </w:r>
      <w:proofErr w:type="spellStart"/>
      <w:r w:rsidR="00FA1159" w:rsidRPr="00035B02">
        <w:rPr>
          <w:rFonts w:ascii="Calibri" w:hAnsi="Calibri" w:cs="Calibri"/>
          <w:i/>
          <w:color w:val="000000"/>
          <w:shd w:val="clear" w:color="auto" w:fill="FFFFFF"/>
        </w:rPr>
        <w:t>lege</w:t>
      </w:r>
      <w:proofErr w:type="spellEnd"/>
      <w:r w:rsidR="00FA1159" w:rsidRPr="00035B02">
        <w:rPr>
          <w:rFonts w:ascii="Calibri" w:hAnsi="Calibri" w:cs="Calibri"/>
          <w:i/>
          <w:color w:val="000000"/>
          <w:shd w:val="clear" w:color="auto" w:fill="FFFFFF"/>
        </w:rPr>
        <w:t xml:space="preserve"> </w:t>
      </w:r>
      <w:proofErr w:type="spellStart"/>
      <w:r w:rsidR="00FA1159" w:rsidRPr="00035B02">
        <w:rPr>
          <w:rFonts w:ascii="Calibri" w:hAnsi="Calibri" w:cs="Calibri"/>
          <w:i/>
          <w:color w:val="000000"/>
          <w:shd w:val="clear" w:color="auto" w:fill="FFFFFF"/>
        </w:rPr>
        <w:t>praevia</w:t>
      </w:r>
      <w:proofErr w:type="spellEnd"/>
      <w:r w:rsidR="00FA1159" w:rsidRPr="00035B02">
        <w:rPr>
          <w:rFonts w:ascii="Calibri" w:hAnsi="Calibri" w:cs="Calibri"/>
          <w:color w:val="000000"/>
          <w:shd w:val="clear" w:color="auto" w:fill="FFFFFF"/>
        </w:rPr>
        <w:t xml:space="preserve">-.  </w:t>
      </w:r>
    </w:p>
    <w:p w:rsidR="00B90A87" w:rsidRPr="00035B02" w:rsidRDefault="00B90A87" w:rsidP="00035B02">
      <w:pPr>
        <w:spacing w:line="480" w:lineRule="auto"/>
        <w:ind w:firstLine="708"/>
        <w:jc w:val="both"/>
        <w:rPr>
          <w:rFonts w:ascii="Calibri" w:hAnsi="Calibri" w:cs="Calibri"/>
          <w:color w:val="000000"/>
          <w:shd w:val="clear" w:color="auto" w:fill="FFFFFF"/>
        </w:rPr>
      </w:pPr>
      <w:r w:rsidRPr="00035B02">
        <w:rPr>
          <w:rFonts w:ascii="Calibri" w:hAnsi="Calibri" w:cs="Calibri"/>
          <w:color w:val="000000"/>
          <w:shd w:val="clear" w:color="auto" w:fill="FFFFFF"/>
        </w:rPr>
        <w:t xml:space="preserve">Oídas las defensas, los tres Jueces encargados de resolver emitieron sus respectivos votos. </w:t>
      </w:r>
    </w:p>
    <w:p w:rsidR="00FA1159" w:rsidRPr="00035B02" w:rsidRDefault="00B90A87" w:rsidP="008050BB">
      <w:pPr>
        <w:spacing w:line="480" w:lineRule="auto"/>
        <w:ind w:firstLine="708"/>
        <w:jc w:val="both"/>
        <w:rPr>
          <w:rFonts w:ascii="Calibri" w:hAnsi="Calibri" w:cs="Calibri"/>
          <w:color w:val="000000"/>
          <w:shd w:val="clear" w:color="auto" w:fill="FFFFFF"/>
        </w:rPr>
      </w:pPr>
      <w:r w:rsidRPr="00035B02">
        <w:rPr>
          <w:rFonts w:ascii="Calibri" w:hAnsi="Calibri" w:cs="Calibri"/>
          <w:b/>
          <w:color w:val="000000"/>
          <w:shd w:val="clear" w:color="auto" w:fill="FFFFFF"/>
        </w:rPr>
        <w:t>EL JUEZ SEMPRONIO</w:t>
      </w:r>
      <w:r w:rsidR="00695993" w:rsidRPr="00035B02">
        <w:rPr>
          <w:rFonts w:ascii="Calibri" w:hAnsi="Calibri" w:cs="Calibri"/>
          <w:color w:val="000000"/>
          <w:shd w:val="clear" w:color="auto" w:fill="FFFFFF"/>
        </w:rPr>
        <w:t xml:space="preserve">: </w:t>
      </w:r>
      <w:r w:rsidR="00FA1159" w:rsidRPr="00035B02">
        <w:rPr>
          <w:rFonts w:ascii="Calibri" w:hAnsi="Calibri" w:cs="Calibri"/>
          <w:color w:val="000000"/>
          <w:shd w:val="clear" w:color="auto" w:fill="FFFFFF"/>
        </w:rPr>
        <w:t>Dicta sentencia disponiendo la condena de los acusados. Argumenta a tal fin que se debe dejar de lado la concepción del derecho que encierra la tesis de la defensa</w:t>
      </w:r>
      <w:r w:rsidR="009E2A0F" w:rsidRPr="00035B02">
        <w:rPr>
          <w:rFonts w:ascii="Calibri" w:hAnsi="Calibri" w:cs="Calibri"/>
          <w:color w:val="000000"/>
          <w:shd w:val="clear" w:color="auto" w:fill="FFFFFF"/>
        </w:rPr>
        <w:t>.</w:t>
      </w:r>
      <w:r w:rsidR="008050BB">
        <w:rPr>
          <w:rFonts w:ascii="Calibri" w:hAnsi="Calibri" w:cs="Calibri"/>
          <w:color w:val="000000"/>
          <w:shd w:val="clear" w:color="auto" w:fill="FFFFFF"/>
        </w:rPr>
        <w:t xml:space="preserve"> Que </w:t>
      </w:r>
      <w:r w:rsidR="00FA1159" w:rsidRPr="00035B02">
        <w:rPr>
          <w:rFonts w:ascii="Calibri" w:hAnsi="Calibri" w:cs="Calibri"/>
          <w:color w:val="000000"/>
          <w:shd w:val="clear" w:color="auto" w:fill="FFFFFF"/>
        </w:rPr>
        <w:t xml:space="preserve">el lema de </w:t>
      </w:r>
      <w:r w:rsidR="009E2A0F" w:rsidRPr="00035B02">
        <w:rPr>
          <w:rFonts w:ascii="Calibri" w:hAnsi="Calibri" w:cs="Calibri"/>
          <w:color w:val="000000"/>
          <w:shd w:val="clear" w:color="auto" w:fill="FFFFFF"/>
        </w:rPr>
        <w:t>que</w:t>
      </w:r>
      <w:r w:rsidR="00F26158">
        <w:rPr>
          <w:rFonts w:ascii="Calibri" w:hAnsi="Calibri" w:cs="Calibri"/>
          <w:color w:val="000000"/>
          <w:shd w:val="clear" w:color="auto" w:fill="FFFFFF"/>
        </w:rPr>
        <w:t xml:space="preserve"> “</w:t>
      </w:r>
      <w:r w:rsidR="00FA1159" w:rsidRPr="00035B02">
        <w:rPr>
          <w:rFonts w:ascii="Calibri" w:hAnsi="Calibri" w:cs="Calibri"/>
          <w:color w:val="000000"/>
          <w:shd w:val="clear" w:color="auto" w:fill="FFFFFF"/>
        </w:rPr>
        <w:t xml:space="preserve">la ley es </w:t>
      </w:r>
      <w:r w:rsidR="008050BB">
        <w:rPr>
          <w:rFonts w:ascii="Calibri" w:hAnsi="Calibri" w:cs="Calibri"/>
          <w:color w:val="000000"/>
          <w:shd w:val="clear" w:color="auto" w:fill="FFFFFF"/>
        </w:rPr>
        <w:t xml:space="preserve">la </w:t>
      </w:r>
      <w:r w:rsidR="00FA1159" w:rsidRPr="00035B02">
        <w:rPr>
          <w:rFonts w:ascii="Calibri" w:hAnsi="Calibri" w:cs="Calibri"/>
          <w:color w:val="000000"/>
          <w:shd w:val="clear" w:color="auto" w:fill="FFFFFF"/>
        </w:rPr>
        <w:t>ley</w:t>
      </w:r>
      <w:r w:rsidR="008050BB">
        <w:rPr>
          <w:rFonts w:ascii="Calibri" w:hAnsi="Calibri" w:cs="Calibri"/>
          <w:color w:val="000000"/>
          <w:shd w:val="clear" w:color="auto" w:fill="FFFFFF"/>
        </w:rPr>
        <w:t>”</w:t>
      </w:r>
      <w:r w:rsidR="00FA1159" w:rsidRPr="00035B02">
        <w:rPr>
          <w:rFonts w:ascii="Calibri" w:hAnsi="Calibri" w:cs="Calibri"/>
          <w:color w:val="000000"/>
          <w:shd w:val="clear" w:color="auto" w:fill="FFFFFF"/>
        </w:rPr>
        <w:t xml:space="preserve"> no es </w:t>
      </w:r>
      <w:r w:rsidR="008050BB">
        <w:rPr>
          <w:rFonts w:ascii="Calibri" w:hAnsi="Calibri" w:cs="Calibri"/>
          <w:color w:val="000000"/>
          <w:shd w:val="clear" w:color="auto" w:fill="FFFFFF"/>
        </w:rPr>
        <w:t xml:space="preserve"> admisible ni </w:t>
      </w:r>
      <w:r w:rsidR="00FA1159" w:rsidRPr="00035B02">
        <w:rPr>
          <w:rFonts w:ascii="Calibri" w:hAnsi="Calibri" w:cs="Calibri"/>
          <w:color w:val="000000"/>
          <w:shd w:val="clear" w:color="auto" w:fill="FFFFFF"/>
        </w:rPr>
        <w:t xml:space="preserve">aplicable en todos los casos y que siempre existen valores morales universales que establecen criterios de justicia y derechos fundamentales </w:t>
      </w:r>
      <w:r w:rsidRPr="00035B02">
        <w:rPr>
          <w:rFonts w:ascii="Calibri" w:hAnsi="Calibri" w:cs="Calibri"/>
          <w:color w:val="000000"/>
          <w:shd w:val="clear" w:color="auto" w:fill="FFFFFF"/>
        </w:rPr>
        <w:t xml:space="preserve">que forman parte de </w:t>
      </w:r>
      <w:r w:rsidR="00FA1159" w:rsidRPr="00035B02">
        <w:rPr>
          <w:rFonts w:ascii="Calibri" w:hAnsi="Calibri" w:cs="Calibri"/>
          <w:color w:val="000000"/>
          <w:shd w:val="clear" w:color="auto" w:fill="FFFFFF"/>
        </w:rPr>
        <w:t>naturaleza humana</w:t>
      </w:r>
      <w:r w:rsidR="00FA1159" w:rsidRPr="00035B02">
        <w:rPr>
          <w:rFonts w:ascii="Calibri" w:hAnsi="Calibri" w:cs="Calibri"/>
        </w:rPr>
        <w:t xml:space="preserve">. </w:t>
      </w:r>
      <w:r w:rsidR="009E2A0F" w:rsidRPr="00035B02">
        <w:rPr>
          <w:rFonts w:ascii="Calibri" w:hAnsi="Calibri" w:cs="Calibri"/>
        </w:rPr>
        <w:t>Que e</w:t>
      </w:r>
      <w:r w:rsidR="00FA1159" w:rsidRPr="00035B02">
        <w:rPr>
          <w:rFonts w:ascii="Calibri" w:hAnsi="Calibri" w:cs="Calibri"/>
        </w:rPr>
        <w:t xml:space="preserve">ste conjunto de principios </w:t>
      </w:r>
      <w:r w:rsidR="00FA1159" w:rsidRPr="00035B02">
        <w:rPr>
          <w:rFonts w:ascii="Calibri" w:hAnsi="Calibri" w:cs="Calibri"/>
        </w:rPr>
        <w:lastRenderedPageBreak/>
        <w:t>conforma el "derecho natural"</w:t>
      </w:r>
      <w:r w:rsidR="009E2A0F" w:rsidRPr="00035B02">
        <w:rPr>
          <w:rFonts w:ascii="Calibri" w:hAnsi="Calibri" w:cs="Calibri"/>
        </w:rPr>
        <w:t>, y que l</w:t>
      </w:r>
      <w:r w:rsidR="00FA1159" w:rsidRPr="00035B02">
        <w:rPr>
          <w:rFonts w:ascii="Calibri" w:hAnsi="Calibri" w:cs="Calibri"/>
        </w:rPr>
        <w:t xml:space="preserve">as normas dictadas por los hombres solo son derecho en la medida que se conforman al derecho natural y no lo contradicen. </w:t>
      </w:r>
      <w:r w:rsidR="009E2A0F" w:rsidRPr="00035B02">
        <w:rPr>
          <w:rFonts w:ascii="Calibri" w:hAnsi="Calibri" w:cs="Calibri"/>
        </w:rPr>
        <w:t>En razón de todo ello</w:t>
      </w:r>
      <w:r w:rsidR="00FA1159" w:rsidRPr="00035B02">
        <w:rPr>
          <w:rFonts w:ascii="Calibri" w:hAnsi="Calibri" w:cs="Calibri"/>
        </w:rPr>
        <w:t xml:space="preserve"> votó</w:t>
      </w:r>
      <w:r w:rsidRPr="00035B02">
        <w:rPr>
          <w:rFonts w:ascii="Calibri" w:hAnsi="Calibri" w:cs="Calibri"/>
        </w:rPr>
        <w:t xml:space="preserve"> en favor de la condena de</w:t>
      </w:r>
      <w:r w:rsidR="00FA1159" w:rsidRPr="00035B02">
        <w:rPr>
          <w:rFonts w:ascii="Calibri" w:hAnsi="Calibri" w:cs="Calibri"/>
        </w:rPr>
        <w:t xml:space="preserve"> los procesados.</w:t>
      </w:r>
    </w:p>
    <w:p w:rsidR="009E2A0F" w:rsidRPr="00035B02" w:rsidRDefault="00B90A87" w:rsidP="00035B02">
      <w:pPr>
        <w:spacing w:line="480" w:lineRule="auto"/>
        <w:ind w:firstLine="708"/>
        <w:jc w:val="both"/>
        <w:rPr>
          <w:rFonts w:ascii="Calibri" w:hAnsi="Calibri" w:cs="Calibri"/>
          <w:color w:val="000000"/>
          <w:shd w:val="clear" w:color="auto" w:fill="FFFFFF"/>
        </w:rPr>
      </w:pPr>
      <w:r w:rsidRPr="00035B02">
        <w:rPr>
          <w:rFonts w:ascii="Calibri" w:hAnsi="Calibri" w:cs="Calibri"/>
          <w:b/>
          <w:color w:val="000000"/>
          <w:shd w:val="clear" w:color="auto" w:fill="FFFFFF"/>
        </w:rPr>
        <w:t>EL JUEZ CAYO</w:t>
      </w:r>
      <w:r w:rsidR="00695993" w:rsidRPr="00035B02">
        <w:rPr>
          <w:rFonts w:ascii="Calibri" w:hAnsi="Calibri" w:cs="Calibri"/>
          <w:color w:val="000000"/>
          <w:shd w:val="clear" w:color="auto" w:fill="FFFFFF"/>
        </w:rPr>
        <w:t>:</w:t>
      </w:r>
      <w:r w:rsidRPr="00035B02">
        <w:rPr>
          <w:rFonts w:ascii="Calibri" w:hAnsi="Calibri" w:cs="Calibri"/>
          <w:color w:val="000000"/>
          <w:shd w:val="clear" w:color="auto" w:fill="FFFFFF"/>
        </w:rPr>
        <w:t xml:space="preserve"> A pesar de aclarar que estaba </w:t>
      </w:r>
      <w:r w:rsidR="00695993" w:rsidRPr="00035B02">
        <w:rPr>
          <w:rFonts w:ascii="Calibri" w:hAnsi="Calibri" w:cs="Calibri"/>
          <w:color w:val="000000"/>
          <w:shd w:val="clear" w:color="auto" w:fill="FFFFFF"/>
        </w:rPr>
        <w:t xml:space="preserve">de acuerdo con los valores morales que </w:t>
      </w:r>
      <w:r w:rsidR="009E2A0F" w:rsidRPr="00035B02">
        <w:rPr>
          <w:rFonts w:ascii="Calibri" w:hAnsi="Calibri" w:cs="Calibri"/>
          <w:color w:val="000000"/>
          <w:shd w:val="clear" w:color="auto" w:fill="FFFFFF"/>
        </w:rPr>
        <w:t>invoca</w:t>
      </w:r>
      <w:r w:rsidR="00695993" w:rsidRPr="00035B02">
        <w:rPr>
          <w:rFonts w:ascii="Calibri" w:hAnsi="Calibri" w:cs="Calibri"/>
          <w:color w:val="000000"/>
          <w:shd w:val="clear" w:color="auto" w:fill="FFFFFF"/>
        </w:rPr>
        <w:t xml:space="preserve"> el juez </w:t>
      </w:r>
      <w:r w:rsidR="00FA1159" w:rsidRPr="00035B02">
        <w:rPr>
          <w:rFonts w:ascii="Calibri" w:hAnsi="Calibri" w:cs="Calibri"/>
          <w:color w:val="000000"/>
          <w:shd w:val="clear" w:color="auto" w:fill="FFFFFF"/>
        </w:rPr>
        <w:t>Sempronio, decide absolve</w:t>
      </w:r>
      <w:r w:rsidRPr="00035B02">
        <w:rPr>
          <w:rFonts w:ascii="Calibri" w:hAnsi="Calibri" w:cs="Calibri"/>
          <w:color w:val="000000"/>
          <w:shd w:val="clear" w:color="auto" w:fill="FFFFFF"/>
        </w:rPr>
        <w:t xml:space="preserve">r a los acusados </w:t>
      </w:r>
      <w:r w:rsidR="00FA1159" w:rsidRPr="00035B02">
        <w:rPr>
          <w:rFonts w:ascii="Calibri" w:hAnsi="Calibri" w:cs="Calibri"/>
          <w:color w:val="000000"/>
          <w:shd w:val="clear" w:color="auto" w:fill="FFFFFF"/>
        </w:rPr>
        <w:t xml:space="preserve">habida cuenta que </w:t>
      </w:r>
      <w:r w:rsidR="009E2A0F" w:rsidRPr="00035B02">
        <w:rPr>
          <w:rFonts w:ascii="Calibri" w:hAnsi="Calibri" w:cs="Calibri"/>
          <w:color w:val="000000"/>
          <w:shd w:val="clear" w:color="auto" w:fill="FFFFFF"/>
        </w:rPr>
        <w:t>al momento de tomar una decisión judicial el juez no juzga respecto de los valores morales</w:t>
      </w:r>
      <w:r w:rsidR="00FA1159" w:rsidRPr="00035B02">
        <w:rPr>
          <w:rFonts w:ascii="Calibri" w:hAnsi="Calibri" w:cs="Calibri"/>
          <w:color w:val="000000"/>
          <w:shd w:val="clear" w:color="auto" w:fill="FFFFFF"/>
        </w:rPr>
        <w:t xml:space="preserve">. </w:t>
      </w:r>
      <w:r w:rsidR="009E2A0F" w:rsidRPr="00035B02">
        <w:rPr>
          <w:rFonts w:ascii="Calibri" w:hAnsi="Calibri" w:cs="Calibri"/>
          <w:color w:val="000000"/>
          <w:shd w:val="clear" w:color="auto" w:fill="FFFFFF"/>
        </w:rPr>
        <w:t xml:space="preserve">Que por el contrario, </w:t>
      </w:r>
      <w:r w:rsidR="00695993" w:rsidRPr="00035B02">
        <w:rPr>
          <w:rFonts w:ascii="Calibri" w:hAnsi="Calibri" w:cs="Calibri"/>
          <w:color w:val="000000"/>
          <w:shd w:val="clear" w:color="auto" w:fill="FFFFFF"/>
        </w:rPr>
        <w:t>los conflictos deben resolverse desde un punto de vista normativo</w:t>
      </w:r>
      <w:r w:rsidR="00FA1159" w:rsidRPr="00035B02">
        <w:rPr>
          <w:rFonts w:ascii="Calibri" w:hAnsi="Calibri" w:cs="Calibri"/>
          <w:color w:val="000000"/>
          <w:shd w:val="clear" w:color="auto" w:fill="FFFFFF"/>
        </w:rPr>
        <w:t xml:space="preserve"> y </w:t>
      </w:r>
      <w:r w:rsidR="00695993" w:rsidRPr="00035B02">
        <w:rPr>
          <w:rFonts w:ascii="Calibri" w:hAnsi="Calibri" w:cs="Calibri"/>
          <w:color w:val="000000"/>
          <w:shd w:val="clear" w:color="auto" w:fill="FFFFFF"/>
        </w:rPr>
        <w:t xml:space="preserve"> no </w:t>
      </w:r>
      <w:r w:rsidR="00FA1159" w:rsidRPr="00035B02">
        <w:rPr>
          <w:rFonts w:ascii="Calibri" w:hAnsi="Calibri" w:cs="Calibri"/>
          <w:color w:val="000000"/>
          <w:shd w:val="clear" w:color="auto" w:fill="FFFFFF"/>
        </w:rPr>
        <w:t xml:space="preserve">desde uno </w:t>
      </w:r>
      <w:r w:rsidR="00695993" w:rsidRPr="00035B02">
        <w:rPr>
          <w:rFonts w:ascii="Calibri" w:hAnsi="Calibri" w:cs="Calibri"/>
          <w:color w:val="000000"/>
          <w:shd w:val="clear" w:color="auto" w:fill="FFFFFF"/>
        </w:rPr>
        <w:t xml:space="preserve">moral. </w:t>
      </w:r>
    </w:p>
    <w:p w:rsidR="00FA1159" w:rsidRPr="00035B02" w:rsidRDefault="009E2A0F" w:rsidP="00035B02">
      <w:pPr>
        <w:spacing w:line="480" w:lineRule="auto"/>
        <w:ind w:firstLine="708"/>
        <w:jc w:val="both"/>
        <w:rPr>
          <w:rFonts w:ascii="Calibri" w:hAnsi="Calibri" w:cs="Calibri"/>
          <w:color w:val="000000"/>
          <w:shd w:val="clear" w:color="auto" w:fill="FFFFFF"/>
        </w:rPr>
      </w:pPr>
      <w:r w:rsidRPr="00035B02">
        <w:rPr>
          <w:rFonts w:ascii="Calibri" w:hAnsi="Calibri" w:cs="Calibri"/>
          <w:color w:val="000000"/>
          <w:shd w:val="clear" w:color="auto" w:fill="FFFFFF"/>
        </w:rPr>
        <w:t>Con sustento en ello, c</w:t>
      </w:r>
      <w:r w:rsidR="00FA1159" w:rsidRPr="00035B02">
        <w:rPr>
          <w:rFonts w:ascii="Calibri" w:hAnsi="Calibri" w:cs="Calibri"/>
          <w:color w:val="000000"/>
          <w:shd w:val="clear" w:color="auto" w:fill="FFFFFF"/>
        </w:rPr>
        <w:t>onsidera que s</w:t>
      </w:r>
      <w:r w:rsidR="00695993" w:rsidRPr="00035B02">
        <w:rPr>
          <w:rFonts w:ascii="Calibri" w:hAnsi="Calibri" w:cs="Calibri"/>
          <w:color w:val="000000"/>
          <w:shd w:val="clear" w:color="auto" w:fill="FFFFFF"/>
        </w:rPr>
        <w:t xml:space="preserve">e debe aceptar el ordenamiento jurídico de la </w:t>
      </w:r>
      <w:r w:rsidR="00FA1159" w:rsidRPr="00035B02">
        <w:rPr>
          <w:rFonts w:ascii="Calibri" w:hAnsi="Calibri" w:cs="Calibri"/>
          <w:color w:val="000000"/>
          <w:shd w:val="clear" w:color="auto" w:fill="FFFFFF"/>
        </w:rPr>
        <w:t xml:space="preserve">Alemania </w:t>
      </w:r>
      <w:r w:rsidR="00695993" w:rsidRPr="00035B02">
        <w:rPr>
          <w:rFonts w:ascii="Calibri" w:hAnsi="Calibri" w:cs="Calibri"/>
          <w:color w:val="000000"/>
          <w:shd w:val="clear" w:color="auto" w:fill="FFFFFF"/>
        </w:rPr>
        <w:t xml:space="preserve">nazi, y juzgarlo como </w:t>
      </w:r>
      <w:r w:rsidR="00FA1159" w:rsidRPr="00035B02">
        <w:rPr>
          <w:rFonts w:ascii="Calibri" w:hAnsi="Calibri" w:cs="Calibri"/>
          <w:color w:val="000000"/>
          <w:shd w:val="clear" w:color="auto" w:fill="FFFFFF"/>
        </w:rPr>
        <w:t xml:space="preserve">tal, aún </w:t>
      </w:r>
      <w:r w:rsidR="00695993" w:rsidRPr="00035B02">
        <w:rPr>
          <w:rFonts w:ascii="Calibri" w:hAnsi="Calibri" w:cs="Calibri"/>
          <w:color w:val="000000"/>
          <w:shd w:val="clear" w:color="auto" w:fill="FFFFFF"/>
        </w:rPr>
        <w:t xml:space="preserve">a pesar de que no </w:t>
      </w:r>
      <w:r w:rsidR="00FA1159" w:rsidRPr="00035B02">
        <w:rPr>
          <w:rFonts w:ascii="Calibri" w:hAnsi="Calibri" w:cs="Calibri"/>
          <w:color w:val="000000"/>
          <w:shd w:val="clear" w:color="auto" w:fill="FFFFFF"/>
        </w:rPr>
        <w:t>compartir lo allí regulado</w:t>
      </w:r>
      <w:r w:rsidRPr="00035B02">
        <w:rPr>
          <w:rFonts w:ascii="Calibri" w:hAnsi="Calibri" w:cs="Calibri"/>
          <w:color w:val="000000"/>
          <w:shd w:val="clear" w:color="auto" w:fill="FFFFFF"/>
        </w:rPr>
        <w:t>.-</w:t>
      </w:r>
    </w:p>
    <w:p w:rsidR="00FA1159" w:rsidRPr="00035B02" w:rsidRDefault="00B90A87" w:rsidP="00035B02">
      <w:pPr>
        <w:spacing w:line="480" w:lineRule="auto"/>
        <w:ind w:firstLine="708"/>
        <w:jc w:val="both"/>
        <w:rPr>
          <w:rFonts w:ascii="Calibri" w:hAnsi="Calibri" w:cs="Calibri"/>
          <w:color w:val="000000"/>
          <w:shd w:val="clear" w:color="auto" w:fill="FFFFFF"/>
        </w:rPr>
      </w:pPr>
      <w:r w:rsidRPr="00035B02">
        <w:rPr>
          <w:rFonts w:ascii="Calibri" w:hAnsi="Calibri" w:cs="Calibri"/>
          <w:color w:val="000000"/>
          <w:shd w:val="clear" w:color="auto" w:fill="FFFFFF"/>
        </w:rPr>
        <w:t>Finalmente,</w:t>
      </w:r>
      <w:r w:rsidRPr="00035B02">
        <w:rPr>
          <w:rFonts w:ascii="Calibri" w:hAnsi="Calibri" w:cs="Calibri"/>
          <w:b/>
          <w:color w:val="000000"/>
          <w:shd w:val="clear" w:color="auto" w:fill="FFFFFF"/>
        </w:rPr>
        <w:t xml:space="preserve"> EL JUEZ TICIO</w:t>
      </w:r>
      <w:r w:rsidR="00F26158">
        <w:rPr>
          <w:rFonts w:ascii="Calibri" w:hAnsi="Calibri" w:cs="Calibri"/>
          <w:b/>
          <w:color w:val="000000"/>
          <w:shd w:val="clear" w:color="auto" w:fill="FFFFFF"/>
        </w:rPr>
        <w:t xml:space="preserve"> </w:t>
      </w:r>
      <w:r w:rsidR="00F26158">
        <w:rPr>
          <w:rFonts w:ascii="Calibri" w:hAnsi="Calibri" w:cs="Calibri"/>
          <w:color w:val="000000"/>
          <w:shd w:val="clear" w:color="auto" w:fill="FFFFFF"/>
        </w:rPr>
        <w:t>vota</w:t>
      </w:r>
      <w:r w:rsidR="00FA1159" w:rsidRPr="00035B02">
        <w:rPr>
          <w:rFonts w:ascii="Calibri" w:hAnsi="Calibri" w:cs="Calibri"/>
          <w:color w:val="000000"/>
          <w:shd w:val="clear" w:color="auto" w:fill="FFFFFF"/>
        </w:rPr>
        <w:t xml:space="preserve"> a favor de la condena, mas no por los argumentos esgrimidos por el Juez Sempronio, sino por el hecho de encontrarnos ante violaciones tan radicales y groseras de los principios fundamentales que se justifica el apartamiento del principio que impone atenerse al derecho vigente. </w:t>
      </w:r>
    </w:p>
    <w:p w:rsidR="00FA1159" w:rsidRPr="00035B02" w:rsidRDefault="00FA1159" w:rsidP="00035B02">
      <w:pPr>
        <w:spacing w:line="480" w:lineRule="auto"/>
        <w:ind w:firstLine="708"/>
        <w:jc w:val="both"/>
        <w:rPr>
          <w:rFonts w:ascii="Calibri" w:hAnsi="Calibri" w:cs="Calibri"/>
          <w:color w:val="000000"/>
          <w:shd w:val="clear" w:color="auto" w:fill="FFFFFF"/>
        </w:rPr>
      </w:pPr>
      <w:r w:rsidRPr="00035B02">
        <w:rPr>
          <w:rFonts w:ascii="Calibri" w:hAnsi="Calibri" w:cs="Calibri"/>
          <w:color w:val="000000"/>
          <w:shd w:val="clear" w:color="auto" w:fill="FFFFFF"/>
        </w:rPr>
        <w:t xml:space="preserve">Contados los votos, nos encontramos con dos </w:t>
      </w:r>
      <w:r w:rsidR="009E2A0F" w:rsidRPr="00035B02">
        <w:rPr>
          <w:rFonts w:ascii="Calibri" w:hAnsi="Calibri" w:cs="Calibri"/>
          <w:color w:val="000000"/>
          <w:shd w:val="clear" w:color="auto" w:fill="FFFFFF"/>
        </w:rPr>
        <w:t>decisiones</w:t>
      </w:r>
      <w:r w:rsidRPr="00035B02">
        <w:rPr>
          <w:rFonts w:ascii="Calibri" w:hAnsi="Calibri" w:cs="Calibri"/>
          <w:color w:val="000000"/>
          <w:shd w:val="clear" w:color="auto" w:fill="FFFFFF"/>
        </w:rPr>
        <w:t xml:space="preserve"> de condena y una de absolución –mayoría de resultado</w:t>
      </w:r>
      <w:r w:rsidR="006975E9" w:rsidRPr="00035B02">
        <w:rPr>
          <w:rFonts w:ascii="Calibri" w:hAnsi="Calibri" w:cs="Calibri"/>
          <w:color w:val="000000"/>
          <w:shd w:val="clear" w:color="auto" w:fill="FFFFFF"/>
        </w:rPr>
        <w:t xml:space="preserve"> o resolutiva</w:t>
      </w:r>
      <w:r w:rsidRPr="00035B02">
        <w:rPr>
          <w:rFonts w:ascii="Calibri" w:hAnsi="Calibri" w:cs="Calibri"/>
          <w:color w:val="000000"/>
          <w:shd w:val="clear" w:color="auto" w:fill="FFFFFF"/>
        </w:rPr>
        <w:t xml:space="preserve">-, más se observa que </w:t>
      </w:r>
      <w:r w:rsidR="005C6293">
        <w:rPr>
          <w:rFonts w:ascii="Calibri" w:hAnsi="Calibri" w:cs="Calibri"/>
          <w:color w:val="000000"/>
          <w:shd w:val="clear" w:color="auto" w:fill="FFFFFF"/>
        </w:rPr>
        <w:t>e</w:t>
      </w:r>
      <w:r w:rsidRPr="00035B02">
        <w:rPr>
          <w:rFonts w:ascii="Calibri" w:hAnsi="Calibri" w:cs="Calibri"/>
          <w:color w:val="000000"/>
          <w:shd w:val="clear" w:color="auto" w:fill="FFFFFF"/>
        </w:rPr>
        <w:t xml:space="preserve">xisten tres argumentaciones diferentes. Luego, ninguna de </w:t>
      </w:r>
      <w:r w:rsidR="00B90A87" w:rsidRPr="00035B02">
        <w:rPr>
          <w:rFonts w:ascii="Calibri" w:hAnsi="Calibri" w:cs="Calibri"/>
          <w:color w:val="000000"/>
          <w:shd w:val="clear" w:color="auto" w:fill="FFFFFF"/>
        </w:rPr>
        <w:t xml:space="preserve">las tres hace mayoría. </w:t>
      </w:r>
      <w:r w:rsidRPr="00035B02">
        <w:rPr>
          <w:rFonts w:ascii="Calibri" w:hAnsi="Calibri" w:cs="Calibri"/>
          <w:color w:val="000000"/>
          <w:shd w:val="clear" w:color="auto" w:fill="FFFFFF"/>
        </w:rPr>
        <w:t xml:space="preserve">-No existe mayoría argumentativa-. </w:t>
      </w:r>
    </w:p>
    <w:p w:rsidR="006010F7" w:rsidRDefault="00EB58DB" w:rsidP="00035B02">
      <w:pPr>
        <w:spacing w:line="480" w:lineRule="auto"/>
        <w:ind w:firstLine="708"/>
        <w:jc w:val="both"/>
        <w:rPr>
          <w:rFonts w:ascii="Calibri" w:hAnsi="Calibri" w:cs="Calibri"/>
          <w:color w:val="000000"/>
          <w:shd w:val="clear" w:color="auto" w:fill="FFFFFF"/>
        </w:rPr>
      </w:pPr>
      <w:r w:rsidRPr="00035B02">
        <w:rPr>
          <w:rFonts w:ascii="Calibri" w:hAnsi="Calibri" w:cs="Calibri"/>
          <w:color w:val="000000"/>
          <w:shd w:val="clear" w:color="auto" w:fill="FFFFFF"/>
        </w:rPr>
        <w:t>U</w:t>
      </w:r>
      <w:r w:rsidR="00B90A87" w:rsidRPr="00035B02">
        <w:rPr>
          <w:rFonts w:ascii="Calibri" w:hAnsi="Calibri" w:cs="Calibri"/>
          <w:color w:val="000000"/>
          <w:shd w:val="clear" w:color="auto" w:fill="FFFFFF"/>
        </w:rPr>
        <w:t xml:space="preserve">na sentencia como la que propone la dramatización precedentemente aludida podría haber sido válida en algunos lugares </w:t>
      </w:r>
      <w:r w:rsidR="00CF3012" w:rsidRPr="00035B02">
        <w:rPr>
          <w:rFonts w:ascii="Calibri" w:hAnsi="Calibri" w:cs="Calibri"/>
          <w:color w:val="000000"/>
          <w:shd w:val="clear" w:color="auto" w:fill="FFFFFF"/>
        </w:rPr>
        <w:t xml:space="preserve">como por  ejemplo en EEUU en donde ese tipo de </w:t>
      </w:r>
      <w:r w:rsidR="00CF3012" w:rsidRPr="00035B02">
        <w:rPr>
          <w:rFonts w:ascii="Calibri" w:hAnsi="Calibri" w:cs="Calibri"/>
          <w:color w:val="000000"/>
          <w:shd w:val="clear" w:color="auto" w:fill="FFFFFF"/>
        </w:rPr>
        <w:lastRenderedPageBreak/>
        <w:t>decisiones</w:t>
      </w:r>
      <w:r w:rsidR="00A43C18" w:rsidRPr="00035B02">
        <w:rPr>
          <w:rFonts w:ascii="Calibri" w:hAnsi="Calibri" w:cs="Calibri"/>
          <w:color w:val="000000"/>
          <w:shd w:val="clear" w:color="auto" w:fill="FFFFFF"/>
        </w:rPr>
        <w:t xml:space="preserve">, </w:t>
      </w:r>
      <w:proofErr w:type="spellStart"/>
      <w:r w:rsidR="009C1962" w:rsidRPr="00035B02">
        <w:rPr>
          <w:rFonts w:ascii="Calibri" w:hAnsi="Calibri" w:cs="Calibri"/>
          <w:i/>
          <w:color w:val="000000"/>
          <w:shd w:val="clear" w:color="auto" w:fill="FFFFFF"/>
        </w:rPr>
        <w:t>plurality</w:t>
      </w:r>
      <w:proofErr w:type="spellEnd"/>
      <w:r w:rsidR="009C1962" w:rsidRPr="00035B02">
        <w:rPr>
          <w:rFonts w:ascii="Calibri" w:hAnsi="Calibri" w:cs="Calibri"/>
          <w:i/>
          <w:color w:val="000000"/>
          <w:shd w:val="clear" w:color="auto" w:fill="FFFFFF"/>
        </w:rPr>
        <w:t xml:space="preserve"> </w:t>
      </w:r>
      <w:proofErr w:type="spellStart"/>
      <w:r w:rsidR="009C1962" w:rsidRPr="00035B02">
        <w:rPr>
          <w:rFonts w:ascii="Calibri" w:hAnsi="Calibri" w:cs="Calibri"/>
          <w:i/>
          <w:color w:val="000000"/>
          <w:shd w:val="clear" w:color="auto" w:fill="FFFFFF"/>
        </w:rPr>
        <w:t>decis</w:t>
      </w:r>
      <w:r w:rsidR="00A43C18" w:rsidRPr="00035B02">
        <w:rPr>
          <w:rFonts w:ascii="Calibri" w:hAnsi="Calibri" w:cs="Calibri"/>
          <w:i/>
          <w:color w:val="000000"/>
          <w:shd w:val="clear" w:color="auto" w:fill="FFFFFF"/>
        </w:rPr>
        <w:t>ions</w:t>
      </w:r>
      <w:proofErr w:type="spellEnd"/>
      <w:r w:rsidR="009C1962" w:rsidRPr="00035B02">
        <w:rPr>
          <w:rStyle w:val="Refdenotaalpie"/>
          <w:rFonts w:ascii="Calibri" w:hAnsi="Calibri" w:cs="Calibri"/>
          <w:i/>
          <w:color w:val="000000"/>
          <w:shd w:val="clear" w:color="auto" w:fill="FFFFFF"/>
        </w:rPr>
        <w:footnoteReference w:id="2"/>
      </w:r>
      <w:r w:rsidR="00A43C18" w:rsidRPr="00035B02">
        <w:rPr>
          <w:rFonts w:ascii="Calibri" w:hAnsi="Calibri" w:cs="Calibri"/>
          <w:color w:val="000000"/>
          <w:shd w:val="clear" w:color="auto" w:fill="FFFFFF"/>
        </w:rPr>
        <w:t xml:space="preserve"> son aceptadas como válidas por su comunidad Jurídica</w:t>
      </w:r>
      <w:r w:rsidR="00CF3012" w:rsidRPr="00035B02">
        <w:rPr>
          <w:rStyle w:val="Refdenotaalpie"/>
          <w:rFonts w:ascii="Calibri" w:hAnsi="Calibri" w:cs="Calibri"/>
          <w:color w:val="000000"/>
          <w:shd w:val="clear" w:color="auto" w:fill="FFFFFF"/>
        </w:rPr>
        <w:footnoteReference w:id="3"/>
      </w:r>
      <w:r w:rsidR="00913BEC">
        <w:rPr>
          <w:rFonts w:ascii="Calibri" w:hAnsi="Calibri" w:cs="Calibri"/>
          <w:color w:val="000000"/>
          <w:shd w:val="clear" w:color="auto" w:fill="FFFFFF"/>
        </w:rPr>
        <w:t>, ma</w:t>
      </w:r>
      <w:r w:rsidR="00035B02">
        <w:rPr>
          <w:rFonts w:ascii="Calibri" w:hAnsi="Calibri" w:cs="Calibri"/>
          <w:color w:val="000000"/>
          <w:shd w:val="clear" w:color="auto" w:fill="FFFFFF"/>
        </w:rPr>
        <w:t>s como se verá</w:t>
      </w:r>
      <w:r w:rsidR="008050BB">
        <w:rPr>
          <w:rFonts w:ascii="Calibri" w:hAnsi="Calibri" w:cs="Calibri"/>
          <w:color w:val="000000"/>
          <w:shd w:val="clear" w:color="auto" w:fill="FFFFFF"/>
        </w:rPr>
        <w:t xml:space="preserve"> más adelante</w:t>
      </w:r>
      <w:r w:rsidR="00035B02">
        <w:rPr>
          <w:rFonts w:ascii="Calibri" w:hAnsi="Calibri" w:cs="Calibri"/>
          <w:color w:val="000000"/>
          <w:shd w:val="clear" w:color="auto" w:fill="FFFFFF"/>
        </w:rPr>
        <w:t xml:space="preserve">, de atenernos a la doctrina sentada por la </w:t>
      </w:r>
      <w:r w:rsidR="00F26158">
        <w:rPr>
          <w:rFonts w:ascii="Calibri" w:hAnsi="Calibri" w:cs="Calibri"/>
          <w:color w:val="000000"/>
          <w:shd w:val="clear" w:color="auto" w:fill="FFFFFF"/>
        </w:rPr>
        <w:t xml:space="preserve">Corte </w:t>
      </w:r>
      <w:r w:rsidR="00035B02">
        <w:rPr>
          <w:rFonts w:ascii="Calibri" w:hAnsi="Calibri" w:cs="Calibri"/>
          <w:color w:val="000000"/>
          <w:shd w:val="clear" w:color="auto" w:fill="FFFFFF"/>
        </w:rPr>
        <w:t>Suprema Nacional</w:t>
      </w:r>
      <w:r w:rsidR="005C6293">
        <w:rPr>
          <w:rFonts w:ascii="Calibri" w:hAnsi="Calibri" w:cs="Calibri"/>
          <w:color w:val="000000"/>
          <w:shd w:val="clear" w:color="auto" w:fill="FFFFFF"/>
        </w:rPr>
        <w:t>, y en principio</w:t>
      </w:r>
      <w:r w:rsidR="005C6293">
        <w:rPr>
          <w:rStyle w:val="Refdenotaalpie"/>
          <w:rFonts w:ascii="Calibri" w:hAnsi="Calibri" w:cs="Calibri"/>
          <w:color w:val="000000"/>
          <w:shd w:val="clear" w:color="auto" w:fill="FFFFFF"/>
        </w:rPr>
        <w:footnoteReference w:id="4"/>
      </w:r>
      <w:r w:rsidR="005C6293">
        <w:rPr>
          <w:rFonts w:ascii="Calibri" w:hAnsi="Calibri" w:cs="Calibri"/>
          <w:color w:val="000000"/>
          <w:shd w:val="clear" w:color="auto" w:fill="FFFFFF"/>
        </w:rPr>
        <w:t>.</w:t>
      </w:r>
      <w:r w:rsidR="00035B02">
        <w:rPr>
          <w:rFonts w:ascii="Calibri" w:hAnsi="Calibri" w:cs="Calibri"/>
          <w:color w:val="000000"/>
          <w:shd w:val="clear" w:color="auto" w:fill="FFFFFF"/>
        </w:rPr>
        <w:t>, en Argentina, no lo sería</w:t>
      </w:r>
      <w:r w:rsidR="005C6293">
        <w:rPr>
          <w:rFonts w:ascii="Calibri" w:hAnsi="Calibri" w:cs="Calibri"/>
          <w:color w:val="000000"/>
          <w:shd w:val="clear" w:color="auto" w:fill="FFFFFF"/>
        </w:rPr>
        <w:t>.</w:t>
      </w:r>
      <w:r w:rsidR="00035B02">
        <w:rPr>
          <w:rFonts w:ascii="Calibri" w:hAnsi="Calibri" w:cs="Calibri"/>
          <w:color w:val="000000"/>
          <w:shd w:val="clear" w:color="auto" w:fill="FFFFFF"/>
        </w:rPr>
        <w:t xml:space="preserve">- </w:t>
      </w:r>
    </w:p>
    <w:p w:rsidR="00035B02" w:rsidRPr="00035B02" w:rsidRDefault="00035B02" w:rsidP="00035B02">
      <w:pPr>
        <w:spacing w:line="480" w:lineRule="auto"/>
        <w:ind w:firstLine="708"/>
        <w:jc w:val="both"/>
        <w:rPr>
          <w:rFonts w:ascii="Calibri" w:hAnsi="Calibri" w:cs="Calibri"/>
          <w:b/>
          <w:color w:val="000000"/>
          <w:shd w:val="clear" w:color="auto" w:fill="FFFFFF"/>
        </w:rPr>
      </w:pPr>
      <w:r>
        <w:rPr>
          <w:rFonts w:ascii="Calibri" w:hAnsi="Calibri" w:cs="Calibri"/>
          <w:b/>
          <w:color w:val="000000"/>
          <w:shd w:val="clear" w:color="auto" w:fill="FFFFFF"/>
        </w:rPr>
        <w:t xml:space="preserve">II.- </w:t>
      </w:r>
      <w:r w:rsidR="00580562">
        <w:rPr>
          <w:rFonts w:ascii="Calibri" w:hAnsi="Calibri" w:cs="Calibri"/>
          <w:b/>
          <w:color w:val="000000"/>
          <w:shd w:val="clear" w:color="auto" w:fill="FFFFFF"/>
        </w:rPr>
        <w:t>El deber de fundamentación de las sentencias</w:t>
      </w:r>
      <w:r w:rsidR="00023A8F">
        <w:rPr>
          <w:rFonts w:ascii="Calibri" w:hAnsi="Calibri" w:cs="Calibri"/>
          <w:b/>
          <w:color w:val="000000"/>
          <w:shd w:val="clear" w:color="auto" w:fill="FFFFFF"/>
        </w:rPr>
        <w:t>. El caso de los tribunales colegiados.  Breves apuntes</w:t>
      </w:r>
    </w:p>
    <w:p w:rsidR="008561FC" w:rsidRDefault="008561FC" w:rsidP="00035B02">
      <w:pPr>
        <w:spacing w:line="480" w:lineRule="auto"/>
        <w:ind w:firstLine="708"/>
        <w:jc w:val="both"/>
        <w:rPr>
          <w:rFonts w:ascii="Calibri" w:hAnsi="Calibri" w:cs="Calibri"/>
          <w:color w:val="000000"/>
          <w:shd w:val="clear" w:color="auto" w:fill="FFFFFF"/>
        </w:rPr>
      </w:pPr>
      <w:r>
        <w:rPr>
          <w:rFonts w:ascii="Calibri" w:hAnsi="Calibri" w:cs="Calibri"/>
          <w:color w:val="000000"/>
          <w:shd w:val="clear" w:color="auto" w:fill="FFFFFF"/>
        </w:rPr>
        <w:t xml:space="preserve">Se sabe que los jueces se encuentran </w:t>
      </w:r>
      <w:r w:rsidR="00F31841">
        <w:rPr>
          <w:rFonts w:ascii="Calibri" w:hAnsi="Calibri" w:cs="Calibri"/>
          <w:color w:val="000000"/>
          <w:shd w:val="clear" w:color="auto" w:fill="FFFFFF"/>
        </w:rPr>
        <w:t>obligados a fallar en los casos concretos que les son presentados a su jurisdicción</w:t>
      </w:r>
      <w:r w:rsidR="001A02FD">
        <w:rPr>
          <w:rFonts w:ascii="Calibri" w:hAnsi="Calibri" w:cs="Calibri"/>
          <w:color w:val="000000"/>
          <w:shd w:val="clear" w:color="auto" w:fill="FFFFFF"/>
        </w:rPr>
        <w:t xml:space="preserve"> –</w:t>
      </w:r>
      <w:proofErr w:type="spellStart"/>
      <w:r w:rsidR="001A02FD">
        <w:rPr>
          <w:rFonts w:ascii="Calibri" w:hAnsi="Calibri" w:cs="Calibri"/>
          <w:color w:val="000000"/>
          <w:shd w:val="clear" w:color="auto" w:fill="FFFFFF"/>
        </w:rPr>
        <w:t>arg</w:t>
      </w:r>
      <w:proofErr w:type="spellEnd"/>
      <w:r w:rsidR="001A02FD">
        <w:rPr>
          <w:rFonts w:ascii="Calibri" w:hAnsi="Calibri" w:cs="Calibri"/>
          <w:color w:val="000000"/>
          <w:shd w:val="clear" w:color="auto" w:fill="FFFFFF"/>
        </w:rPr>
        <w:t xml:space="preserve"> art. 3 CCC-</w:t>
      </w:r>
      <w:r w:rsidR="00380472">
        <w:rPr>
          <w:rStyle w:val="Refdenotaalpie"/>
          <w:rFonts w:ascii="Calibri" w:hAnsi="Calibri" w:cs="Calibri"/>
          <w:color w:val="000000"/>
          <w:shd w:val="clear" w:color="auto" w:fill="FFFFFF"/>
        </w:rPr>
        <w:footnoteReference w:id="5"/>
      </w:r>
      <w:r w:rsidR="001A02FD">
        <w:rPr>
          <w:rFonts w:ascii="Calibri" w:hAnsi="Calibri" w:cs="Calibri"/>
          <w:color w:val="000000"/>
          <w:shd w:val="clear" w:color="auto" w:fill="FFFFFF"/>
        </w:rPr>
        <w:t>, sin poder excusarse en el silencio u oscuridad de la ley –</w:t>
      </w:r>
      <w:r w:rsidR="00580562">
        <w:rPr>
          <w:rFonts w:ascii="Calibri" w:hAnsi="Calibri" w:cs="Calibri"/>
          <w:color w:val="000000"/>
          <w:shd w:val="clear" w:color="auto" w:fill="FFFFFF"/>
        </w:rPr>
        <w:t xml:space="preserve">prohibición de invocar el </w:t>
      </w:r>
      <w:r w:rsidR="001A02FD" w:rsidRPr="001A02FD">
        <w:rPr>
          <w:rFonts w:ascii="Calibri" w:hAnsi="Calibri" w:cs="Calibri"/>
          <w:i/>
          <w:color w:val="000000"/>
          <w:shd w:val="clear" w:color="auto" w:fill="FFFFFF"/>
        </w:rPr>
        <w:t xml:space="preserve">non </w:t>
      </w:r>
      <w:proofErr w:type="spellStart"/>
      <w:r w:rsidR="001A02FD" w:rsidRPr="001A02FD">
        <w:rPr>
          <w:rFonts w:ascii="Calibri" w:hAnsi="Calibri" w:cs="Calibri"/>
          <w:i/>
          <w:color w:val="000000"/>
          <w:shd w:val="clear" w:color="auto" w:fill="FFFFFF"/>
        </w:rPr>
        <w:t>liquet</w:t>
      </w:r>
      <w:proofErr w:type="spellEnd"/>
      <w:r w:rsidR="005C6293">
        <w:rPr>
          <w:rFonts w:ascii="Calibri" w:hAnsi="Calibri" w:cs="Calibri"/>
          <w:color w:val="000000"/>
          <w:shd w:val="clear" w:color="auto" w:fill="FFFFFF"/>
        </w:rPr>
        <w:t>-</w:t>
      </w:r>
      <w:r w:rsidR="001A02FD">
        <w:rPr>
          <w:rStyle w:val="Refdenotaalpie"/>
          <w:rFonts w:ascii="Calibri" w:hAnsi="Calibri" w:cs="Calibri"/>
          <w:color w:val="000000"/>
          <w:shd w:val="clear" w:color="auto" w:fill="FFFFFF"/>
        </w:rPr>
        <w:footnoteReference w:id="6"/>
      </w:r>
      <w:r w:rsidR="001A02FD">
        <w:rPr>
          <w:rFonts w:ascii="Calibri" w:hAnsi="Calibri" w:cs="Calibri"/>
          <w:color w:val="000000"/>
          <w:shd w:val="clear" w:color="auto" w:fill="FFFFFF"/>
        </w:rPr>
        <w:t xml:space="preserve"> </w:t>
      </w:r>
      <w:r w:rsidR="005C6293">
        <w:rPr>
          <w:rFonts w:ascii="Calibri" w:hAnsi="Calibri" w:cs="Calibri"/>
          <w:color w:val="000000"/>
          <w:shd w:val="clear" w:color="auto" w:fill="FFFFFF"/>
        </w:rPr>
        <w:t>.-</w:t>
      </w:r>
    </w:p>
    <w:p w:rsidR="001A02FD" w:rsidRDefault="00913BEC" w:rsidP="00035B02">
      <w:pPr>
        <w:spacing w:line="480" w:lineRule="auto"/>
        <w:ind w:firstLine="708"/>
        <w:jc w:val="both"/>
        <w:rPr>
          <w:rFonts w:ascii="Calibri" w:hAnsi="Calibri" w:cs="Calibri"/>
          <w:color w:val="000000"/>
          <w:shd w:val="clear" w:color="auto" w:fill="FFFFFF"/>
        </w:rPr>
      </w:pPr>
      <w:r>
        <w:t xml:space="preserve">En esta norma –art. 3 CCC- </w:t>
      </w:r>
      <w:r w:rsidR="001A02FD">
        <w:t xml:space="preserve">se recoge </w:t>
      </w:r>
      <w:r w:rsidR="001A02FD">
        <w:rPr>
          <w:i/>
        </w:rPr>
        <w:t>“…</w:t>
      </w:r>
      <w:r w:rsidR="001A02FD" w:rsidRPr="001A02FD">
        <w:rPr>
          <w:i/>
        </w:rPr>
        <w:t>un principio básico de organización social en el Estado de derecho. En efecto, cuando</w:t>
      </w:r>
      <w:r w:rsidR="001A02FD">
        <w:rPr>
          <w:i/>
        </w:rPr>
        <w:t xml:space="preserve"> </w:t>
      </w:r>
      <w:r w:rsidR="001A02FD" w:rsidRPr="001A02FD">
        <w:rPr>
          <w:i/>
        </w:rPr>
        <w:t>el Estado reserva para sí la potestad de</w:t>
      </w:r>
      <w:r w:rsidR="001A02FD">
        <w:rPr>
          <w:i/>
        </w:rPr>
        <w:t xml:space="preserve"> </w:t>
      </w:r>
      <w:r w:rsidR="001A02FD" w:rsidRPr="001A02FD">
        <w:rPr>
          <w:i/>
        </w:rPr>
        <w:t>coacción y de</w:t>
      </w:r>
      <w:r w:rsidR="001A02FD">
        <w:rPr>
          <w:i/>
        </w:rPr>
        <w:t xml:space="preserve"> </w:t>
      </w:r>
      <w:r w:rsidR="001A02FD" w:rsidRPr="001A02FD">
        <w:rPr>
          <w:i/>
        </w:rPr>
        <w:t xml:space="preserve">solución de conflictos o </w:t>
      </w:r>
      <w:proofErr w:type="spellStart"/>
      <w:r w:rsidR="001A02FD" w:rsidRPr="001A02FD">
        <w:rPr>
          <w:i/>
        </w:rPr>
        <w:t>heterocomposición</w:t>
      </w:r>
      <w:proofErr w:type="spellEnd"/>
      <w:r w:rsidR="001A02FD" w:rsidRPr="001A02FD">
        <w:rPr>
          <w:i/>
        </w:rPr>
        <w:t>, no puede admitirse</w:t>
      </w:r>
      <w:r w:rsidR="001A02FD">
        <w:rPr>
          <w:i/>
        </w:rPr>
        <w:t xml:space="preserve"> </w:t>
      </w:r>
      <w:r w:rsidR="001A02FD" w:rsidRPr="001A02FD">
        <w:rPr>
          <w:i/>
        </w:rPr>
        <w:t>que el juez se excuse</w:t>
      </w:r>
      <w:r w:rsidR="001A02FD">
        <w:rPr>
          <w:i/>
        </w:rPr>
        <w:t xml:space="preserve"> </w:t>
      </w:r>
      <w:r w:rsidR="001A02FD" w:rsidRPr="001A02FD">
        <w:rPr>
          <w:i/>
        </w:rPr>
        <w:t>de</w:t>
      </w:r>
      <w:r w:rsidR="001A02FD">
        <w:rPr>
          <w:i/>
        </w:rPr>
        <w:t xml:space="preserve"> </w:t>
      </w:r>
      <w:r w:rsidR="001A02FD" w:rsidRPr="001A02FD">
        <w:rPr>
          <w:i/>
        </w:rPr>
        <w:t xml:space="preserve">cumplir </w:t>
      </w:r>
      <w:r w:rsidR="001A02FD" w:rsidRPr="001A02FD">
        <w:rPr>
          <w:i/>
        </w:rPr>
        <w:lastRenderedPageBreak/>
        <w:t>su misión, ya que esto determinaría, en última instancia, un alto grado de dispersión y conflicto social</w:t>
      </w:r>
      <w:r w:rsidR="001A02FD">
        <w:rPr>
          <w:i/>
        </w:rPr>
        <w:t>…”</w:t>
      </w:r>
      <w:r w:rsidR="001A02FD">
        <w:t>.</w:t>
      </w:r>
      <w:r w:rsidR="001A02FD">
        <w:rPr>
          <w:rStyle w:val="Refdenotaalpie"/>
        </w:rPr>
        <w:footnoteReference w:id="7"/>
      </w:r>
    </w:p>
    <w:p w:rsidR="00104D9A" w:rsidRDefault="00104D9A" w:rsidP="00035B02">
      <w:pPr>
        <w:spacing w:line="480" w:lineRule="auto"/>
        <w:ind w:firstLine="708"/>
        <w:jc w:val="both"/>
      </w:pPr>
      <w:r>
        <w:rPr>
          <w:rFonts w:ascii="Calibri" w:hAnsi="Calibri" w:cs="Calibri"/>
          <w:color w:val="000000"/>
          <w:shd w:val="clear" w:color="auto" w:fill="FFFFFF"/>
        </w:rPr>
        <w:t xml:space="preserve">Ahora bien, </w:t>
      </w:r>
      <w:r w:rsidR="001A02FD">
        <w:rPr>
          <w:rFonts w:ascii="Calibri" w:hAnsi="Calibri" w:cs="Calibri"/>
          <w:color w:val="000000"/>
          <w:shd w:val="clear" w:color="auto" w:fill="FFFFFF"/>
        </w:rPr>
        <w:t>esas</w:t>
      </w:r>
      <w:r w:rsidR="00D86276">
        <w:rPr>
          <w:rFonts w:ascii="Calibri" w:hAnsi="Calibri" w:cs="Calibri"/>
          <w:color w:val="000000"/>
          <w:shd w:val="clear" w:color="auto" w:fill="FFFFFF"/>
        </w:rPr>
        <w:t xml:space="preserve"> </w:t>
      </w:r>
      <w:r w:rsidR="005349C2">
        <w:rPr>
          <w:rFonts w:ascii="Calibri" w:hAnsi="Calibri" w:cs="Calibri"/>
          <w:color w:val="000000"/>
          <w:shd w:val="clear" w:color="auto" w:fill="FFFFFF"/>
        </w:rPr>
        <w:t xml:space="preserve">decisiones </w:t>
      </w:r>
      <w:r w:rsidR="001A02FD">
        <w:rPr>
          <w:rFonts w:ascii="Calibri" w:hAnsi="Calibri" w:cs="Calibri"/>
          <w:color w:val="000000"/>
          <w:shd w:val="clear" w:color="auto" w:fill="FFFFFF"/>
        </w:rPr>
        <w:t xml:space="preserve">jurisdiccionales </w:t>
      </w:r>
      <w:r w:rsidR="00D86276">
        <w:rPr>
          <w:rFonts w:ascii="Calibri" w:hAnsi="Calibri" w:cs="Calibri"/>
          <w:color w:val="000000"/>
          <w:shd w:val="clear" w:color="auto" w:fill="FFFFFF"/>
        </w:rPr>
        <w:t xml:space="preserve">no pueden ser </w:t>
      </w:r>
      <w:r w:rsidR="005349C2">
        <w:rPr>
          <w:rFonts w:ascii="Calibri" w:hAnsi="Calibri" w:cs="Calibri"/>
          <w:color w:val="000000"/>
          <w:shd w:val="clear" w:color="auto" w:fill="FFFFFF"/>
        </w:rPr>
        <w:t>tomadas</w:t>
      </w:r>
      <w:r w:rsidR="00D86276">
        <w:rPr>
          <w:rFonts w:ascii="Calibri" w:hAnsi="Calibri" w:cs="Calibri"/>
          <w:color w:val="000000"/>
          <w:shd w:val="clear" w:color="auto" w:fill="FFFFFF"/>
        </w:rPr>
        <w:t xml:space="preserve"> de cualquier manera, así, originalmente, y </w:t>
      </w:r>
      <w:r w:rsidR="00D86276">
        <w:t>como un modo de compensar la debilidad institucional y la falta de garantías políticas de los magistrados</w:t>
      </w:r>
      <w:r w:rsidR="005349C2">
        <w:rPr>
          <w:rStyle w:val="Refdenotaalpie"/>
        </w:rPr>
        <w:footnoteReference w:id="8"/>
      </w:r>
      <w:r w:rsidR="00D86276">
        <w:t xml:space="preserve"> respecto de los Jurados populares</w:t>
      </w:r>
      <w:r w:rsidR="001A02FD">
        <w:rPr>
          <w:rStyle w:val="Refdenotaalpie"/>
        </w:rPr>
        <w:footnoteReference w:id="9"/>
      </w:r>
      <w:r w:rsidR="00D86276">
        <w:t>, se exigió la motivación de la sentencia dictada por jueces profesionales</w:t>
      </w:r>
      <w:r w:rsidR="00D86276">
        <w:rPr>
          <w:rStyle w:val="Refdenotaalpie"/>
        </w:rPr>
        <w:footnoteReference w:id="10"/>
      </w:r>
      <w:r w:rsidR="00D86276">
        <w:t>.</w:t>
      </w:r>
      <w:r w:rsidR="005349C2">
        <w:t xml:space="preserve">  </w:t>
      </w:r>
      <w:r w:rsidR="001A02FD">
        <w:t>Ello así, pues</w:t>
      </w:r>
      <w:r w:rsidR="005349C2">
        <w:t xml:space="preserve"> la forma republicana de gobierno, adoptada en el art. 1 CN, impone la necesidad de que todo acto estatal deba tener una explicación racional, por lo que, es obligación de los magistrados del Poder Judicial dar a conocer las razones de sus decisiones</w:t>
      </w:r>
      <w:r w:rsidR="005349C2">
        <w:rPr>
          <w:rStyle w:val="Refdenotaalpie"/>
        </w:rPr>
        <w:footnoteReference w:id="11"/>
      </w:r>
      <w:r w:rsidR="001A02FD">
        <w:t xml:space="preserve">. </w:t>
      </w:r>
    </w:p>
    <w:p w:rsidR="00D86276" w:rsidRDefault="00104D9A" w:rsidP="00035B02">
      <w:pPr>
        <w:spacing w:line="480" w:lineRule="auto"/>
        <w:ind w:firstLine="708"/>
        <w:jc w:val="both"/>
      </w:pPr>
      <w:r>
        <w:rPr>
          <w:rFonts w:ascii="Calibri" w:hAnsi="Calibri" w:cs="Calibri"/>
          <w:color w:val="000000"/>
          <w:shd w:val="clear" w:color="auto" w:fill="FFFFFF"/>
        </w:rPr>
        <w:lastRenderedPageBreak/>
        <w:t xml:space="preserve">En </w:t>
      </w:r>
      <w:r w:rsidR="001A02FD">
        <w:rPr>
          <w:rFonts w:ascii="Calibri" w:hAnsi="Calibri" w:cs="Calibri"/>
          <w:color w:val="000000"/>
          <w:shd w:val="clear" w:color="auto" w:fill="FFFFFF"/>
        </w:rPr>
        <w:t>este sentido</w:t>
      </w:r>
      <w:r>
        <w:rPr>
          <w:rFonts w:ascii="Calibri" w:hAnsi="Calibri" w:cs="Calibri"/>
          <w:color w:val="000000"/>
          <w:shd w:val="clear" w:color="auto" w:fill="FFFFFF"/>
        </w:rPr>
        <w:t xml:space="preserve">, anota FARRELL, que </w:t>
      </w:r>
      <w:r w:rsidRPr="00104D9A">
        <w:rPr>
          <w:rFonts w:ascii="Calibri" w:hAnsi="Calibri" w:cs="Calibri"/>
          <w:i/>
          <w:color w:val="000000"/>
          <w:shd w:val="clear" w:color="auto" w:fill="FFFFFF"/>
        </w:rPr>
        <w:t>“…</w:t>
      </w:r>
      <w:r w:rsidRPr="00104D9A">
        <w:rPr>
          <w:i/>
        </w:rPr>
        <w:t>no está en discusión que un juez debe decidir en base a razones; nadie aceptaría-por ejemplo que decidiera tirando una moneda, (…) Más aún: no sólo exigimos que los jueces decidan en base a razones sino que también queremos que lo hagan en base a buenas razones. Una buena razón es aquella que se ajusta a los derechos en juego en el caso. Lo que queremos, entonces, es que el juez decida en base a una buena interpretación de los derechos en juego. (…) La circunstancia de que los jueces deban juzgar de acuerdo a razones excluye también la posibilidad de que ellos decidan en base a la simple expresión de sus preferencias. Los jueces emiten juicios basados en razones, y tratan de alcanzar una "verdad", entendida en este caso como una buena interpretación del derecho vigente…”</w:t>
      </w:r>
      <w:r w:rsidRPr="00104D9A">
        <w:rPr>
          <w:rStyle w:val="Refdenotaalpie"/>
          <w:i/>
        </w:rPr>
        <w:footnoteReference w:id="12"/>
      </w:r>
      <w:r>
        <w:t xml:space="preserve">. </w:t>
      </w:r>
    </w:p>
    <w:p w:rsidR="00104D9A" w:rsidRDefault="00D86276" w:rsidP="00035B02">
      <w:pPr>
        <w:spacing w:line="480" w:lineRule="auto"/>
        <w:ind w:firstLine="708"/>
        <w:jc w:val="both"/>
      </w:pPr>
      <w:r>
        <w:t>A</w:t>
      </w:r>
      <w:r w:rsidR="005C6293">
        <w:t xml:space="preserve"> </w:t>
      </w:r>
      <w:r>
        <w:t>s</w:t>
      </w:r>
      <w:r w:rsidR="005C6293">
        <w:t xml:space="preserve">u vez, </w:t>
      </w:r>
      <w:r>
        <w:t>la fundamentación</w:t>
      </w:r>
      <w:r w:rsidR="005C6293">
        <w:t xml:space="preserve"> explicita de las resoluciones </w:t>
      </w:r>
      <w:r>
        <w:t xml:space="preserve"> encuentra </w:t>
      </w:r>
      <w:r w:rsidR="005C6293">
        <w:t xml:space="preserve">también </w:t>
      </w:r>
      <w:r>
        <w:t>su razón de ser en la obligación de los jueces, como representantes del pueblo -no electivos- en el ejercicio de un poder del Estado, de rendir cuentas de sus decisiones</w:t>
      </w:r>
      <w:r>
        <w:rPr>
          <w:rStyle w:val="Refdenotaalpie"/>
        </w:rPr>
        <w:footnoteReference w:id="13"/>
      </w:r>
      <w:r>
        <w:t>.</w:t>
      </w:r>
      <w:r w:rsidR="001A02FD">
        <w:t xml:space="preserve">  </w:t>
      </w:r>
    </w:p>
    <w:p w:rsidR="00104D9A" w:rsidRDefault="001A02FD" w:rsidP="00035B02">
      <w:pPr>
        <w:spacing w:line="480" w:lineRule="auto"/>
        <w:ind w:firstLine="708"/>
        <w:jc w:val="both"/>
        <w:rPr>
          <w:rFonts w:ascii="Calibri" w:hAnsi="Calibri" w:cs="Calibri"/>
          <w:color w:val="000000"/>
          <w:shd w:val="clear" w:color="auto" w:fill="FFFFFF"/>
        </w:rPr>
      </w:pPr>
      <w:r>
        <w:t>En consonancia con lo precedentemente expuesto, y y</w:t>
      </w:r>
      <w:r w:rsidR="00D86276">
        <w:t>a desde hace largo tiempo</w:t>
      </w:r>
      <w:r>
        <w:t xml:space="preserve">, </w:t>
      </w:r>
      <w:r w:rsidR="00104D9A">
        <w:rPr>
          <w:rFonts w:ascii="Calibri" w:hAnsi="Calibri" w:cs="Calibri"/>
          <w:color w:val="000000"/>
          <w:shd w:val="clear" w:color="auto" w:fill="FFFFFF"/>
        </w:rPr>
        <w:t xml:space="preserve"> el cimero tribunal nacional ha</w:t>
      </w:r>
      <w:r w:rsidR="00D86276">
        <w:rPr>
          <w:rFonts w:ascii="Calibri" w:hAnsi="Calibri" w:cs="Calibri"/>
          <w:color w:val="000000"/>
          <w:shd w:val="clear" w:color="auto" w:fill="FFFFFF"/>
        </w:rPr>
        <w:t xml:space="preserve"> dado origen a una</w:t>
      </w:r>
      <w:r w:rsidR="00104D9A">
        <w:rPr>
          <w:rFonts w:ascii="Calibri" w:hAnsi="Calibri" w:cs="Calibri"/>
          <w:color w:val="000000"/>
          <w:shd w:val="clear" w:color="auto" w:fill="FFFFFF"/>
        </w:rPr>
        <w:t xml:space="preserve"> línea jurisprudencial regida por la idea de que las sentencias deb</w:t>
      </w:r>
      <w:r w:rsidR="00120060">
        <w:rPr>
          <w:rFonts w:ascii="Calibri" w:hAnsi="Calibri" w:cs="Calibri"/>
          <w:color w:val="000000"/>
          <w:shd w:val="clear" w:color="auto" w:fill="FFFFFF"/>
        </w:rPr>
        <w:t>en</w:t>
      </w:r>
      <w:r w:rsidR="00104D9A">
        <w:rPr>
          <w:rFonts w:ascii="Calibri" w:hAnsi="Calibri" w:cs="Calibri"/>
          <w:color w:val="000000"/>
          <w:shd w:val="clear" w:color="auto" w:fill="FFFFFF"/>
        </w:rPr>
        <w:t xml:space="preserve"> constituirse como unidades lógico-jurídicas y una derivación razonada del derecho vigente</w:t>
      </w:r>
      <w:r w:rsidR="00120060">
        <w:rPr>
          <w:rStyle w:val="Refdenotaalpie"/>
        </w:rPr>
        <w:footnoteReference w:id="14"/>
      </w:r>
      <w:r w:rsidR="00D86276">
        <w:t xml:space="preserve">, conforme </w:t>
      </w:r>
      <w:r w:rsidR="00104D9A">
        <w:rPr>
          <w:rFonts w:ascii="Calibri" w:hAnsi="Calibri" w:cs="Calibri"/>
          <w:color w:val="000000"/>
          <w:shd w:val="clear" w:color="auto" w:fill="FFFFFF"/>
        </w:rPr>
        <w:t xml:space="preserve">las </w:t>
      </w:r>
      <w:r w:rsidR="00D86276">
        <w:rPr>
          <w:rFonts w:ascii="Calibri" w:hAnsi="Calibri" w:cs="Calibri"/>
          <w:color w:val="000000"/>
          <w:shd w:val="clear" w:color="auto" w:fill="FFFFFF"/>
        </w:rPr>
        <w:t xml:space="preserve">circunstancias comprobadas </w:t>
      </w:r>
      <w:r w:rsidR="00104D9A">
        <w:rPr>
          <w:rFonts w:ascii="Calibri" w:hAnsi="Calibri" w:cs="Calibri"/>
          <w:color w:val="000000"/>
          <w:shd w:val="clear" w:color="auto" w:fill="FFFFFF"/>
        </w:rPr>
        <w:t xml:space="preserve"> de la causa</w:t>
      </w:r>
      <w:r w:rsidR="00104D9A">
        <w:rPr>
          <w:rStyle w:val="Refdenotaalpie"/>
          <w:rFonts w:ascii="Calibri" w:hAnsi="Calibri" w:cs="Calibri"/>
          <w:color w:val="000000"/>
          <w:shd w:val="clear" w:color="auto" w:fill="FFFFFF"/>
        </w:rPr>
        <w:footnoteReference w:id="15"/>
      </w:r>
      <w:r w:rsidR="009B3FCD">
        <w:rPr>
          <w:rFonts w:ascii="Calibri" w:hAnsi="Calibri" w:cs="Calibri"/>
          <w:color w:val="000000"/>
          <w:shd w:val="clear" w:color="auto" w:fill="FFFFFF"/>
        </w:rPr>
        <w:t>. Criterio éste que</w:t>
      </w:r>
      <w:r w:rsidR="00580562">
        <w:rPr>
          <w:rFonts w:ascii="Calibri" w:hAnsi="Calibri" w:cs="Calibri"/>
          <w:color w:val="000000"/>
          <w:shd w:val="clear" w:color="auto" w:fill="FFFFFF"/>
        </w:rPr>
        <w:t>, cabe resaltar,</w:t>
      </w:r>
      <w:r w:rsidR="009B3FCD">
        <w:rPr>
          <w:rFonts w:ascii="Calibri" w:hAnsi="Calibri" w:cs="Calibri"/>
          <w:color w:val="000000"/>
          <w:shd w:val="clear" w:color="auto" w:fill="FFFFFF"/>
        </w:rPr>
        <w:t xml:space="preserve"> ha quedado, a su vez, previsto en el artículo 3 del Código Civil y Comercial, cuando </w:t>
      </w:r>
      <w:r w:rsidR="009B3FCD">
        <w:rPr>
          <w:rFonts w:ascii="Calibri" w:hAnsi="Calibri" w:cs="Calibri"/>
          <w:color w:val="000000"/>
          <w:shd w:val="clear" w:color="auto" w:fill="FFFFFF"/>
        </w:rPr>
        <w:lastRenderedPageBreak/>
        <w:t>impone a los jueces el deber de resolver con fundamentación razonable</w:t>
      </w:r>
      <w:r w:rsidR="009B3FCD">
        <w:rPr>
          <w:rStyle w:val="Refdenotaalpie"/>
          <w:rFonts w:ascii="Calibri" w:hAnsi="Calibri" w:cs="Calibri"/>
          <w:color w:val="000000"/>
          <w:shd w:val="clear" w:color="auto" w:fill="FFFFFF"/>
        </w:rPr>
        <w:footnoteReference w:id="16"/>
      </w:r>
      <w:r w:rsidR="009B3FCD">
        <w:rPr>
          <w:rFonts w:ascii="Calibri" w:hAnsi="Calibri" w:cs="Calibri"/>
          <w:color w:val="000000"/>
          <w:shd w:val="clear" w:color="auto" w:fill="FFFFFF"/>
        </w:rPr>
        <w:t xml:space="preserve">  las causas que les </w:t>
      </w:r>
      <w:r w:rsidR="00580562">
        <w:rPr>
          <w:rFonts w:ascii="Calibri" w:hAnsi="Calibri" w:cs="Calibri"/>
          <w:color w:val="000000"/>
          <w:shd w:val="clear" w:color="auto" w:fill="FFFFFF"/>
        </w:rPr>
        <w:t>son</w:t>
      </w:r>
      <w:r w:rsidR="009B3FCD">
        <w:rPr>
          <w:rFonts w:ascii="Calibri" w:hAnsi="Calibri" w:cs="Calibri"/>
          <w:color w:val="000000"/>
          <w:shd w:val="clear" w:color="auto" w:fill="FFFFFF"/>
        </w:rPr>
        <w:t xml:space="preserve"> sometidas a su jurisdicción. </w:t>
      </w:r>
      <w:r w:rsidR="00104D9A">
        <w:rPr>
          <w:rFonts w:ascii="Calibri" w:hAnsi="Calibri" w:cs="Calibri"/>
          <w:color w:val="000000"/>
          <w:shd w:val="clear" w:color="auto" w:fill="FFFFFF"/>
        </w:rPr>
        <w:t xml:space="preserve"> </w:t>
      </w:r>
    </w:p>
    <w:p w:rsidR="00B471ED" w:rsidRDefault="006C6B92" w:rsidP="00120060">
      <w:pPr>
        <w:spacing w:line="480" w:lineRule="auto"/>
        <w:ind w:firstLine="708"/>
        <w:jc w:val="both"/>
      </w:pPr>
      <w:r>
        <w:t xml:space="preserve">Ahora bien, </w:t>
      </w:r>
      <w:r w:rsidR="00B471ED">
        <w:t>¿Qué sucede cuando nos hallamos frente a decisiones de tribunales colegiados?</w:t>
      </w:r>
    </w:p>
    <w:p w:rsidR="000353ED" w:rsidRDefault="000353ED" w:rsidP="00120060">
      <w:pPr>
        <w:spacing w:line="480" w:lineRule="auto"/>
        <w:ind w:firstLine="708"/>
        <w:jc w:val="both"/>
      </w:pPr>
      <w:r>
        <w:t>En el caso de tribunales colegiados se plantean algunas particularidades que no se dan en los casos de juzgados unipersonales. Es que, en estos casos es menester coordinar las voluntades individuales de los jueces que conforman el tribunal, a los fines del dictado de una única sentencia</w:t>
      </w:r>
      <w:r w:rsidR="0027126D">
        <w:t xml:space="preserve"> y determinar cómo se va a decidir frente al caso de discrepancia entre los integrantes del tribunal</w:t>
      </w:r>
      <w:r>
        <w:t xml:space="preserve">. </w:t>
      </w:r>
    </w:p>
    <w:p w:rsidR="00580562" w:rsidRDefault="0027126D" w:rsidP="00120060">
      <w:pPr>
        <w:spacing w:line="480" w:lineRule="auto"/>
        <w:ind w:firstLine="708"/>
        <w:jc w:val="both"/>
        <w:rPr>
          <w:i/>
        </w:rPr>
      </w:pPr>
      <w:r>
        <w:t>En cuanto a la primera de las cuestiones “ut supra” aludidas, a</w:t>
      </w:r>
      <w:r w:rsidR="009F6D53">
        <w:t xml:space="preserve">nota la doctrina que </w:t>
      </w:r>
      <w:r w:rsidR="009F6D53">
        <w:rPr>
          <w:i/>
        </w:rPr>
        <w:t>“…los distintos ordenamientos adjetivos han regulado con mayor o menor detalle el procedimiento orientado a la creación del acto decisorio emanado de un cuerpo colegiado. Así, los respectivos códigos prevén un orden para el estudio de la causa, la celebración del “acuerdo”, previo al dictado de la sentencia, la forma en que cada magistrado hará explícito su opinión o “voto” sobre la decisión que corresponda, etc</w:t>
      </w:r>
      <w:r w:rsidR="00580562">
        <w:rPr>
          <w:i/>
        </w:rPr>
        <w:t>…”</w:t>
      </w:r>
      <w:r w:rsidR="00580562">
        <w:rPr>
          <w:rStyle w:val="Refdenotaalpie"/>
          <w:i/>
        </w:rPr>
        <w:footnoteReference w:id="17"/>
      </w:r>
      <w:r w:rsidR="009F6D53">
        <w:rPr>
          <w:i/>
        </w:rPr>
        <w:t xml:space="preserve"> </w:t>
      </w:r>
    </w:p>
    <w:p w:rsidR="00580562" w:rsidRPr="00580562" w:rsidRDefault="005C6293" w:rsidP="00580562">
      <w:pPr>
        <w:spacing w:line="480" w:lineRule="auto"/>
        <w:ind w:firstLine="360"/>
        <w:jc w:val="both"/>
        <w:rPr>
          <w:rFonts w:ascii="Calibri" w:hAnsi="Calibri" w:cs="Calibri"/>
          <w:color w:val="000000"/>
          <w:shd w:val="clear" w:color="auto" w:fill="FFFFFF"/>
        </w:rPr>
      </w:pPr>
      <w:r>
        <w:t>S</w:t>
      </w:r>
      <w:r w:rsidR="00580562">
        <w:t>iguiendo a AHUMADA RUIZ</w:t>
      </w:r>
      <w:r w:rsidR="00580562" w:rsidRPr="00580562">
        <w:rPr>
          <w:rStyle w:val="Refdenotaalpie"/>
          <w:rFonts w:ascii="Calibri" w:hAnsi="Calibri" w:cs="Calibri"/>
          <w:color w:val="000000"/>
          <w:shd w:val="clear" w:color="auto" w:fill="FFFFFF"/>
        </w:rPr>
        <w:footnoteReference w:id="18"/>
      </w:r>
      <w:r w:rsidR="00580562">
        <w:t xml:space="preserve">, se puede afirmar que </w:t>
      </w:r>
      <w:r w:rsidR="00580562" w:rsidRPr="00580562">
        <w:rPr>
          <w:rFonts w:ascii="Calibri" w:hAnsi="Calibri" w:cs="Calibri"/>
          <w:color w:val="000000"/>
          <w:shd w:val="clear" w:color="auto" w:fill="FFFFFF"/>
        </w:rPr>
        <w:t xml:space="preserve"> </w:t>
      </w:r>
      <w:r w:rsidR="00580562">
        <w:rPr>
          <w:rFonts w:ascii="Calibri" w:hAnsi="Calibri" w:cs="Calibri"/>
          <w:i/>
          <w:color w:val="000000"/>
          <w:shd w:val="clear" w:color="auto" w:fill="FFFFFF"/>
        </w:rPr>
        <w:t xml:space="preserve"> </w:t>
      </w:r>
      <w:r w:rsidR="00580562">
        <w:rPr>
          <w:rFonts w:ascii="Calibri" w:hAnsi="Calibri" w:cs="Calibri"/>
          <w:color w:val="000000"/>
          <w:shd w:val="clear" w:color="auto" w:fill="FFFFFF"/>
        </w:rPr>
        <w:t xml:space="preserve">existen </w:t>
      </w:r>
      <w:r>
        <w:rPr>
          <w:rFonts w:ascii="Calibri" w:hAnsi="Calibri" w:cs="Calibri"/>
          <w:color w:val="000000"/>
          <w:shd w:val="clear" w:color="auto" w:fill="FFFFFF"/>
        </w:rPr>
        <w:t>en el derecho comparado</w:t>
      </w:r>
      <w:r w:rsidR="00580562" w:rsidRPr="00580562">
        <w:rPr>
          <w:rFonts w:ascii="Calibri" w:hAnsi="Calibri" w:cs="Calibri"/>
          <w:i/>
        </w:rPr>
        <w:t xml:space="preserve"> </w:t>
      </w:r>
      <w:r w:rsidR="00580562" w:rsidRPr="005C6293">
        <w:rPr>
          <w:rFonts w:ascii="Calibri" w:hAnsi="Calibri" w:cs="Calibri"/>
        </w:rPr>
        <w:t xml:space="preserve">tres modelos diferentes para </w:t>
      </w:r>
      <w:r>
        <w:rPr>
          <w:rFonts w:ascii="Calibri" w:hAnsi="Calibri" w:cs="Calibri"/>
        </w:rPr>
        <w:t xml:space="preserve">que tomen decisiones los </w:t>
      </w:r>
      <w:r w:rsidR="00580562" w:rsidRPr="005C6293">
        <w:rPr>
          <w:rFonts w:ascii="Calibri" w:hAnsi="Calibri" w:cs="Calibri"/>
        </w:rPr>
        <w:t xml:space="preserve">tribunales </w:t>
      </w:r>
      <w:proofErr w:type="spellStart"/>
      <w:r w:rsidR="00580562" w:rsidRPr="005C6293">
        <w:rPr>
          <w:rFonts w:ascii="Calibri" w:hAnsi="Calibri" w:cs="Calibri"/>
        </w:rPr>
        <w:t>pluriindividuales</w:t>
      </w:r>
      <w:proofErr w:type="spellEnd"/>
      <w:r w:rsidR="00580562">
        <w:rPr>
          <w:rFonts w:ascii="Calibri" w:hAnsi="Calibri" w:cs="Calibri"/>
          <w:i/>
        </w:rPr>
        <w:t xml:space="preserve">. </w:t>
      </w:r>
      <w:r w:rsidR="00580562" w:rsidRPr="005C6293">
        <w:rPr>
          <w:rFonts w:ascii="Calibri" w:hAnsi="Calibri" w:cs="Calibri"/>
        </w:rPr>
        <w:t>A saber:</w:t>
      </w:r>
      <w:r w:rsidR="00580562">
        <w:rPr>
          <w:rFonts w:ascii="Calibri" w:hAnsi="Calibri" w:cs="Calibri"/>
          <w:i/>
        </w:rPr>
        <w:t xml:space="preserve"> </w:t>
      </w:r>
    </w:p>
    <w:p w:rsidR="00580562" w:rsidRPr="00580562" w:rsidRDefault="00580562" w:rsidP="00580562">
      <w:pPr>
        <w:pStyle w:val="Prrafodelista"/>
        <w:numPr>
          <w:ilvl w:val="0"/>
          <w:numId w:val="1"/>
        </w:numPr>
        <w:spacing w:line="480" w:lineRule="auto"/>
        <w:jc w:val="both"/>
        <w:rPr>
          <w:rFonts w:ascii="Calibri" w:hAnsi="Calibri" w:cs="Calibri"/>
          <w:color w:val="000000"/>
          <w:shd w:val="clear" w:color="auto" w:fill="FFFFFF"/>
        </w:rPr>
      </w:pPr>
      <w:r w:rsidRPr="0027126D">
        <w:rPr>
          <w:rFonts w:ascii="Calibri" w:hAnsi="Calibri" w:cs="Calibri"/>
          <w:b/>
          <w:i/>
          <w:color w:val="000000"/>
          <w:shd w:val="clear" w:color="auto" w:fill="FFFFFF"/>
        </w:rPr>
        <w:t xml:space="preserve">Per </w:t>
      </w:r>
      <w:proofErr w:type="spellStart"/>
      <w:r w:rsidRPr="0027126D">
        <w:rPr>
          <w:rFonts w:ascii="Calibri" w:hAnsi="Calibri" w:cs="Calibri"/>
          <w:b/>
          <w:i/>
          <w:color w:val="000000"/>
          <w:shd w:val="clear" w:color="auto" w:fill="FFFFFF"/>
        </w:rPr>
        <w:t>Curiam</w:t>
      </w:r>
      <w:proofErr w:type="spellEnd"/>
      <w:r w:rsidR="005C6293">
        <w:rPr>
          <w:rStyle w:val="Refdenotaalpie"/>
          <w:rFonts w:ascii="Calibri" w:hAnsi="Calibri" w:cs="Calibri"/>
          <w:b/>
          <w:i/>
          <w:color w:val="000000"/>
          <w:shd w:val="clear" w:color="auto" w:fill="FFFFFF"/>
        </w:rPr>
        <w:footnoteReference w:id="19"/>
      </w:r>
      <w:r w:rsidRPr="00580562">
        <w:rPr>
          <w:rFonts w:ascii="Calibri" w:hAnsi="Calibri" w:cs="Calibri"/>
          <w:color w:val="000000"/>
          <w:shd w:val="clear" w:color="auto" w:fill="FFFFFF"/>
        </w:rPr>
        <w:t xml:space="preserve">: En este sistema la decisión es tomada por el tribunal en conjunto, sin que pueda identificarse el juez individual que redactó la opinión. Es decir,  en este tipo de resoluciones de tribunales </w:t>
      </w:r>
      <w:r w:rsidR="005C6293">
        <w:rPr>
          <w:rFonts w:ascii="Calibri" w:hAnsi="Calibri" w:cs="Calibri"/>
          <w:color w:val="000000"/>
          <w:shd w:val="clear" w:color="auto" w:fill="FFFFFF"/>
        </w:rPr>
        <w:t>colegiados</w:t>
      </w:r>
      <w:r w:rsidRPr="00580562">
        <w:rPr>
          <w:rFonts w:ascii="Calibri" w:hAnsi="Calibri" w:cs="Calibri"/>
          <w:color w:val="000000"/>
          <w:shd w:val="clear" w:color="auto" w:fill="FFFFFF"/>
        </w:rPr>
        <w:t xml:space="preserve">, </w:t>
      </w:r>
      <w:r w:rsidRPr="0027126D">
        <w:rPr>
          <w:rFonts w:ascii="Calibri" w:hAnsi="Calibri" w:cs="Calibri"/>
        </w:rPr>
        <w:t xml:space="preserve">el razonamiento de derecho </w:t>
      </w:r>
      <w:r w:rsidR="0027126D" w:rsidRPr="0027126D">
        <w:rPr>
          <w:rFonts w:ascii="Calibri" w:hAnsi="Calibri" w:cs="Calibri"/>
        </w:rPr>
        <w:t>que</w:t>
      </w:r>
      <w:r w:rsidRPr="0027126D">
        <w:rPr>
          <w:rFonts w:ascii="Calibri" w:hAnsi="Calibri" w:cs="Calibri"/>
        </w:rPr>
        <w:t xml:space="preserve"> sirve de fundamento al fallo se presenta como razonamiento </w:t>
      </w:r>
      <w:r w:rsidR="0027126D" w:rsidRPr="0027126D">
        <w:rPr>
          <w:rFonts w:ascii="Calibri" w:hAnsi="Calibri" w:cs="Calibri"/>
        </w:rPr>
        <w:t>“del tribunal”</w:t>
      </w:r>
      <w:r w:rsidRPr="0027126D">
        <w:rPr>
          <w:rFonts w:ascii="Calibri" w:hAnsi="Calibri" w:cs="Calibri"/>
        </w:rPr>
        <w:t xml:space="preserve">, sin que se hagan públicas ni la autoría de la redacción, ni las posiciones mantenidas por los jueces en el </w:t>
      </w:r>
      <w:r w:rsidRPr="0027126D">
        <w:rPr>
          <w:rFonts w:ascii="Calibri" w:hAnsi="Calibri" w:cs="Calibri"/>
        </w:rPr>
        <w:lastRenderedPageBreak/>
        <w:t xml:space="preserve">trámite de la votación final. De este modo </w:t>
      </w:r>
      <w:r w:rsidR="005C6293">
        <w:rPr>
          <w:rFonts w:ascii="Calibri" w:hAnsi="Calibri" w:cs="Calibri"/>
        </w:rPr>
        <w:t xml:space="preserve">se da la sensación de que </w:t>
      </w:r>
      <w:r w:rsidRPr="0027126D">
        <w:rPr>
          <w:rFonts w:ascii="Calibri" w:hAnsi="Calibri" w:cs="Calibri"/>
        </w:rPr>
        <w:t>el tribunal tiene voz propia, que no se identifica necesariamente con la de los miembros que lo componen</w:t>
      </w:r>
      <w:r w:rsidR="0027126D">
        <w:rPr>
          <w:rFonts w:ascii="Calibri" w:hAnsi="Calibri" w:cs="Calibri"/>
        </w:rPr>
        <w:t xml:space="preserve">.- </w:t>
      </w:r>
    </w:p>
    <w:p w:rsidR="00580562" w:rsidRPr="00580562" w:rsidRDefault="00580562" w:rsidP="00580562">
      <w:pPr>
        <w:pStyle w:val="Prrafodelista"/>
        <w:numPr>
          <w:ilvl w:val="0"/>
          <w:numId w:val="1"/>
        </w:numPr>
        <w:spacing w:line="480" w:lineRule="auto"/>
        <w:jc w:val="both"/>
        <w:rPr>
          <w:rFonts w:ascii="Calibri" w:hAnsi="Calibri" w:cs="Calibri"/>
          <w:color w:val="000000"/>
          <w:shd w:val="clear" w:color="auto" w:fill="FFFFFF"/>
        </w:rPr>
      </w:pPr>
      <w:proofErr w:type="spellStart"/>
      <w:r w:rsidRPr="0027126D">
        <w:rPr>
          <w:rFonts w:ascii="Calibri" w:hAnsi="Calibri" w:cs="Calibri"/>
          <w:b/>
          <w:i/>
          <w:color w:val="000000"/>
          <w:shd w:val="clear" w:color="auto" w:fill="FFFFFF"/>
        </w:rPr>
        <w:t>Seriatim</w:t>
      </w:r>
      <w:proofErr w:type="spellEnd"/>
      <w:r w:rsidR="0027126D">
        <w:rPr>
          <w:rStyle w:val="Refdenotaalpie"/>
          <w:rFonts w:ascii="Calibri" w:hAnsi="Calibri" w:cs="Calibri"/>
          <w:b/>
          <w:i/>
          <w:color w:val="000000"/>
          <w:shd w:val="clear" w:color="auto" w:fill="FFFFFF"/>
        </w:rPr>
        <w:footnoteReference w:id="20"/>
      </w:r>
      <w:r w:rsidRPr="00580562">
        <w:rPr>
          <w:rFonts w:ascii="Calibri" w:hAnsi="Calibri" w:cs="Calibri"/>
          <w:color w:val="000000"/>
          <w:shd w:val="clear" w:color="auto" w:fill="FFFFFF"/>
        </w:rPr>
        <w:t xml:space="preserve">: En este sistema </w:t>
      </w:r>
      <w:r w:rsidRPr="00580562">
        <w:t>a decisión que se adopta es la que deriva de la sumatoria de votos individuales de los miembros que integran el tribunal. En este tipo de mayorías, materialmente, no hay una opinión del tribunal, sino que cada uno de los jueces —sucesivamente expresa su voto precedido de  su propio argumento que puede o no coincidir con el de los otros miembros del tribunal. Cabe hacer notar que actualmente es el sistema que se aplica por el Superior Tribunal Federal do Brasil</w:t>
      </w:r>
      <w:r w:rsidR="005C6293">
        <w:rPr>
          <w:rStyle w:val="Refdenotaalpie"/>
        </w:rPr>
        <w:footnoteReference w:id="21"/>
      </w:r>
      <w:r w:rsidR="005C6293">
        <w:t>.</w:t>
      </w:r>
    </w:p>
    <w:p w:rsidR="00580562" w:rsidRPr="0027126D" w:rsidRDefault="00580562" w:rsidP="0027126D">
      <w:pPr>
        <w:pStyle w:val="Prrafodelista"/>
        <w:numPr>
          <w:ilvl w:val="0"/>
          <w:numId w:val="1"/>
        </w:numPr>
        <w:spacing w:line="480" w:lineRule="auto"/>
        <w:jc w:val="both"/>
        <w:rPr>
          <w:i/>
        </w:rPr>
      </w:pPr>
      <w:r w:rsidRPr="00580562">
        <w:rPr>
          <w:rFonts w:ascii="Calibri" w:hAnsi="Calibri" w:cs="Calibri"/>
          <w:b/>
          <w:color w:val="000000"/>
          <w:shd w:val="clear" w:color="auto" w:fill="FFFFFF"/>
        </w:rPr>
        <w:t xml:space="preserve">Mixto o híbrido: </w:t>
      </w:r>
      <w:r w:rsidRPr="00580562">
        <w:rPr>
          <w:rFonts w:ascii="Calibri" w:hAnsi="Calibri" w:cs="Calibri"/>
          <w:color w:val="000000"/>
          <w:shd w:val="clear" w:color="auto" w:fill="FFFFFF"/>
        </w:rPr>
        <w:t xml:space="preserve">En el que la sentencia cuenta con una opinión principal del tribunal dictada por el Juez designado y con la posibilidad de que los jueces, cuando así lo entiendan necesario puedan emitir sus propias decisiones por separado. </w:t>
      </w:r>
    </w:p>
    <w:p w:rsidR="000353ED" w:rsidRPr="00D71577" w:rsidRDefault="0027126D" w:rsidP="00D71577">
      <w:pPr>
        <w:spacing w:line="480" w:lineRule="auto"/>
        <w:ind w:firstLine="360"/>
        <w:jc w:val="both"/>
      </w:pPr>
      <w:r>
        <w:t xml:space="preserve">Tomando ello en cuenta,  </w:t>
      </w:r>
      <w:r w:rsidR="00913BEC">
        <w:t xml:space="preserve">puede afirmarse que </w:t>
      </w:r>
      <w:r>
        <w:t xml:space="preserve">en el caso de nuestra Corte Suprema de Justicia de la Nación, se ha seguido el sistema híbrido o mixto. Es que, como expone GOMEZ, </w:t>
      </w:r>
      <w:r>
        <w:rPr>
          <w:i/>
        </w:rPr>
        <w:t>“…</w:t>
      </w:r>
      <w:r w:rsidR="009F6D53">
        <w:rPr>
          <w:i/>
        </w:rPr>
        <w:t xml:space="preserve"> en el ámbito de la Corte Suprema de Justicia de la Nación, las sentencias se redactan en forma impersonal, siendo suscripta por todos los componentes del cuerpo. Sólo las opiniones disidentes son plasmadas en un voto individual, el que a su vez puede también adoptar la forma impersonal, si más de un ministro compartiera  el parecer minoritario (confr. art. 281 CPCCN)….”</w:t>
      </w:r>
      <w:r w:rsidR="009F6D53">
        <w:rPr>
          <w:rStyle w:val="Refdenotaalpie"/>
          <w:i/>
        </w:rPr>
        <w:footnoteReference w:id="22"/>
      </w:r>
      <w:r>
        <w:rPr>
          <w:i/>
        </w:rPr>
        <w:t>.-</w:t>
      </w:r>
    </w:p>
    <w:p w:rsidR="005C6293" w:rsidRDefault="0027126D" w:rsidP="00D71577">
      <w:pPr>
        <w:spacing w:line="480" w:lineRule="auto"/>
        <w:ind w:firstLine="360"/>
        <w:jc w:val="both"/>
        <w:rPr>
          <w:rFonts w:ascii="Calibri" w:hAnsi="Calibri" w:cs="Calibri"/>
        </w:rPr>
      </w:pPr>
      <w:r>
        <w:t>Por otro lado, y en cuanto a la segunda de las cuestiones,</w:t>
      </w:r>
      <w:r w:rsidR="00D71577" w:rsidRPr="00D71577">
        <w:rPr>
          <w:rFonts w:ascii="Calibri" w:hAnsi="Calibri" w:cs="Calibri"/>
          <w:b/>
          <w:color w:val="000000"/>
          <w:shd w:val="clear" w:color="auto" w:fill="FFFFFF"/>
        </w:rPr>
        <w:t xml:space="preserve"> </w:t>
      </w:r>
      <w:r w:rsidR="00D71577" w:rsidRPr="00D71577">
        <w:rPr>
          <w:rFonts w:ascii="Calibri" w:hAnsi="Calibri" w:cs="Calibri"/>
          <w:color w:val="000000"/>
          <w:shd w:val="clear" w:color="auto" w:fill="FFFFFF"/>
        </w:rPr>
        <w:t>c</w:t>
      </w:r>
      <w:r w:rsidR="00D71577" w:rsidRPr="00035B02">
        <w:rPr>
          <w:rFonts w:ascii="Calibri" w:hAnsi="Calibri" w:cs="Calibri"/>
          <w:color w:val="000000"/>
          <w:shd w:val="clear" w:color="auto" w:fill="FFFFFF"/>
        </w:rPr>
        <w:t>uando se dicta sentencia por un Tribunal Colegiado, esto es, c</w:t>
      </w:r>
      <w:r w:rsidR="00D71577" w:rsidRPr="00035B02">
        <w:rPr>
          <w:rFonts w:ascii="Calibri" w:hAnsi="Calibri" w:cs="Calibri"/>
        </w:rPr>
        <w:t>uando la integración de un tribunal es plural, la decisión que adopte puede ser tomada: a) Por unanimidad: En cuyo caso, todos los jueces conc</w:t>
      </w:r>
      <w:r w:rsidR="005C6293">
        <w:rPr>
          <w:rFonts w:ascii="Calibri" w:hAnsi="Calibri" w:cs="Calibri"/>
        </w:rPr>
        <w:t>uerdan en una misma sentencia, caso en el que</w:t>
      </w:r>
      <w:r w:rsidR="00D71577" w:rsidRPr="00035B02">
        <w:rPr>
          <w:rFonts w:ascii="Calibri" w:hAnsi="Calibri" w:cs="Calibri"/>
        </w:rPr>
        <w:t xml:space="preserve"> todos los jueces suscriben o adhieren a un único voto. </w:t>
      </w:r>
    </w:p>
    <w:p w:rsidR="005C6293" w:rsidRDefault="00D71577" w:rsidP="005C6293">
      <w:pPr>
        <w:spacing w:line="480" w:lineRule="auto"/>
        <w:ind w:firstLine="218"/>
        <w:jc w:val="both"/>
        <w:rPr>
          <w:rFonts w:ascii="Calibri" w:hAnsi="Calibri" w:cs="Calibri"/>
        </w:rPr>
      </w:pPr>
      <w:r w:rsidRPr="00035B02">
        <w:rPr>
          <w:rFonts w:ascii="Calibri" w:hAnsi="Calibri" w:cs="Calibri"/>
        </w:rPr>
        <w:lastRenderedPageBreak/>
        <w:t xml:space="preserve">Ahora bien, </w:t>
      </w:r>
      <w:r w:rsidR="005C6293">
        <w:rPr>
          <w:rFonts w:ascii="Calibri" w:hAnsi="Calibri" w:cs="Calibri"/>
        </w:rPr>
        <w:t xml:space="preserve">también puede darse el supuesto en que no exista esa unanimidad.  </w:t>
      </w:r>
      <w:r w:rsidR="00913BEC">
        <w:rPr>
          <w:rFonts w:ascii="Calibri" w:hAnsi="Calibri" w:cs="Calibri"/>
        </w:rPr>
        <w:t>Efectivamente</w:t>
      </w:r>
      <w:r w:rsidR="005C6293">
        <w:rPr>
          <w:rFonts w:ascii="Calibri" w:hAnsi="Calibri" w:cs="Calibri"/>
        </w:rPr>
        <w:t xml:space="preserve">, </w:t>
      </w:r>
      <w:r w:rsidRPr="00035B02">
        <w:rPr>
          <w:rFonts w:ascii="Calibri" w:hAnsi="Calibri" w:cs="Calibri"/>
        </w:rPr>
        <w:t xml:space="preserve">por el solo hecho de tratarse de un tribunal </w:t>
      </w:r>
      <w:r w:rsidR="005C6293">
        <w:rPr>
          <w:rFonts w:ascii="Calibri" w:hAnsi="Calibri" w:cs="Calibri"/>
        </w:rPr>
        <w:t xml:space="preserve">integrado por una pluralidad de </w:t>
      </w:r>
      <w:r w:rsidRPr="00035B02">
        <w:rPr>
          <w:rFonts w:ascii="Calibri" w:hAnsi="Calibri" w:cs="Calibri"/>
        </w:rPr>
        <w:t xml:space="preserve">sujetos </w:t>
      </w:r>
      <w:r w:rsidR="005C6293">
        <w:rPr>
          <w:rFonts w:ascii="Calibri" w:hAnsi="Calibri" w:cs="Calibri"/>
        </w:rPr>
        <w:t>es indudable</w:t>
      </w:r>
      <w:r w:rsidRPr="00035B02">
        <w:rPr>
          <w:rFonts w:ascii="Calibri" w:hAnsi="Calibri" w:cs="Calibri"/>
        </w:rPr>
        <w:t xml:space="preserve"> la posibilidad de un desacuerdo entre sus integrantes. </w:t>
      </w:r>
    </w:p>
    <w:p w:rsidR="0027126D" w:rsidRDefault="00D71577" w:rsidP="005C6293">
      <w:pPr>
        <w:spacing w:line="480" w:lineRule="auto"/>
        <w:ind w:firstLine="218"/>
        <w:jc w:val="both"/>
        <w:rPr>
          <w:i/>
        </w:rPr>
      </w:pPr>
      <w:r w:rsidRPr="00035B02">
        <w:rPr>
          <w:rFonts w:ascii="Calibri" w:hAnsi="Calibri" w:cs="Calibri"/>
        </w:rPr>
        <w:t>Cuando existe desacuerdo</w:t>
      </w:r>
      <w:r>
        <w:rPr>
          <w:rFonts w:ascii="Calibri" w:hAnsi="Calibri" w:cs="Calibri"/>
        </w:rPr>
        <w:t xml:space="preserve"> entre los miembros del tribunal, ¿Cómo se decide</w:t>
      </w:r>
      <w:proofErr w:type="gramStart"/>
      <w:r>
        <w:rPr>
          <w:rFonts w:ascii="Calibri" w:hAnsi="Calibri" w:cs="Calibri"/>
        </w:rPr>
        <w:t>?.</w:t>
      </w:r>
      <w:proofErr w:type="gramEnd"/>
      <w:r>
        <w:rPr>
          <w:rFonts w:ascii="Calibri" w:hAnsi="Calibri" w:cs="Calibri"/>
        </w:rPr>
        <w:t xml:space="preserve"> Al respecto, </w:t>
      </w:r>
      <w:r w:rsidR="0027126D">
        <w:t>ha explicado la doctrina  que “</w:t>
      </w:r>
      <w:r w:rsidR="0027126D">
        <w:rPr>
          <w:i/>
        </w:rPr>
        <w:t>…Cuando un caso debe ser definido por un colegio de jueces, se acepta lo que se denomina “regla de la mayoría”, de acuerdo con la cual, en caso de discrepancia, el caso se define conforme lo vote la mayoría absoluta de sus miembros…”</w:t>
      </w:r>
      <w:r w:rsidR="0027126D">
        <w:rPr>
          <w:rStyle w:val="Refdenotaalpie"/>
          <w:i/>
        </w:rPr>
        <w:footnoteReference w:id="23"/>
      </w:r>
      <w:r w:rsidR="0027126D">
        <w:rPr>
          <w:i/>
        </w:rPr>
        <w:t xml:space="preserve">. </w:t>
      </w:r>
      <w:r w:rsidR="0027126D">
        <w:t xml:space="preserve">Justamente para ello, es que recuerda el maestro ALVARADO </w:t>
      </w:r>
      <w:r w:rsidR="00023A8F">
        <w:t xml:space="preserve">VELLOSO </w:t>
      </w:r>
      <w:r w:rsidR="0027126D">
        <w:t xml:space="preserve">que </w:t>
      </w:r>
      <w:r w:rsidR="0027126D">
        <w:rPr>
          <w:i/>
        </w:rPr>
        <w:t xml:space="preserve">“…una norma implícita que rige inexcusablemente en el mundo que acepta la colegiación </w:t>
      </w:r>
      <w:proofErr w:type="spellStart"/>
      <w:r w:rsidR="0027126D">
        <w:rPr>
          <w:i/>
        </w:rPr>
        <w:t>tribunalicia</w:t>
      </w:r>
      <w:proofErr w:type="spellEnd"/>
      <w:r w:rsidR="0027126D">
        <w:rPr>
          <w:i/>
        </w:rPr>
        <w:t>, determina que sus componentes lo sean en número impar a fin de posibilitar la adecuada formación de una mayoría decisoria que sea absoluta…”</w:t>
      </w:r>
      <w:r w:rsidR="0027126D">
        <w:rPr>
          <w:rStyle w:val="Refdenotaalpie"/>
          <w:i/>
        </w:rPr>
        <w:footnoteReference w:id="24"/>
      </w:r>
    </w:p>
    <w:p w:rsidR="00580562" w:rsidRPr="006C6B92" w:rsidRDefault="00023A8F" w:rsidP="00120060">
      <w:pPr>
        <w:spacing w:line="480" w:lineRule="auto"/>
        <w:ind w:firstLine="708"/>
        <w:jc w:val="both"/>
      </w:pPr>
      <w:r>
        <w:rPr>
          <w:rFonts w:ascii="Calibri" w:hAnsi="Calibri" w:cs="Calibri"/>
          <w:b/>
          <w:color w:val="000000"/>
          <w:shd w:val="clear" w:color="auto" w:fill="FFFFFF"/>
        </w:rPr>
        <w:t xml:space="preserve">III.- </w:t>
      </w:r>
      <w:r w:rsidR="00580562" w:rsidRPr="00035B02">
        <w:rPr>
          <w:rFonts w:ascii="Calibri" w:hAnsi="Calibri" w:cs="Calibri"/>
          <w:b/>
          <w:color w:val="000000"/>
          <w:shd w:val="clear" w:color="auto" w:fill="FFFFFF"/>
        </w:rPr>
        <w:t>Doctrina de la Corte Suprema Nacional en materia de Mayorías concordantes.-</w:t>
      </w:r>
    </w:p>
    <w:p w:rsidR="006C6B92" w:rsidRDefault="006C6B92" w:rsidP="006C6B92">
      <w:pPr>
        <w:spacing w:line="480" w:lineRule="auto"/>
        <w:ind w:firstLine="708"/>
        <w:jc w:val="both"/>
      </w:pPr>
      <w:r>
        <w:t xml:space="preserve">Definido que frente al disenso entre los miembros del tribunal a cargo de dictar la sentencia la causa se resolverá por mayoría, se nos plantea un </w:t>
      </w:r>
      <w:r w:rsidR="0027126D">
        <w:t>nuevo</w:t>
      </w:r>
      <w:r>
        <w:t xml:space="preserve"> interrogante: </w:t>
      </w:r>
    </w:p>
    <w:p w:rsidR="006C6B92" w:rsidRPr="005E0A9F" w:rsidRDefault="006C6B92" w:rsidP="006C6B92">
      <w:pPr>
        <w:spacing w:line="480" w:lineRule="auto"/>
        <w:ind w:firstLine="708"/>
        <w:jc w:val="both"/>
      </w:pPr>
      <w:r w:rsidRPr="005E0A9F">
        <w:t>¿A los fines del dictado de una sentencia válida</w:t>
      </w:r>
      <w:r w:rsidR="0027126D" w:rsidRPr="005E0A9F">
        <w:t xml:space="preserve"> por un tribunal colegiado </w:t>
      </w:r>
      <w:r w:rsidRPr="005E0A9F">
        <w:t xml:space="preserve"> alcanza con que </w:t>
      </w:r>
      <w:r w:rsidR="0027126D" w:rsidRPr="005E0A9F">
        <w:t>l</w:t>
      </w:r>
      <w:r w:rsidRPr="005E0A9F">
        <w:t>a mayoría se limite a</w:t>
      </w:r>
      <w:r w:rsidR="0027126D" w:rsidRPr="005E0A9F">
        <w:t xml:space="preserve"> coincidir en</w:t>
      </w:r>
      <w:r w:rsidRPr="005E0A9F">
        <w:t xml:space="preserve"> la parte dispositiva de l</w:t>
      </w:r>
      <w:r w:rsidR="00023A8F">
        <w:t>a sentencia –mayoría resolutiva</w:t>
      </w:r>
      <w:r w:rsidR="00023A8F">
        <w:rPr>
          <w:rStyle w:val="Refdenotaalpie"/>
          <w:rFonts w:ascii="Calibri" w:hAnsi="Calibri" w:cs="Calibri"/>
          <w:color w:val="000000"/>
          <w:shd w:val="clear" w:color="auto" w:fill="FFFFFF"/>
        </w:rPr>
        <w:footnoteReference w:id="25"/>
      </w:r>
      <w:r w:rsidR="00023A8F">
        <w:t xml:space="preserve">- </w:t>
      </w:r>
      <w:r w:rsidRPr="005E0A9F">
        <w:lastRenderedPageBreak/>
        <w:t xml:space="preserve">, o es menester </w:t>
      </w:r>
      <w:r w:rsidR="0027126D" w:rsidRPr="005E0A9F">
        <w:t xml:space="preserve">también la coincidencia de </w:t>
      </w:r>
      <w:r w:rsidRPr="005E0A9F">
        <w:t>razones esgrimidas por los magistrados para dar sustento a la resolución –mayoría argumenta</w:t>
      </w:r>
      <w:r w:rsidR="00023A8F">
        <w:t>l</w:t>
      </w:r>
      <w:r w:rsidR="00023A8F">
        <w:rPr>
          <w:rStyle w:val="Refdenotaalpie"/>
          <w:rFonts w:ascii="Calibri" w:hAnsi="Calibri" w:cs="Calibri"/>
          <w:color w:val="000000"/>
          <w:shd w:val="clear" w:color="auto" w:fill="FFFFFF"/>
        </w:rPr>
        <w:footnoteReference w:id="26"/>
      </w:r>
      <w:r w:rsidRPr="005E0A9F">
        <w:t>-</w:t>
      </w:r>
      <w:proofErr w:type="gramStart"/>
      <w:r w:rsidRPr="005E0A9F">
        <w:t>?.</w:t>
      </w:r>
      <w:proofErr w:type="gramEnd"/>
      <w:r w:rsidRPr="005E0A9F">
        <w:t xml:space="preserve"> </w:t>
      </w:r>
    </w:p>
    <w:p w:rsidR="00120060" w:rsidRDefault="005349C2" w:rsidP="00120060">
      <w:pPr>
        <w:spacing w:line="480" w:lineRule="auto"/>
        <w:ind w:firstLine="708"/>
        <w:jc w:val="both"/>
        <w:rPr>
          <w:rFonts w:ascii="Calibri" w:hAnsi="Calibri" w:cs="Calibri"/>
          <w:color w:val="000000"/>
          <w:shd w:val="clear" w:color="auto" w:fill="FFFFFF"/>
        </w:rPr>
      </w:pPr>
      <w:r>
        <w:rPr>
          <w:rFonts w:ascii="Calibri" w:hAnsi="Calibri" w:cs="Calibri"/>
          <w:color w:val="000000"/>
          <w:shd w:val="clear" w:color="auto" w:fill="FFFFFF"/>
        </w:rPr>
        <w:t>La Corte Suprema de la Nación ha respondido tal interrogante estableciendo que</w:t>
      </w:r>
      <w:r w:rsidR="006C6B92">
        <w:rPr>
          <w:rFonts w:ascii="Calibri" w:hAnsi="Calibri" w:cs="Calibri"/>
          <w:color w:val="000000"/>
          <w:shd w:val="clear" w:color="auto" w:fill="FFFFFF"/>
        </w:rPr>
        <w:t xml:space="preserve"> </w:t>
      </w:r>
      <w:r w:rsidR="006C6B92">
        <w:rPr>
          <w:rFonts w:ascii="Calibri" w:hAnsi="Calibri" w:cs="Calibri"/>
          <w:i/>
          <w:color w:val="000000"/>
          <w:shd w:val="clear" w:color="auto" w:fill="FFFFFF"/>
        </w:rPr>
        <w:t>“…La sentencia configura un todo indivisible demostrativo de una unidad lógico jurídica y no es sólo el imperio del tribunal ejercido puntualmente en la parte dispositiva lo que da validez y fija sus alcances (CSJN, 5-9-2002, Onofre Francisco R, Fallos 325:2219), ya que estos aspectos dependen también de la motivación que sirven de base a la decisión (CSJN, 27-12-2005, Fontana Alejandro vs Bustos Fierro, Marcelo, Fallos 328:4739)…”</w:t>
      </w:r>
      <w:r w:rsidR="006C6B92">
        <w:rPr>
          <w:rStyle w:val="Refdenotaalpie"/>
          <w:rFonts w:ascii="Calibri" w:hAnsi="Calibri" w:cs="Calibri"/>
          <w:i/>
          <w:color w:val="000000"/>
          <w:shd w:val="clear" w:color="auto" w:fill="FFFFFF"/>
        </w:rPr>
        <w:footnoteReference w:id="27"/>
      </w:r>
      <w:r>
        <w:rPr>
          <w:rFonts w:ascii="Calibri" w:hAnsi="Calibri" w:cs="Calibri"/>
          <w:color w:val="000000"/>
          <w:shd w:val="clear" w:color="auto" w:fill="FFFFFF"/>
        </w:rPr>
        <w:t xml:space="preserve"> </w:t>
      </w:r>
      <w:r w:rsidR="005E0A9F">
        <w:rPr>
          <w:rFonts w:ascii="Calibri" w:hAnsi="Calibri" w:cs="Calibri"/>
          <w:color w:val="000000"/>
          <w:shd w:val="clear" w:color="auto" w:fill="FFFFFF"/>
        </w:rPr>
        <w:t xml:space="preserve">De allí que, </w:t>
      </w:r>
      <w:r w:rsidR="00120060" w:rsidRPr="00023A8F">
        <w:rPr>
          <w:rFonts w:ascii="Calibri" w:hAnsi="Calibri" w:cs="Calibri"/>
          <w:color w:val="000000"/>
          <w:shd w:val="clear" w:color="auto" w:fill="FFFFFF"/>
        </w:rPr>
        <w:t xml:space="preserve">para que haya sentencia válida, al momento de </w:t>
      </w:r>
      <w:r w:rsidRPr="00023A8F">
        <w:rPr>
          <w:rFonts w:ascii="Calibri" w:hAnsi="Calibri" w:cs="Calibri"/>
          <w:color w:val="000000"/>
          <w:shd w:val="clear" w:color="auto" w:fill="FFFFFF"/>
        </w:rPr>
        <w:t>resolver</w:t>
      </w:r>
      <w:r w:rsidR="00120060" w:rsidRPr="00023A8F">
        <w:rPr>
          <w:rFonts w:ascii="Calibri" w:hAnsi="Calibri" w:cs="Calibri"/>
          <w:color w:val="000000"/>
          <w:shd w:val="clear" w:color="auto" w:fill="FFFFFF"/>
        </w:rPr>
        <w:t xml:space="preserve"> no solamente debe haber mayoría de votos en lo que refiere a la decisión, sino también, cuando menos una mayoría argumentativa, es decir, los fundamentos dirimentes de los votos de la mayoría deben ser coincidentes en lo esencial</w:t>
      </w:r>
      <w:r w:rsidR="00120060">
        <w:rPr>
          <w:rStyle w:val="Refdenotaalpie"/>
          <w:rFonts w:ascii="Calibri" w:hAnsi="Calibri" w:cs="Calibri"/>
          <w:color w:val="000000"/>
          <w:shd w:val="clear" w:color="auto" w:fill="FFFFFF"/>
        </w:rPr>
        <w:footnoteReference w:id="28"/>
      </w:r>
      <w:r w:rsidR="00120060">
        <w:rPr>
          <w:rFonts w:ascii="Calibri" w:hAnsi="Calibri" w:cs="Calibri"/>
          <w:color w:val="000000"/>
          <w:shd w:val="clear" w:color="auto" w:fill="FFFFFF"/>
        </w:rPr>
        <w:t xml:space="preserve">.  </w:t>
      </w:r>
    </w:p>
    <w:p w:rsidR="005E0A9F" w:rsidRDefault="00120060" w:rsidP="00120060">
      <w:pPr>
        <w:spacing w:line="480" w:lineRule="auto"/>
        <w:ind w:firstLine="708"/>
        <w:jc w:val="both"/>
        <w:rPr>
          <w:rFonts w:ascii="Calibri" w:hAnsi="Calibri" w:cs="Calibri"/>
          <w:color w:val="000000"/>
          <w:shd w:val="clear" w:color="auto" w:fill="FFFFFF"/>
        </w:rPr>
      </w:pPr>
      <w:r w:rsidRPr="00035B02">
        <w:rPr>
          <w:rFonts w:ascii="Calibri" w:hAnsi="Calibri" w:cs="Calibri"/>
          <w:color w:val="000000"/>
          <w:shd w:val="clear" w:color="auto" w:fill="FFFFFF"/>
        </w:rPr>
        <w:t>Es</w:t>
      </w:r>
      <w:r>
        <w:rPr>
          <w:rFonts w:ascii="Calibri" w:hAnsi="Calibri" w:cs="Calibri"/>
          <w:color w:val="000000"/>
          <w:shd w:val="clear" w:color="auto" w:fill="FFFFFF"/>
        </w:rPr>
        <w:t xml:space="preserve">ta doctrina </w:t>
      </w:r>
      <w:r w:rsidRPr="00035B02">
        <w:rPr>
          <w:rFonts w:ascii="Calibri" w:hAnsi="Calibri" w:cs="Calibri"/>
          <w:color w:val="000000"/>
          <w:shd w:val="clear" w:color="auto" w:fill="FFFFFF"/>
        </w:rPr>
        <w:t>no es de tan larga data</w:t>
      </w:r>
      <w:r>
        <w:rPr>
          <w:rFonts w:ascii="Calibri" w:hAnsi="Calibri" w:cs="Calibri"/>
          <w:color w:val="000000"/>
          <w:shd w:val="clear" w:color="auto" w:fill="FFFFFF"/>
        </w:rPr>
        <w:t>, ni surgió de manera espontánea y completa. Por el contrario, se fue moldeando a lo largo del tiempo</w:t>
      </w:r>
      <w:r w:rsidR="005E0A9F">
        <w:rPr>
          <w:rFonts w:ascii="Calibri" w:hAnsi="Calibri" w:cs="Calibri"/>
          <w:color w:val="000000"/>
          <w:shd w:val="clear" w:color="auto" w:fill="FFFFFF"/>
        </w:rPr>
        <w:t>, llegando en la actualidad a constituir una doctrina consolidada, pero que, como se verá más adelante, no siempre es cumplida por la propia Corte Suprema  nacional.</w:t>
      </w:r>
    </w:p>
    <w:p w:rsidR="00C04DF2" w:rsidRDefault="00340FF8" w:rsidP="005349C2">
      <w:pPr>
        <w:spacing w:line="480" w:lineRule="auto"/>
        <w:ind w:firstLine="708"/>
        <w:jc w:val="both"/>
        <w:rPr>
          <w:rFonts w:ascii="Calibri" w:hAnsi="Calibri" w:cs="Calibri"/>
          <w:i/>
          <w:color w:val="000000"/>
          <w:shd w:val="clear" w:color="auto" w:fill="FFFFFF"/>
        </w:rPr>
      </w:pPr>
      <w:r>
        <w:rPr>
          <w:rFonts w:ascii="Calibri" w:hAnsi="Calibri" w:cs="Calibri"/>
          <w:color w:val="000000"/>
          <w:shd w:val="clear" w:color="auto" w:fill="FFFFFF"/>
        </w:rPr>
        <w:t>En efecto,</w:t>
      </w:r>
      <w:r w:rsidR="00C04DF2">
        <w:rPr>
          <w:rFonts w:ascii="Calibri" w:hAnsi="Calibri" w:cs="Calibri"/>
          <w:color w:val="000000"/>
          <w:shd w:val="clear" w:color="auto" w:fill="FFFFFF"/>
        </w:rPr>
        <w:t xml:space="preserve"> recuerda SARRABAYROUSE, </w:t>
      </w:r>
      <w:r w:rsidR="00C04DF2">
        <w:rPr>
          <w:rFonts w:ascii="Calibri" w:hAnsi="Calibri" w:cs="Calibri"/>
          <w:i/>
          <w:color w:val="000000"/>
          <w:shd w:val="clear" w:color="auto" w:fill="FFFFFF"/>
        </w:rPr>
        <w:t xml:space="preserve">“…durante largo tiempo, la Corte consideró el tema de las mayorías argumentativas como ajeno a su competencia o, al menos, entendió </w:t>
      </w:r>
      <w:r w:rsidR="00C04DF2">
        <w:rPr>
          <w:rFonts w:ascii="Calibri" w:hAnsi="Calibri" w:cs="Calibri"/>
          <w:i/>
          <w:color w:val="000000"/>
          <w:shd w:val="clear" w:color="auto" w:fill="FFFFFF"/>
        </w:rPr>
        <w:lastRenderedPageBreak/>
        <w:t xml:space="preserve">posible la coexistencia de razonamientos diferentes, en tanto fueran suficientes para sustentar la sentencia recurrida. De este modo, en el caso “Elba del Rosario Rodríguez Sánchez de </w:t>
      </w:r>
      <w:proofErr w:type="spellStart"/>
      <w:r w:rsidR="00C04DF2">
        <w:rPr>
          <w:rFonts w:ascii="Calibri" w:hAnsi="Calibri" w:cs="Calibri"/>
          <w:i/>
          <w:color w:val="000000"/>
          <w:shd w:val="clear" w:color="auto" w:fill="FFFFFF"/>
        </w:rPr>
        <w:t>Caracciolo</w:t>
      </w:r>
      <w:proofErr w:type="spellEnd"/>
      <w:proofErr w:type="gramStart"/>
      <w:r w:rsidR="00C04DF2">
        <w:rPr>
          <w:rFonts w:ascii="Calibri" w:hAnsi="Calibri" w:cs="Calibri"/>
          <w:i/>
          <w:color w:val="000000"/>
          <w:shd w:val="clear" w:color="auto" w:fill="FFFFFF"/>
        </w:rPr>
        <w:t>”(</w:t>
      </w:r>
      <w:proofErr w:type="gramEnd"/>
      <w:r w:rsidR="00C04DF2">
        <w:rPr>
          <w:rFonts w:ascii="Calibri" w:hAnsi="Calibri" w:cs="Calibri"/>
          <w:i/>
          <w:color w:val="000000"/>
          <w:shd w:val="clear" w:color="auto" w:fill="FFFFFF"/>
        </w:rPr>
        <w:t>Fallos CSN, 253:181) del 29 de junio de 1962), estableció que las sentencias judiciales “…deben declarar el derecho que rige el caso, derivando razonadamente su solución concreta de los preceptos y principios que integran el ordenamiento jurídico vigente…”. Sin embargo, esta regla no impedía la posibilidad de la existencia de más de una norma general “…conducente para el fallo de la causa, ni es óbice para la viabilidad de razonamientos corroborantes sucesivos de una única solución individual del caso. Tal posibilidad no es extraña a la jurisprudencia de esta Corte, con arreglo a la cual la corrección o irreversibilidad de una cualquiera de las fundamentaciones legales concordantes admitidas, es bastante para sustentar el pronunciamiento recurrido…”</w:t>
      </w:r>
      <w:r w:rsidR="00C04DF2">
        <w:rPr>
          <w:rStyle w:val="Refdenotaalpie"/>
          <w:rFonts w:ascii="Calibri" w:hAnsi="Calibri" w:cs="Calibri"/>
          <w:i/>
          <w:color w:val="000000"/>
          <w:shd w:val="clear" w:color="auto" w:fill="FFFFFF"/>
        </w:rPr>
        <w:footnoteReference w:id="29"/>
      </w:r>
      <w:r w:rsidR="00B311CC">
        <w:rPr>
          <w:rFonts w:ascii="Calibri" w:hAnsi="Calibri" w:cs="Calibri"/>
          <w:i/>
          <w:color w:val="000000"/>
          <w:shd w:val="clear" w:color="auto" w:fill="FFFFFF"/>
        </w:rPr>
        <w:t xml:space="preserve">. </w:t>
      </w:r>
    </w:p>
    <w:p w:rsidR="00BE36C5" w:rsidRDefault="005E0A9F" w:rsidP="005349C2">
      <w:pPr>
        <w:spacing w:line="480" w:lineRule="auto"/>
        <w:ind w:firstLine="708"/>
        <w:jc w:val="both"/>
        <w:rPr>
          <w:rFonts w:ascii="Calibri" w:hAnsi="Calibri" w:cs="Calibri"/>
          <w:color w:val="000000"/>
          <w:shd w:val="clear" w:color="auto" w:fill="FFFFFF"/>
        </w:rPr>
      </w:pPr>
      <w:r>
        <w:rPr>
          <w:rFonts w:ascii="Calibri" w:hAnsi="Calibri" w:cs="Calibri"/>
          <w:color w:val="000000"/>
          <w:shd w:val="clear" w:color="auto" w:fill="FFFFFF"/>
        </w:rPr>
        <w:t xml:space="preserve">De esta manera, </w:t>
      </w:r>
      <w:r w:rsidR="00EE4719">
        <w:rPr>
          <w:rFonts w:ascii="Calibri" w:hAnsi="Calibri" w:cs="Calibri"/>
          <w:color w:val="000000"/>
          <w:shd w:val="clear" w:color="auto" w:fill="FFFFFF"/>
        </w:rPr>
        <w:t>durante décadas y</w:t>
      </w:r>
      <w:r w:rsidR="00BE36C5">
        <w:rPr>
          <w:rFonts w:ascii="Calibri" w:hAnsi="Calibri" w:cs="Calibri"/>
          <w:color w:val="000000"/>
          <w:shd w:val="clear" w:color="auto" w:fill="FFFFFF"/>
        </w:rPr>
        <w:t xml:space="preserve"> como regla, la Corte se mostr</w:t>
      </w:r>
      <w:r w:rsidR="00023A8F">
        <w:rPr>
          <w:rFonts w:ascii="Calibri" w:hAnsi="Calibri" w:cs="Calibri"/>
          <w:color w:val="000000"/>
          <w:shd w:val="clear" w:color="auto" w:fill="FFFFFF"/>
        </w:rPr>
        <w:t>ó</w:t>
      </w:r>
      <w:r w:rsidR="00BE36C5">
        <w:rPr>
          <w:rFonts w:ascii="Calibri" w:hAnsi="Calibri" w:cs="Calibri"/>
          <w:color w:val="000000"/>
          <w:shd w:val="clear" w:color="auto" w:fill="FFFFFF"/>
        </w:rPr>
        <w:t xml:space="preserve"> cautelosa en relación con ciertas cuestiones formales de las sentencias, como las relativas al modo de emitir el voto en los tribunales colegiados, por entender que eran cuestiones de naturaleza procesal, por ende, </w:t>
      </w:r>
      <w:r w:rsidR="005349C2">
        <w:rPr>
          <w:rFonts w:ascii="Calibri" w:hAnsi="Calibri" w:cs="Calibri"/>
          <w:color w:val="000000"/>
          <w:shd w:val="clear" w:color="auto" w:fill="FFFFFF"/>
        </w:rPr>
        <w:t>ajen</w:t>
      </w:r>
      <w:r>
        <w:rPr>
          <w:rFonts w:ascii="Calibri" w:hAnsi="Calibri" w:cs="Calibri"/>
          <w:color w:val="000000"/>
          <w:shd w:val="clear" w:color="auto" w:fill="FFFFFF"/>
        </w:rPr>
        <w:t>a</w:t>
      </w:r>
      <w:r w:rsidR="005349C2">
        <w:rPr>
          <w:rFonts w:ascii="Calibri" w:hAnsi="Calibri" w:cs="Calibri"/>
          <w:color w:val="000000"/>
          <w:shd w:val="clear" w:color="auto" w:fill="FFFFFF"/>
        </w:rPr>
        <w:t xml:space="preserve">s </w:t>
      </w:r>
      <w:r w:rsidR="00BE36C5">
        <w:rPr>
          <w:rFonts w:ascii="Calibri" w:hAnsi="Calibri" w:cs="Calibri"/>
          <w:color w:val="000000"/>
          <w:shd w:val="clear" w:color="auto" w:fill="FFFFFF"/>
        </w:rPr>
        <w:t>a la apelación del art. 14 de la ley 48</w:t>
      </w:r>
      <w:r w:rsidR="00BE36C5">
        <w:rPr>
          <w:rStyle w:val="Refdenotaalpie"/>
          <w:rFonts w:ascii="Calibri" w:hAnsi="Calibri" w:cs="Calibri"/>
          <w:color w:val="000000"/>
          <w:shd w:val="clear" w:color="auto" w:fill="FFFFFF"/>
        </w:rPr>
        <w:footnoteReference w:id="30"/>
      </w:r>
      <w:r>
        <w:rPr>
          <w:rFonts w:ascii="Calibri" w:hAnsi="Calibri" w:cs="Calibri"/>
          <w:color w:val="000000"/>
          <w:shd w:val="clear" w:color="auto" w:fill="FFFFFF"/>
        </w:rPr>
        <w:t xml:space="preserve">. Consecuentemente, sólo era admisible </w:t>
      </w:r>
      <w:r w:rsidR="005349C2">
        <w:rPr>
          <w:rFonts w:ascii="Calibri" w:hAnsi="Calibri" w:cs="Calibri"/>
          <w:color w:val="000000"/>
          <w:shd w:val="clear" w:color="auto" w:fill="FFFFFF"/>
        </w:rPr>
        <w:t>tal vía recursiva</w:t>
      </w:r>
      <w:r w:rsidR="00277F1C">
        <w:rPr>
          <w:rFonts w:ascii="Calibri" w:hAnsi="Calibri" w:cs="Calibri"/>
          <w:color w:val="000000"/>
          <w:shd w:val="clear" w:color="auto" w:fill="FFFFFF"/>
        </w:rPr>
        <w:t xml:space="preserve"> en situaciones excepcionales, como</w:t>
      </w:r>
      <w:r w:rsidR="000E5DF3">
        <w:rPr>
          <w:rFonts w:ascii="Calibri" w:hAnsi="Calibri" w:cs="Calibri"/>
          <w:color w:val="000000"/>
          <w:shd w:val="clear" w:color="auto" w:fill="FFFFFF"/>
        </w:rPr>
        <w:t>, por ejemplo,</w:t>
      </w:r>
      <w:r w:rsidR="005349C2">
        <w:rPr>
          <w:rFonts w:ascii="Calibri" w:hAnsi="Calibri" w:cs="Calibri"/>
          <w:color w:val="000000"/>
          <w:shd w:val="clear" w:color="auto" w:fill="FFFFFF"/>
        </w:rPr>
        <w:t xml:space="preserve"> cuando no se respetaba la exigencia de redacción individual de los votos</w:t>
      </w:r>
      <w:r w:rsidR="00BE36C5">
        <w:rPr>
          <w:rStyle w:val="Refdenotaalpie"/>
          <w:rFonts w:ascii="Calibri" w:hAnsi="Calibri" w:cs="Calibri"/>
          <w:color w:val="000000"/>
          <w:shd w:val="clear" w:color="auto" w:fill="FFFFFF"/>
        </w:rPr>
        <w:footnoteReference w:id="31"/>
      </w:r>
      <w:r w:rsidR="00BE36C5">
        <w:rPr>
          <w:rFonts w:ascii="Calibri" w:hAnsi="Calibri" w:cs="Calibri"/>
          <w:color w:val="000000"/>
          <w:shd w:val="clear" w:color="auto" w:fill="FFFFFF"/>
        </w:rPr>
        <w:t xml:space="preserve"> </w:t>
      </w:r>
      <w:r>
        <w:rPr>
          <w:rFonts w:ascii="Calibri" w:hAnsi="Calibri" w:cs="Calibri"/>
          <w:color w:val="000000"/>
          <w:shd w:val="clear" w:color="auto" w:fill="FFFFFF"/>
        </w:rPr>
        <w:t>, o cuando la sentencia había sido dictada sin la pertinente deliberación previa entre los miembros del tribunal</w:t>
      </w:r>
      <w:r>
        <w:rPr>
          <w:rStyle w:val="Refdenotaalpie"/>
          <w:rFonts w:ascii="Calibri" w:hAnsi="Calibri" w:cs="Calibri"/>
          <w:color w:val="000000"/>
          <w:shd w:val="clear" w:color="auto" w:fill="FFFFFF"/>
        </w:rPr>
        <w:footnoteReference w:id="32"/>
      </w:r>
      <w:r w:rsidR="00277F1C">
        <w:rPr>
          <w:rFonts w:ascii="Calibri" w:hAnsi="Calibri" w:cs="Calibri"/>
          <w:color w:val="000000"/>
          <w:shd w:val="clear" w:color="auto" w:fill="FFFFFF"/>
        </w:rPr>
        <w:t>, etc.</w:t>
      </w:r>
    </w:p>
    <w:p w:rsidR="007D1472" w:rsidRDefault="00277F1C" w:rsidP="007D1472">
      <w:pPr>
        <w:spacing w:line="480" w:lineRule="auto"/>
        <w:ind w:firstLine="708"/>
        <w:jc w:val="both"/>
        <w:rPr>
          <w:rFonts w:ascii="Calibri" w:hAnsi="Calibri" w:cs="Calibri"/>
          <w:color w:val="000000"/>
          <w:shd w:val="clear" w:color="auto" w:fill="FFFFFF"/>
        </w:rPr>
      </w:pPr>
      <w:r>
        <w:rPr>
          <w:rFonts w:ascii="Calibri" w:hAnsi="Calibri" w:cs="Calibri"/>
          <w:color w:val="000000"/>
          <w:shd w:val="clear" w:color="auto" w:fill="FFFFFF"/>
        </w:rPr>
        <w:lastRenderedPageBreak/>
        <w:t>Tal criterio restrictivo comienza a cambiar</w:t>
      </w:r>
      <w:r w:rsidR="007D1472">
        <w:rPr>
          <w:rFonts w:ascii="Calibri" w:hAnsi="Calibri" w:cs="Calibri"/>
          <w:color w:val="000000"/>
          <w:shd w:val="clear" w:color="auto" w:fill="FFFFFF"/>
        </w:rPr>
        <w:t xml:space="preserve"> </w:t>
      </w:r>
      <w:r w:rsidR="00D53417">
        <w:rPr>
          <w:rFonts w:ascii="Calibri" w:hAnsi="Calibri" w:cs="Calibri"/>
          <w:color w:val="000000"/>
          <w:shd w:val="clear" w:color="auto" w:fill="FFFFFF"/>
        </w:rPr>
        <w:t xml:space="preserve">tímidamente en los albores de la década de 1980 cuando la Corte Suprema comienza a sostener </w:t>
      </w:r>
      <w:r w:rsidR="00023A8F">
        <w:rPr>
          <w:rFonts w:ascii="Calibri" w:hAnsi="Calibri" w:cs="Calibri"/>
          <w:color w:val="000000"/>
          <w:shd w:val="clear" w:color="auto" w:fill="FFFFFF"/>
        </w:rPr>
        <w:t xml:space="preserve">en “ETCHEVERE” </w:t>
      </w:r>
      <w:r w:rsidR="00D53417">
        <w:rPr>
          <w:rFonts w:ascii="Calibri" w:hAnsi="Calibri" w:cs="Calibri"/>
          <w:color w:val="000000"/>
          <w:shd w:val="clear" w:color="auto" w:fill="FFFFFF"/>
        </w:rPr>
        <w:t xml:space="preserve">que </w:t>
      </w:r>
      <w:r w:rsidR="00D53417">
        <w:rPr>
          <w:rFonts w:ascii="Calibri" w:hAnsi="Calibri" w:cs="Calibri"/>
          <w:i/>
          <w:color w:val="000000"/>
          <w:shd w:val="clear" w:color="auto" w:fill="FFFFFF"/>
        </w:rPr>
        <w:t>“…Corresponde dejar sin efecto la sentencia de cámara que –al declarar la nulidad parcial de la primera instancia- no cuenta con dos opiniones sustancialmente coincidentes en su fundamentación, sino tres distintas. Ello así, pues si bien es cierto que el tercer voto aclara en su párrafo final que, teniendo el tribunal la obligación de pronunciarse, presta su adhesión al primero por encontrarse más próximo a sus conclusiones esta manifestación carece de virtualidad para constituir mayoría, toda vez que aparece como una afirmación producto de la mera voluntad del magistrado, contraria, por lo demás, a su propio convencimiento y a la conclusión razonada a que antes había llevado…”</w:t>
      </w:r>
      <w:r w:rsidR="00EE4719">
        <w:rPr>
          <w:rStyle w:val="Refdenotaalpie"/>
          <w:rFonts w:ascii="Calibri" w:hAnsi="Calibri" w:cs="Calibri"/>
          <w:i/>
          <w:color w:val="000000"/>
          <w:shd w:val="clear" w:color="auto" w:fill="FFFFFF"/>
        </w:rPr>
        <w:footnoteReference w:id="33"/>
      </w:r>
      <w:r w:rsidR="00EE4719">
        <w:rPr>
          <w:rFonts w:ascii="Calibri" w:hAnsi="Calibri" w:cs="Calibri"/>
          <w:i/>
          <w:color w:val="000000"/>
          <w:shd w:val="clear" w:color="auto" w:fill="FFFFFF"/>
        </w:rPr>
        <w:t xml:space="preserve">, </w:t>
      </w:r>
      <w:r w:rsidR="00EE4719">
        <w:rPr>
          <w:rFonts w:ascii="Calibri" w:hAnsi="Calibri" w:cs="Calibri"/>
          <w:color w:val="000000"/>
          <w:shd w:val="clear" w:color="auto" w:fill="FFFFFF"/>
        </w:rPr>
        <w:t>se acentúa dicho criterio</w:t>
      </w:r>
      <w:r w:rsidR="00D53417">
        <w:rPr>
          <w:rFonts w:ascii="Calibri" w:hAnsi="Calibri" w:cs="Calibri"/>
          <w:color w:val="000000"/>
          <w:shd w:val="clear" w:color="auto" w:fill="FFFFFF"/>
        </w:rPr>
        <w:t xml:space="preserve"> </w:t>
      </w:r>
      <w:r w:rsidR="007D1472">
        <w:rPr>
          <w:rFonts w:ascii="Calibri" w:hAnsi="Calibri" w:cs="Calibri"/>
          <w:color w:val="000000"/>
          <w:shd w:val="clear" w:color="auto" w:fill="FFFFFF"/>
        </w:rPr>
        <w:t>cuando en el año 1983 la Corte se pronuncia in re “</w:t>
      </w:r>
      <w:r w:rsidR="00EE4719">
        <w:rPr>
          <w:rFonts w:ascii="Calibri" w:hAnsi="Calibri" w:cs="Calibri"/>
          <w:color w:val="000000"/>
          <w:shd w:val="clear" w:color="auto" w:fill="FFFFFF"/>
        </w:rPr>
        <w:t>ARAUJO</w:t>
      </w:r>
      <w:r w:rsidR="007D1472">
        <w:rPr>
          <w:rFonts w:ascii="Calibri" w:hAnsi="Calibri" w:cs="Calibri"/>
          <w:color w:val="000000"/>
          <w:shd w:val="clear" w:color="auto" w:fill="FFFFFF"/>
        </w:rPr>
        <w:t>”</w:t>
      </w:r>
      <w:r w:rsidR="000B547A">
        <w:rPr>
          <w:rFonts w:ascii="Calibri" w:hAnsi="Calibri" w:cs="Calibri"/>
          <w:color w:val="000000"/>
          <w:shd w:val="clear" w:color="auto" w:fill="FFFFFF"/>
        </w:rPr>
        <w:t>. Es que en dicha causa, la Corte asentándose en lo dispuesto en ETCHEVEHERE</w:t>
      </w:r>
      <w:r w:rsidR="007D1472">
        <w:rPr>
          <w:rFonts w:ascii="Calibri" w:hAnsi="Calibri" w:cs="Calibri"/>
          <w:color w:val="000000"/>
          <w:shd w:val="clear" w:color="auto" w:fill="FFFFFF"/>
        </w:rPr>
        <w:t xml:space="preserve">,  </w:t>
      </w:r>
      <w:r w:rsidR="000B547A">
        <w:rPr>
          <w:rFonts w:ascii="Calibri" w:hAnsi="Calibri" w:cs="Calibri"/>
          <w:color w:val="000000"/>
          <w:shd w:val="clear" w:color="auto" w:fill="FFFFFF"/>
        </w:rPr>
        <w:t>resuelve</w:t>
      </w:r>
      <w:r w:rsidR="007D1472">
        <w:rPr>
          <w:rFonts w:ascii="Calibri" w:hAnsi="Calibri" w:cs="Calibri"/>
          <w:color w:val="000000"/>
          <w:shd w:val="clear" w:color="auto" w:fill="FFFFFF"/>
        </w:rPr>
        <w:t xml:space="preserve"> que </w:t>
      </w:r>
      <w:r w:rsidR="007D1472">
        <w:rPr>
          <w:rFonts w:ascii="Calibri" w:hAnsi="Calibri" w:cs="Calibri"/>
          <w:i/>
          <w:color w:val="000000"/>
          <w:shd w:val="clear" w:color="auto" w:fill="FFFFFF"/>
        </w:rPr>
        <w:t>“…Si del análisis de los votos de los jueces de la Sala se desprende que no hay dos opiniones sustancialmente coincidentes sobre la solución del problema cabe hacer excepción al principio según el cual el modo de emitir el voto en los tribunales colegiados y lo atinente a las formalidades de la sentencia son materia ajena al recurso extraordinario, pues aquella circunstancia invalida la decisión tomada…”</w:t>
      </w:r>
      <w:r w:rsidR="007D1472">
        <w:rPr>
          <w:rFonts w:ascii="Calibri" w:hAnsi="Calibri" w:cs="Calibri"/>
          <w:color w:val="000000"/>
          <w:shd w:val="clear" w:color="auto" w:fill="FFFFFF"/>
        </w:rPr>
        <w:t xml:space="preserve"> </w:t>
      </w:r>
      <w:r w:rsidR="00EE4719">
        <w:rPr>
          <w:rStyle w:val="Refdenotaalpie"/>
          <w:rFonts w:ascii="Calibri" w:hAnsi="Calibri" w:cs="Calibri"/>
          <w:color w:val="000000"/>
          <w:shd w:val="clear" w:color="auto" w:fill="FFFFFF"/>
        </w:rPr>
        <w:footnoteReference w:id="34"/>
      </w:r>
      <w:r w:rsidR="007D1472">
        <w:rPr>
          <w:rFonts w:ascii="Calibri" w:hAnsi="Calibri" w:cs="Calibri"/>
          <w:color w:val="000000"/>
          <w:shd w:val="clear" w:color="auto" w:fill="FFFFFF"/>
        </w:rPr>
        <w:t xml:space="preserve">. </w:t>
      </w:r>
      <w:r w:rsidR="00023A8F">
        <w:rPr>
          <w:rFonts w:ascii="Calibri" w:hAnsi="Calibri" w:cs="Calibri"/>
          <w:color w:val="000000"/>
          <w:shd w:val="clear" w:color="auto" w:fill="FFFFFF"/>
        </w:rPr>
        <w:t xml:space="preserve"> Tal es, </w:t>
      </w:r>
      <w:r w:rsidR="00C876D9">
        <w:rPr>
          <w:rFonts w:ascii="Calibri" w:hAnsi="Calibri" w:cs="Calibri"/>
          <w:color w:val="000000"/>
          <w:shd w:val="clear" w:color="auto" w:fill="FFFFFF"/>
        </w:rPr>
        <w:t>al decir de</w:t>
      </w:r>
      <w:r w:rsidR="00023A8F">
        <w:rPr>
          <w:rFonts w:ascii="Calibri" w:hAnsi="Calibri" w:cs="Calibri"/>
          <w:color w:val="000000"/>
          <w:shd w:val="clear" w:color="auto" w:fill="FFFFFF"/>
        </w:rPr>
        <w:t xml:space="preserve"> </w:t>
      </w:r>
      <w:r w:rsidR="00C876D9">
        <w:rPr>
          <w:rFonts w:ascii="Calibri" w:hAnsi="Calibri" w:cs="Calibri"/>
          <w:color w:val="000000"/>
          <w:shd w:val="clear" w:color="auto" w:fill="FFFFFF"/>
        </w:rPr>
        <w:t>importantes autores</w:t>
      </w:r>
      <w:r w:rsidR="00023A8F">
        <w:rPr>
          <w:rStyle w:val="Refdenotaalpie"/>
          <w:rFonts w:ascii="Calibri" w:hAnsi="Calibri" w:cs="Calibri"/>
          <w:color w:val="000000"/>
          <w:shd w:val="clear" w:color="auto" w:fill="FFFFFF"/>
        </w:rPr>
        <w:footnoteReference w:id="35"/>
      </w:r>
      <w:r w:rsidR="00023A8F">
        <w:rPr>
          <w:rFonts w:ascii="Calibri" w:hAnsi="Calibri" w:cs="Calibri"/>
          <w:color w:val="000000"/>
          <w:shd w:val="clear" w:color="auto" w:fill="FFFFFF"/>
        </w:rPr>
        <w:t xml:space="preserve">, </w:t>
      </w:r>
      <w:r w:rsidR="000B547A">
        <w:rPr>
          <w:rFonts w:ascii="Calibri" w:hAnsi="Calibri" w:cs="Calibri"/>
          <w:color w:val="000000"/>
          <w:shd w:val="clear" w:color="auto" w:fill="FFFFFF"/>
        </w:rPr>
        <w:t xml:space="preserve"> el puntapié inicial de la doctrina objeto del presente trabajo.</w:t>
      </w:r>
    </w:p>
    <w:p w:rsidR="00D71577" w:rsidRPr="00035B02" w:rsidRDefault="00D71577" w:rsidP="00D71577">
      <w:pPr>
        <w:spacing w:line="480" w:lineRule="auto"/>
        <w:ind w:firstLine="708"/>
        <w:jc w:val="both"/>
        <w:rPr>
          <w:rFonts w:ascii="Calibri" w:hAnsi="Calibri" w:cs="Calibri"/>
          <w:i/>
          <w:color w:val="000000"/>
          <w:shd w:val="clear" w:color="auto" w:fill="FFFFFF"/>
        </w:rPr>
      </w:pPr>
      <w:r>
        <w:rPr>
          <w:rFonts w:ascii="Calibri" w:hAnsi="Calibri" w:cs="Calibri"/>
          <w:color w:val="000000"/>
          <w:shd w:val="clear" w:color="auto" w:fill="FFFFFF"/>
        </w:rPr>
        <w:t xml:space="preserve">A partir de dicho precedente, </w:t>
      </w:r>
      <w:r w:rsidRPr="00035B02">
        <w:rPr>
          <w:rFonts w:ascii="Calibri" w:hAnsi="Calibri" w:cs="Calibri"/>
          <w:i/>
          <w:color w:val="000000"/>
          <w:shd w:val="clear" w:color="auto" w:fill="FFFFFF"/>
        </w:rPr>
        <w:t xml:space="preserve">“…la Corte Suprema “ha exigido que los tribunales colegiados exhiban en sus decisiones </w:t>
      </w:r>
      <w:r w:rsidRPr="00035B02">
        <w:rPr>
          <w:rFonts w:ascii="Calibri" w:hAnsi="Calibri" w:cs="Calibri"/>
          <w:color w:val="000000"/>
          <w:shd w:val="clear" w:color="auto" w:fill="FFFFFF"/>
        </w:rPr>
        <w:t xml:space="preserve"> </w:t>
      </w:r>
      <w:r w:rsidRPr="00035B02">
        <w:rPr>
          <w:rFonts w:ascii="Calibri" w:hAnsi="Calibri" w:cs="Calibri"/>
          <w:i/>
          <w:color w:val="000000"/>
          <w:shd w:val="clear" w:color="auto" w:fill="FFFFFF"/>
        </w:rPr>
        <w:t>mayorías “argumentativas”, o, en sus propias palabras, una “comunidad de argumentos” entre las opiniones de las diferentes juezas y jueces profesionales…”</w:t>
      </w:r>
      <w:r w:rsidRPr="00035B02">
        <w:rPr>
          <w:rStyle w:val="Refdenotaalpie"/>
          <w:rFonts w:ascii="Calibri" w:hAnsi="Calibri" w:cs="Calibri"/>
          <w:i/>
          <w:color w:val="000000"/>
          <w:shd w:val="clear" w:color="auto" w:fill="FFFFFF"/>
        </w:rPr>
        <w:footnoteReference w:id="36"/>
      </w:r>
      <w:r w:rsidRPr="00035B02">
        <w:rPr>
          <w:rFonts w:ascii="Calibri" w:hAnsi="Calibri" w:cs="Calibri"/>
          <w:i/>
          <w:color w:val="000000"/>
          <w:shd w:val="clear" w:color="auto" w:fill="FFFFFF"/>
        </w:rPr>
        <w:t xml:space="preserve">. </w:t>
      </w:r>
    </w:p>
    <w:p w:rsidR="00033CBF" w:rsidRDefault="007D1472" w:rsidP="007D1472">
      <w:pPr>
        <w:spacing w:line="480" w:lineRule="auto"/>
        <w:ind w:firstLine="708"/>
        <w:jc w:val="both"/>
        <w:rPr>
          <w:rFonts w:ascii="Calibri" w:hAnsi="Calibri" w:cs="Calibri"/>
          <w:color w:val="000000"/>
          <w:shd w:val="clear" w:color="auto" w:fill="FFFFFF"/>
        </w:rPr>
      </w:pPr>
      <w:r>
        <w:rPr>
          <w:rFonts w:ascii="Calibri" w:hAnsi="Calibri" w:cs="Calibri"/>
          <w:color w:val="000000"/>
          <w:shd w:val="clear" w:color="auto" w:fill="FFFFFF"/>
        </w:rPr>
        <w:lastRenderedPageBreak/>
        <w:t>Esa nueva postura de la Corte</w:t>
      </w:r>
      <w:r w:rsidR="002C596A">
        <w:rPr>
          <w:rFonts w:ascii="Calibri" w:hAnsi="Calibri" w:cs="Calibri"/>
          <w:color w:val="000000"/>
          <w:shd w:val="clear" w:color="auto" w:fill="FFFFFF"/>
        </w:rPr>
        <w:t xml:space="preserve"> </w:t>
      </w:r>
      <w:r>
        <w:rPr>
          <w:rFonts w:ascii="Calibri" w:hAnsi="Calibri" w:cs="Calibri"/>
          <w:color w:val="000000"/>
          <w:shd w:val="clear" w:color="auto" w:fill="FFFFFF"/>
        </w:rPr>
        <w:t xml:space="preserve"> </w:t>
      </w:r>
      <w:r w:rsidR="002C596A">
        <w:rPr>
          <w:rFonts w:ascii="Calibri" w:hAnsi="Calibri" w:cs="Calibri"/>
          <w:color w:val="000000"/>
          <w:shd w:val="clear" w:color="auto" w:fill="FFFFFF"/>
        </w:rPr>
        <w:t xml:space="preserve">Suprema </w:t>
      </w:r>
      <w:r>
        <w:rPr>
          <w:rFonts w:ascii="Calibri" w:hAnsi="Calibri" w:cs="Calibri"/>
          <w:color w:val="000000"/>
          <w:shd w:val="clear" w:color="auto" w:fill="FFFFFF"/>
        </w:rPr>
        <w:t xml:space="preserve"> </w:t>
      </w:r>
      <w:r w:rsidR="002C596A">
        <w:rPr>
          <w:rFonts w:ascii="Calibri" w:hAnsi="Calibri" w:cs="Calibri"/>
          <w:color w:val="000000"/>
          <w:shd w:val="clear" w:color="auto" w:fill="FFFFFF"/>
        </w:rPr>
        <w:t xml:space="preserve">fue reiterada en diversos precedentes </w:t>
      </w:r>
      <w:r w:rsidR="00D71577">
        <w:rPr>
          <w:rFonts w:ascii="Calibri" w:hAnsi="Calibri" w:cs="Calibri"/>
          <w:color w:val="000000"/>
          <w:shd w:val="clear" w:color="auto" w:fill="FFFFFF"/>
        </w:rPr>
        <w:t xml:space="preserve">–y con diversas integraciones de la Corte Suprema- </w:t>
      </w:r>
      <w:proofErr w:type="spellStart"/>
      <w:r w:rsidR="0035058B">
        <w:rPr>
          <w:rFonts w:ascii="Calibri" w:hAnsi="Calibri" w:cs="Calibri"/>
          <w:color w:val="000000"/>
          <w:shd w:val="clear" w:color="auto" w:fill="FFFFFF"/>
        </w:rPr>
        <w:t>vgr</w:t>
      </w:r>
      <w:proofErr w:type="spellEnd"/>
      <w:r w:rsidR="0035058B">
        <w:rPr>
          <w:rFonts w:ascii="Calibri" w:hAnsi="Calibri" w:cs="Calibri"/>
          <w:color w:val="000000"/>
          <w:shd w:val="clear" w:color="auto" w:fill="FFFFFF"/>
        </w:rPr>
        <w:t>. “</w:t>
      </w:r>
      <w:r w:rsidR="000B547A">
        <w:rPr>
          <w:rFonts w:ascii="Calibri" w:hAnsi="Calibri" w:cs="Calibri"/>
          <w:color w:val="000000"/>
          <w:shd w:val="clear" w:color="auto" w:fill="FFFFFF"/>
        </w:rPr>
        <w:t>LACONI</w:t>
      </w:r>
      <w:r w:rsidR="002C596A">
        <w:rPr>
          <w:rFonts w:ascii="Calibri" w:hAnsi="Calibri" w:cs="Calibri"/>
          <w:color w:val="000000"/>
          <w:shd w:val="clear" w:color="auto" w:fill="FFFFFF"/>
        </w:rPr>
        <w:t>”</w:t>
      </w:r>
      <w:r w:rsidR="002C596A">
        <w:rPr>
          <w:rStyle w:val="Refdenotaalpie"/>
          <w:rFonts w:ascii="Calibri" w:hAnsi="Calibri" w:cs="Calibri"/>
          <w:color w:val="000000"/>
          <w:shd w:val="clear" w:color="auto" w:fill="FFFFFF"/>
        </w:rPr>
        <w:footnoteReference w:id="37"/>
      </w:r>
      <w:r w:rsidR="002C596A">
        <w:rPr>
          <w:rFonts w:ascii="Calibri" w:hAnsi="Calibri" w:cs="Calibri"/>
          <w:color w:val="000000"/>
          <w:shd w:val="clear" w:color="auto" w:fill="FFFFFF"/>
        </w:rPr>
        <w:t xml:space="preserve"> (1989), </w:t>
      </w:r>
      <w:r w:rsidR="000922F8">
        <w:rPr>
          <w:rFonts w:ascii="Calibri" w:hAnsi="Calibri" w:cs="Calibri"/>
          <w:color w:val="000000"/>
          <w:shd w:val="clear" w:color="auto" w:fill="FFFFFF"/>
        </w:rPr>
        <w:t xml:space="preserve">OBLAK </w:t>
      </w:r>
      <w:proofErr w:type="spellStart"/>
      <w:r w:rsidR="000922F8">
        <w:rPr>
          <w:rFonts w:ascii="Calibri" w:hAnsi="Calibri" w:cs="Calibri"/>
          <w:color w:val="000000"/>
          <w:shd w:val="clear" w:color="auto" w:fill="FFFFFF"/>
        </w:rPr>
        <w:t>Hnos</w:t>
      </w:r>
      <w:proofErr w:type="spellEnd"/>
      <w:r w:rsidR="000922F8">
        <w:rPr>
          <w:rStyle w:val="Refdenotaalpie"/>
          <w:rFonts w:ascii="Calibri" w:hAnsi="Calibri" w:cs="Calibri"/>
          <w:color w:val="000000"/>
          <w:shd w:val="clear" w:color="auto" w:fill="FFFFFF"/>
        </w:rPr>
        <w:footnoteReference w:id="38"/>
      </w:r>
      <w:r w:rsidR="000922F8">
        <w:rPr>
          <w:rFonts w:ascii="Calibri" w:hAnsi="Calibri" w:cs="Calibri"/>
          <w:color w:val="000000"/>
          <w:shd w:val="clear" w:color="auto" w:fill="FFFFFF"/>
        </w:rPr>
        <w:t xml:space="preserve"> (2009), </w:t>
      </w:r>
      <w:r w:rsidR="000B547A">
        <w:rPr>
          <w:rFonts w:ascii="Calibri" w:hAnsi="Calibri" w:cs="Calibri"/>
          <w:color w:val="000000"/>
          <w:shd w:val="clear" w:color="auto" w:fill="FFFFFF"/>
        </w:rPr>
        <w:t>ERASO</w:t>
      </w:r>
      <w:r w:rsidR="002C596A">
        <w:rPr>
          <w:rStyle w:val="Refdenotaalpie"/>
          <w:rFonts w:ascii="Calibri" w:hAnsi="Calibri" w:cs="Calibri"/>
          <w:color w:val="000000"/>
          <w:shd w:val="clear" w:color="auto" w:fill="FFFFFF"/>
        </w:rPr>
        <w:footnoteReference w:id="39"/>
      </w:r>
      <w:r w:rsidR="002C596A">
        <w:rPr>
          <w:rFonts w:ascii="Calibri" w:hAnsi="Calibri" w:cs="Calibri"/>
          <w:color w:val="000000"/>
          <w:shd w:val="clear" w:color="auto" w:fill="FFFFFF"/>
        </w:rPr>
        <w:t xml:space="preserve"> (2012), </w:t>
      </w:r>
      <w:r w:rsidR="000B547A">
        <w:rPr>
          <w:rFonts w:ascii="Calibri" w:hAnsi="Calibri" w:cs="Calibri"/>
          <w:color w:val="000000"/>
          <w:shd w:val="clear" w:color="auto" w:fill="FFFFFF"/>
        </w:rPr>
        <w:t>DI ROCCO</w:t>
      </w:r>
      <w:r w:rsidR="006D35E8">
        <w:rPr>
          <w:rFonts w:ascii="Calibri" w:hAnsi="Calibri" w:cs="Calibri"/>
          <w:color w:val="000000"/>
          <w:shd w:val="clear" w:color="auto" w:fill="FFFFFF"/>
        </w:rPr>
        <w:t xml:space="preserve"> VANELLA </w:t>
      </w:r>
      <w:r w:rsidR="002C596A">
        <w:rPr>
          <w:rStyle w:val="Refdenotaalpie"/>
          <w:rFonts w:ascii="Calibri" w:hAnsi="Calibri" w:cs="Calibri"/>
          <w:color w:val="000000"/>
          <w:shd w:val="clear" w:color="auto" w:fill="FFFFFF"/>
        </w:rPr>
        <w:footnoteReference w:id="40"/>
      </w:r>
      <w:r w:rsidR="002C596A">
        <w:rPr>
          <w:rFonts w:ascii="Calibri" w:hAnsi="Calibri" w:cs="Calibri"/>
          <w:color w:val="000000"/>
          <w:shd w:val="clear" w:color="auto" w:fill="FFFFFF"/>
        </w:rPr>
        <w:t xml:space="preserve"> (2014), </w:t>
      </w:r>
      <w:r w:rsidR="000B547A">
        <w:rPr>
          <w:rFonts w:ascii="Calibri" w:hAnsi="Calibri" w:cs="Calibri"/>
          <w:color w:val="000000"/>
          <w:shd w:val="clear" w:color="auto" w:fill="FFFFFF"/>
        </w:rPr>
        <w:t>PETTY</w:t>
      </w:r>
      <w:r w:rsidR="002C596A">
        <w:rPr>
          <w:rStyle w:val="Refdenotaalpie"/>
          <w:rFonts w:ascii="Calibri" w:hAnsi="Calibri" w:cs="Calibri"/>
          <w:color w:val="000000"/>
          <w:shd w:val="clear" w:color="auto" w:fill="FFFFFF"/>
        </w:rPr>
        <w:footnoteReference w:id="41"/>
      </w:r>
      <w:r w:rsidR="002C596A">
        <w:rPr>
          <w:rFonts w:ascii="Calibri" w:hAnsi="Calibri" w:cs="Calibri"/>
          <w:color w:val="000000"/>
          <w:shd w:val="clear" w:color="auto" w:fill="FFFFFF"/>
        </w:rPr>
        <w:t xml:space="preserve"> (2015), </w:t>
      </w:r>
      <w:r w:rsidR="000B547A">
        <w:rPr>
          <w:rFonts w:ascii="Calibri" w:hAnsi="Calibri" w:cs="Calibri"/>
          <w:color w:val="000000"/>
          <w:shd w:val="clear" w:color="auto" w:fill="FFFFFF"/>
        </w:rPr>
        <w:t>VILLALBA</w:t>
      </w:r>
      <w:r w:rsidR="002C596A">
        <w:rPr>
          <w:rStyle w:val="Refdenotaalpie"/>
          <w:rFonts w:ascii="Calibri" w:hAnsi="Calibri" w:cs="Calibri"/>
          <w:color w:val="000000"/>
          <w:shd w:val="clear" w:color="auto" w:fill="FFFFFF"/>
        </w:rPr>
        <w:footnoteReference w:id="42"/>
      </w:r>
      <w:r w:rsidR="005C6293">
        <w:rPr>
          <w:rFonts w:ascii="Calibri" w:hAnsi="Calibri" w:cs="Calibri"/>
          <w:color w:val="000000"/>
          <w:shd w:val="clear" w:color="auto" w:fill="FFFFFF"/>
        </w:rPr>
        <w:t xml:space="preserve"> (2016</w:t>
      </w:r>
      <w:proofErr w:type="gramStart"/>
      <w:r w:rsidR="005C6293">
        <w:rPr>
          <w:rFonts w:ascii="Calibri" w:hAnsi="Calibri" w:cs="Calibri"/>
          <w:color w:val="000000"/>
          <w:shd w:val="clear" w:color="auto" w:fill="FFFFFF"/>
        </w:rPr>
        <w:t>)</w:t>
      </w:r>
      <w:r w:rsidR="00D71577">
        <w:rPr>
          <w:rFonts w:ascii="Calibri" w:hAnsi="Calibri" w:cs="Calibri"/>
          <w:color w:val="000000"/>
          <w:shd w:val="clear" w:color="auto" w:fill="FFFFFF"/>
        </w:rPr>
        <w:t xml:space="preserve"> ,</w:t>
      </w:r>
      <w:proofErr w:type="gramEnd"/>
      <w:r w:rsidR="00D71577">
        <w:rPr>
          <w:rFonts w:ascii="Calibri" w:hAnsi="Calibri" w:cs="Calibri"/>
          <w:color w:val="000000"/>
          <w:shd w:val="clear" w:color="auto" w:fill="FFFFFF"/>
        </w:rPr>
        <w:t xml:space="preserve"> </w:t>
      </w:r>
      <w:r w:rsidR="00D342DD">
        <w:rPr>
          <w:rFonts w:ascii="Calibri" w:hAnsi="Calibri" w:cs="Calibri"/>
          <w:color w:val="000000"/>
          <w:shd w:val="clear" w:color="auto" w:fill="FFFFFF"/>
        </w:rPr>
        <w:t>“COSSIO”</w:t>
      </w:r>
      <w:r w:rsidR="00D342DD">
        <w:rPr>
          <w:rStyle w:val="Refdenotaalpie"/>
          <w:rFonts w:ascii="Calibri" w:hAnsi="Calibri" w:cs="Calibri"/>
          <w:color w:val="000000"/>
          <w:shd w:val="clear" w:color="auto" w:fill="FFFFFF"/>
        </w:rPr>
        <w:footnoteReference w:id="43"/>
      </w:r>
      <w:r w:rsidR="00D342DD">
        <w:rPr>
          <w:rFonts w:ascii="Calibri" w:hAnsi="Calibri" w:cs="Calibri"/>
          <w:color w:val="000000"/>
          <w:shd w:val="clear" w:color="auto" w:fill="FFFFFF"/>
        </w:rPr>
        <w:t xml:space="preserve"> (2018) </w:t>
      </w:r>
      <w:proofErr w:type="spellStart"/>
      <w:r w:rsidR="00D71577">
        <w:rPr>
          <w:rFonts w:ascii="Calibri" w:hAnsi="Calibri" w:cs="Calibri"/>
          <w:color w:val="000000"/>
          <w:shd w:val="clear" w:color="auto" w:fill="FFFFFF"/>
        </w:rPr>
        <w:t>etc</w:t>
      </w:r>
      <w:proofErr w:type="spellEnd"/>
      <w:r w:rsidR="00D71577">
        <w:rPr>
          <w:rFonts w:ascii="Calibri" w:hAnsi="Calibri" w:cs="Calibri"/>
          <w:color w:val="000000"/>
          <w:shd w:val="clear" w:color="auto" w:fill="FFFFFF"/>
        </w:rPr>
        <w:t xml:space="preserve">, aunque, cabe resaltar, por lo general lo hizo con escasa argumentación, que se limitaba, </w:t>
      </w:r>
      <w:r w:rsidR="00033CBF">
        <w:rPr>
          <w:rFonts w:ascii="Calibri" w:hAnsi="Calibri" w:cs="Calibri"/>
          <w:color w:val="000000"/>
          <w:shd w:val="clear" w:color="auto" w:fill="FFFFFF"/>
        </w:rPr>
        <w:t xml:space="preserve">a admitir los recursos extraordinarios adhiriendo </w:t>
      </w:r>
      <w:r w:rsidR="000B547A">
        <w:rPr>
          <w:rFonts w:ascii="Calibri" w:hAnsi="Calibri" w:cs="Calibri"/>
          <w:color w:val="000000"/>
          <w:shd w:val="clear" w:color="auto" w:fill="FFFFFF"/>
        </w:rPr>
        <w:t>a</w:t>
      </w:r>
      <w:r w:rsidR="00033CBF">
        <w:rPr>
          <w:rFonts w:ascii="Calibri" w:hAnsi="Calibri" w:cs="Calibri"/>
          <w:color w:val="000000"/>
          <w:shd w:val="clear" w:color="auto" w:fill="FFFFFF"/>
        </w:rPr>
        <w:t xml:space="preserve"> dictámenes del procurador, </w:t>
      </w:r>
      <w:r w:rsidR="000B547A">
        <w:rPr>
          <w:rFonts w:ascii="Calibri" w:hAnsi="Calibri" w:cs="Calibri"/>
          <w:color w:val="000000"/>
          <w:shd w:val="clear" w:color="auto" w:fill="FFFFFF"/>
        </w:rPr>
        <w:t>y/o directamente remitiendo</w:t>
      </w:r>
      <w:r w:rsidR="00033CBF">
        <w:rPr>
          <w:rFonts w:ascii="Calibri" w:hAnsi="Calibri" w:cs="Calibri"/>
          <w:color w:val="000000"/>
          <w:shd w:val="clear" w:color="auto" w:fill="FFFFFF"/>
        </w:rPr>
        <w:t xml:space="preserve"> a “</w:t>
      </w:r>
      <w:r w:rsidR="00D342DD">
        <w:rPr>
          <w:rFonts w:ascii="Calibri" w:hAnsi="Calibri" w:cs="Calibri"/>
          <w:color w:val="000000"/>
          <w:shd w:val="clear" w:color="auto" w:fill="FFFFFF"/>
        </w:rPr>
        <w:t>LACONI</w:t>
      </w:r>
      <w:r w:rsidR="00033CBF">
        <w:rPr>
          <w:rFonts w:ascii="Calibri" w:hAnsi="Calibri" w:cs="Calibri"/>
          <w:color w:val="000000"/>
          <w:shd w:val="clear" w:color="auto" w:fill="FFFFFF"/>
        </w:rPr>
        <w:t>”</w:t>
      </w:r>
      <w:r w:rsidR="000B547A">
        <w:rPr>
          <w:rStyle w:val="Refdenotaalpie"/>
          <w:rFonts w:ascii="Calibri" w:hAnsi="Calibri" w:cs="Calibri"/>
          <w:color w:val="000000"/>
          <w:shd w:val="clear" w:color="auto" w:fill="FFFFFF"/>
        </w:rPr>
        <w:footnoteReference w:id="44"/>
      </w:r>
      <w:r w:rsidR="00033CBF">
        <w:rPr>
          <w:rFonts w:ascii="Calibri" w:hAnsi="Calibri" w:cs="Calibri"/>
          <w:color w:val="000000"/>
          <w:shd w:val="clear" w:color="auto" w:fill="FFFFFF"/>
        </w:rPr>
        <w:t xml:space="preserve"> y posteriormente a “</w:t>
      </w:r>
      <w:r w:rsidR="000B547A">
        <w:rPr>
          <w:rFonts w:ascii="Calibri" w:hAnsi="Calibri" w:cs="Calibri"/>
          <w:color w:val="000000"/>
          <w:shd w:val="clear" w:color="auto" w:fill="FFFFFF"/>
        </w:rPr>
        <w:t>ERASO</w:t>
      </w:r>
      <w:r w:rsidR="00033CBF">
        <w:rPr>
          <w:rFonts w:ascii="Calibri" w:hAnsi="Calibri" w:cs="Calibri"/>
          <w:color w:val="000000"/>
          <w:shd w:val="clear" w:color="auto" w:fill="FFFFFF"/>
        </w:rPr>
        <w:t>”</w:t>
      </w:r>
      <w:r w:rsidR="000B547A">
        <w:rPr>
          <w:rStyle w:val="Refdenotaalpie"/>
          <w:rFonts w:ascii="Calibri" w:hAnsi="Calibri" w:cs="Calibri"/>
          <w:color w:val="000000"/>
          <w:shd w:val="clear" w:color="auto" w:fill="FFFFFF"/>
        </w:rPr>
        <w:footnoteReference w:id="45"/>
      </w:r>
      <w:r w:rsidR="00033CBF">
        <w:rPr>
          <w:rFonts w:ascii="Calibri" w:hAnsi="Calibri" w:cs="Calibri"/>
          <w:color w:val="000000"/>
          <w:shd w:val="clear" w:color="auto" w:fill="FFFFFF"/>
        </w:rPr>
        <w:t xml:space="preserve">. </w:t>
      </w:r>
    </w:p>
    <w:p w:rsidR="007D1472" w:rsidRDefault="00033CBF" w:rsidP="007D1472">
      <w:pPr>
        <w:spacing w:line="480" w:lineRule="auto"/>
        <w:ind w:firstLine="708"/>
        <w:jc w:val="both"/>
        <w:rPr>
          <w:rFonts w:ascii="Calibri" w:hAnsi="Calibri" w:cs="Calibri"/>
          <w:i/>
          <w:color w:val="000000"/>
          <w:shd w:val="clear" w:color="auto" w:fill="FFFFFF"/>
        </w:rPr>
      </w:pPr>
      <w:r>
        <w:rPr>
          <w:rFonts w:ascii="Calibri" w:hAnsi="Calibri" w:cs="Calibri"/>
          <w:color w:val="000000"/>
          <w:shd w:val="clear" w:color="auto" w:fill="FFFFFF"/>
        </w:rPr>
        <w:t xml:space="preserve">Tal modalidad </w:t>
      </w:r>
      <w:r w:rsidR="002622A6">
        <w:rPr>
          <w:rFonts w:ascii="Calibri" w:hAnsi="Calibri" w:cs="Calibri"/>
          <w:color w:val="000000"/>
          <w:shd w:val="clear" w:color="auto" w:fill="FFFFFF"/>
        </w:rPr>
        <w:t>de argumentación a través de la simple remisión a precedente</w:t>
      </w:r>
      <w:r w:rsidR="00C876D9">
        <w:rPr>
          <w:rFonts w:ascii="Calibri" w:hAnsi="Calibri" w:cs="Calibri"/>
          <w:color w:val="000000"/>
          <w:shd w:val="clear" w:color="auto" w:fill="FFFFFF"/>
        </w:rPr>
        <w:t xml:space="preserve">s anteriores </w:t>
      </w:r>
      <w:r>
        <w:rPr>
          <w:rFonts w:ascii="Calibri" w:hAnsi="Calibri" w:cs="Calibri"/>
          <w:color w:val="000000"/>
          <w:shd w:val="clear" w:color="auto" w:fill="FFFFFF"/>
        </w:rPr>
        <w:t xml:space="preserve">se ve modificada in re </w:t>
      </w:r>
      <w:r w:rsidR="001A0FD4">
        <w:rPr>
          <w:rFonts w:ascii="Calibri" w:hAnsi="Calibri" w:cs="Calibri"/>
          <w:color w:val="000000"/>
          <w:shd w:val="clear" w:color="auto" w:fill="FFFFFF"/>
        </w:rPr>
        <w:t>“OLIVERA RÓVERE”</w:t>
      </w:r>
      <w:r>
        <w:rPr>
          <w:rStyle w:val="Refdenotaalpie"/>
          <w:rFonts w:ascii="Calibri" w:hAnsi="Calibri" w:cs="Calibri"/>
          <w:color w:val="000000"/>
          <w:shd w:val="clear" w:color="auto" w:fill="FFFFFF"/>
        </w:rPr>
        <w:footnoteReference w:id="46"/>
      </w:r>
      <w:r>
        <w:rPr>
          <w:rFonts w:ascii="Calibri" w:hAnsi="Calibri" w:cs="Calibri"/>
          <w:color w:val="000000"/>
          <w:shd w:val="clear" w:color="auto" w:fill="FFFFFF"/>
        </w:rPr>
        <w:t xml:space="preserve">, </w:t>
      </w:r>
      <w:r w:rsidR="00913BEC">
        <w:rPr>
          <w:rFonts w:ascii="Calibri" w:hAnsi="Calibri" w:cs="Calibri"/>
          <w:color w:val="000000"/>
          <w:shd w:val="clear" w:color="auto" w:fill="FFFFFF"/>
        </w:rPr>
        <w:t xml:space="preserve">en la que </w:t>
      </w:r>
      <w:r w:rsidR="002622A6">
        <w:rPr>
          <w:rFonts w:ascii="Calibri" w:hAnsi="Calibri" w:cs="Calibri"/>
          <w:color w:val="000000"/>
          <w:shd w:val="clear" w:color="auto" w:fill="FFFFFF"/>
        </w:rPr>
        <w:t xml:space="preserve">la Corte Suprema </w:t>
      </w:r>
      <w:r w:rsidR="002622A6">
        <w:rPr>
          <w:rFonts w:ascii="Calibri" w:hAnsi="Calibri" w:cs="Calibri"/>
          <w:i/>
          <w:color w:val="000000"/>
          <w:shd w:val="clear" w:color="auto" w:fill="FFFFFF"/>
        </w:rPr>
        <w:t>“…al resolver desarrolló acabadamente los argumentos por los cuales dejó sin efecto la sentencia apelada</w:t>
      </w:r>
      <w:r w:rsidR="00D71577">
        <w:rPr>
          <w:rFonts w:ascii="Calibri" w:hAnsi="Calibri" w:cs="Calibri"/>
          <w:i/>
          <w:color w:val="000000"/>
          <w:shd w:val="clear" w:color="auto" w:fill="FFFFFF"/>
        </w:rPr>
        <w:t>…”</w:t>
      </w:r>
      <w:r w:rsidR="00D71577">
        <w:rPr>
          <w:rStyle w:val="Refdenotaalpie"/>
          <w:rFonts w:ascii="Calibri" w:hAnsi="Calibri" w:cs="Calibri"/>
          <w:i/>
          <w:color w:val="000000"/>
          <w:shd w:val="clear" w:color="auto" w:fill="FFFFFF"/>
        </w:rPr>
        <w:footnoteReference w:id="47"/>
      </w:r>
      <w:r w:rsidR="00D71577">
        <w:rPr>
          <w:rFonts w:ascii="Calibri" w:hAnsi="Calibri" w:cs="Calibri"/>
          <w:i/>
          <w:color w:val="000000"/>
          <w:shd w:val="clear" w:color="auto" w:fill="FFFFFF"/>
        </w:rPr>
        <w:t>.</w:t>
      </w:r>
    </w:p>
    <w:p w:rsidR="00D71577" w:rsidRDefault="00D71577" w:rsidP="007D1472">
      <w:pPr>
        <w:spacing w:line="480" w:lineRule="auto"/>
        <w:ind w:firstLine="708"/>
        <w:jc w:val="both"/>
        <w:rPr>
          <w:rFonts w:ascii="Calibri" w:hAnsi="Calibri" w:cs="Calibri"/>
          <w:color w:val="000000"/>
          <w:shd w:val="clear" w:color="auto" w:fill="FFFFFF"/>
        </w:rPr>
      </w:pPr>
      <w:r>
        <w:rPr>
          <w:rFonts w:ascii="Calibri" w:hAnsi="Calibri" w:cs="Calibri"/>
          <w:color w:val="000000"/>
          <w:shd w:val="clear" w:color="auto" w:fill="FFFFFF"/>
        </w:rPr>
        <w:t xml:space="preserve">De hecho, a partir de tal  precedente, </w:t>
      </w:r>
      <w:r w:rsidR="00D342DD">
        <w:rPr>
          <w:rFonts w:ascii="Calibri" w:hAnsi="Calibri" w:cs="Calibri"/>
          <w:color w:val="000000"/>
          <w:shd w:val="clear" w:color="auto" w:fill="FFFFFF"/>
        </w:rPr>
        <w:t>y salvo excepciones</w:t>
      </w:r>
      <w:r w:rsidR="00D342DD">
        <w:rPr>
          <w:rStyle w:val="Refdenotaalpie"/>
          <w:rFonts w:ascii="Calibri" w:hAnsi="Calibri" w:cs="Calibri"/>
          <w:color w:val="000000"/>
          <w:shd w:val="clear" w:color="auto" w:fill="FFFFFF"/>
        </w:rPr>
        <w:footnoteReference w:id="48"/>
      </w:r>
      <w:r w:rsidR="00D342DD">
        <w:rPr>
          <w:rFonts w:ascii="Calibri" w:hAnsi="Calibri" w:cs="Calibri"/>
          <w:color w:val="000000"/>
          <w:shd w:val="clear" w:color="auto" w:fill="FFFFFF"/>
        </w:rPr>
        <w:t xml:space="preserve">, ha sido usual en </w:t>
      </w:r>
      <w:r>
        <w:rPr>
          <w:rFonts w:ascii="Calibri" w:hAnsi="Calibri" w:cs="Calibri"/>
          <w:color w:val="000000"/>
          <w:shd w:val="clear" w:color="auto" w:fill="FFFFFF"/>
        </w:rPr>
        <w:t>casos posteriores –</w:t>
      </w:r>
      <w:proofErr w:type="spellStart"/>
      <w:r>
        <w:rPr>
          <w:rFonts w:ascii="Calibri" w:hAnsi="Calibri" w:cs="Calibri"/>
          <w:color w:val="000000"/>
          <w:shd w:val="clear" w:color="auto" w:fill="FFFFFF"/>
        </w:rPr>
        <w:t>vgr</w:t>
      </w:r>
      <w:proofErr w:type="spellEnd"/>
      <w:r>
        <w:rPr>
          <w:rFonts w:ascii="Calibri" w:hAnsi="Calibri" w:cs="Calibri"/>
          <w:color w:val="000000"/>
          <w:shd w:val="clear" w:color="auto" w:fill="FFFFFF"/>
        </w:rPr>
        <w:t xml:space="preserve">. </w:t>
      </w:r>
      <w:r w:rsidR="000B547A">
        <w:rPr>
          <w:rFonts w:ascii="Calibri" w:hAnsi="Calibri" w:cs="Calibri"/>
          <w:color w:val="000000"/>
          <w:shd w:val="clear" w:color="auto" w:fill="FFFFFF"/>
        </w:rPr>
        <w:t xml:space="preserve">Voto en minoría del Dr. </w:t>
      </w:r>
      <w:proofErr w:type="spellStart"/>
      <w:r w:rsidR="000B547A">
        <w:rPr>
          <w:rFonts w:ascii="Calibri" w:hAnsi="Calibri" w:cs="Calibri"/>
          <w:color w:val="000000"/>
          <w:shd w:val="clear" w:color="auto" w:fill="FFFFFF"/>
        </w:rPr>
        <w:t>Rosatti</w:t>
      </w:r>
      <w:proofErr w:type="spellEnd"/>
      <w:r w:rsidR="000B547A">
        <w:rPr>
          <w:rFonts w:ascii="Calibri" w:hAnsi="Calibri" w:cs="Calibri"/>
          <w:color w:val="000000"/>
          <w:shd w:val="clear" w:color="auto" w:fill="FFFFFF"/>
        </w:rPr>
        <w:t xml:space="preserve"> in re “ANSELMI”</w:t>
      </w:r>
      <w:r w:rsidR="000B547A">
        <w:rPr>
          <w:rStyle w:val="Refdenotaalpie"/>
          <w:rFonts w:ascii="Calibri" w:hAnsi="Calibri" w:cs="Calibri"/>
          <w:color w:val="000000"/>
          <w:shd w:val="clear" w:color="auto" w:fill="FFFFFF"/>
        </w:rPr>
        <w:footnoteReference w:id="49"/>
      </w:r>
      <w:r w:rsidR="000B547A">
        <w:rPr>
          <w:rFonts w:ascii="Calibri" w:hAnsi="Calibri" w:cs="Calibri"/>
          <w:color w:val="000000"/>
          <w:shd w:val="clear" w:color="auto" w:fill="FFFFFF"/>
        </w:rPr>
        <w:t xml:space="preserve">, </w:t>
      </w:r>
      <w:r w:rsidR="001A0FD4">
        <w:rPr>
          <w:rFonts w:ascii="Calibri" w:hAnsi="Calibri" w:cs="Calibri"/>
          <w:color w:val="000000"/>
          <w:shd w:val="clear" w:color="auto" w:fill="FFFFFF"/>
        </w:rPr>
        <w:t>“CAÑETE”</w:t>
      </w:r>
      <w:r>
        <w:rPr>
          <w:rStyle w:val="Refdenotaalpie"/>
          <w:rFonts w:ascii="Calibri" w:hAnsi="Calibri" w:cs="Calibri"/>
          <w:color w:val="000000"/>
          <w:shd w:val="clear" w:color="auto" w:fill="FFFFFF"/>
        </w:rPr>
        <w:footnoteReference w:id="50"/>
      </w:r>
      <w:r w:rsidR="001A0FD4">
        <w:rPr>
          <w:rFonts w:ascii="Calibri" w:hAnsi="Calibri" w:cs="Calibri"/>
          <w:color w:val="000000"/>
          <w:shd w:val="clear" w:color="auto" w:fill="FFFFFF"/>
        </w:rPr>
        <w:t xml:space="preserve"> y </w:t>
      </w:r>
      <w:r w:rsidR="001A0FD4">
        <w:rPr>
          <w:rFonts w:ascii="Calibri" w:hAnsi="Calibri" w:cs="Calibri"/>
          <w:color w:val="000000"/>
          <w:shd w:val="clear" w:color="auto" w:fill="FFFFFF"/>
        </w:rPr>
        <w:lastRenderedPageBreak/>
        <w:t>“FLAMENCO”</w:t>
      </w:r>
      <w:r w:rsidR="001A0FD4">
        <w:rPr>
          <w:rStyle w:val="Refdenotaalpie"/>
          <w:rFonts w:ascii="Calibri" w:hAnsi="Calibri" w:cs="Calibri"/>
          <w:color w:val="000000"/>
          <w:shd w:val="clear" w:color="auto" w:fill="FFFFFF"/>
        </w:rPr>
        <w:footnoteReference w:id="51"/>
      </w:r>
      <w:r>
        <w:rPr>
          <w:rFonts w:ascii="Calibri" w:hAnsi="Calibri" w:cs="Calibri"/>
          <w:color w:val="000000"/>
          <w:shd w:val="clear" w:color="auto" w:fill="FFFFFF"/>
        </w:rPr>
        <w:t xml:space="preserve">-, </w:t>
      </w:r>
      <w:proofErr w:type="spellStart"/>
      <w:r w:rsidR="00C876D9">
        <w:rPr>
          <w:rFonts w:ascii="Calibri" w:hAnsi="Calibri" w:cs="Calibri"/>
          <w:color w:val="000000"/>
          <w:shd w:val="clear" w:color="auto" w:fill="FFFFFF"/>
        </w:rPr>
        <w:t>etc</w:t>
      </w:r>
      <w:proofErr w:type="spellEnd"/>
      <w:r w:rsidR="00C876D9">
        <w:rPr>
          <w:rFonts w:ascii="Calibri" w:hAnsi="Calibri" w:cs="Calibri"/>
          <w:color w:val="000000"/>
          <w:shd w:val="clear" w:color="auto" w:fill="FFFFFF"/>
        </w:rPr>
        <w:t xml:space="preserve">- </w:t>
      </w:r>
      <w:r w:rsidR="00D342DD">
        <w:rPr>
          <w:rFonts w:ascii="Calibri" w:hAnsi="Calibri" w:cs="Calibri"/>
          <w:color w:val="000000"/>
          <w:shd w:val="clear" w:color="auto" w:fill="FFFFFF"/>
        </w:rPr>
        <w:t xml:space="preserve">que </w:t>
      </w:r>
      <w:r w:rsidR="000B547A">
        <w:rPr>
          <w:rFonts w:ascii="Calibri" w:hAnsi="Calibri" w:cs="Calibri"/>
          <w:color w:val="000000"/>
          <w:shd w:val="clear" w:color="auto" w:fill="FFFFFF"/>
        </w:rPr>
        <w:t>en las sentencias de la Corte Suprema referidas a este tema</w:t>
      </w:r>
      <w:r w:rsidR="006D35E8">
        <w:rPr>
          <w:rStyle w:val="Refdenotaalpie"/>
          <w:rFonts w:ascii="Calibri" w:hAnsi="Calibri" w:cs="Calibri"/>
          <w:color w:val="000000"/>
          <w:shd w:val="clear" w:color="auto" w:fill="FFFFFF"/>
        </w:rPr>
        <w:footnoteReference w:id="52"/>
      </w:r>
      <w:r w:rsidR="000B547A">
        <w:rPr>
          <w:rFonts w:ascii="Calibri" w:hAnsi="Calibri" w:cs="Calibri"/>
          <w:color w:val="000000"/>
          <w:shd w:val="clear" w:color="auto" w:fill="FFFFFF"/>
        </w:rPr>
        <w:t xml:space="preserve"> se</w:t>
      </w:r>
      <w:r>
        <w:rPr>
          <w:rFonts w:ascii="Calibri" w:hAnsi="Calibri" w:cs="Calibri"/>
          <w:color w:val="000000"/>
          <w:shd w:val="clear" w:color="auto" w:fill="FFFFFF"/>
        </w:rPr>
        <w:t xml:space="preserve"> </w:t>
      </w:r>
      <w:r w:rsidR="00D342DD">
        <w:rPr>
          <w:rFonts w:ascii="Calibri" w:hAnsi="Calibri" w:cs="Calibri"/>
          <w:color w:val="000000"/>
          <w:shd w:val="clear" w:color="auto" w:fill="FFFFFF"/>
        </w:rPr>
        <w:t xml:space="preserve">reproduzcan </w:t>
      </w:r>
      <w:r>
        <w:rPr>
          <w:rFonts w:ascii="Calibri" w:hAnsi="Calibri" w:cs="Calibri"/>
          <w:color w:val="000000"/>
          <w:shd w:val="clear" w:color="auto" w:fill="FFFFFF"/>
        </w:rPr>
        <w:t xml:space="preserve">los fundamentos vertidos en la causa </w:t>
      </w:r>
      <w:r w:rsidR="001A0FD4">
        <w:rPr>
          <w:rFonts w:ascii="Calibri" w:hAnsi="Calibri" w:cs="Calibri"/>
          <w:color w:val="000000"/>
          <w:shd w:val="clear" w:color="auto" w:fill="FFFFFF"/>
        </w:rPr>
        <w:t>“OLIVERA RÓVERE”</w:t>
      </w:r>
      <w:r>
        <w:rPr>
          <w:rFonts w:ascii="Calibri" w:hAnsi="Calibri" w:cs="Calibri"/>
          <w:color w:val="000000"/>
          <w:shd w:val="clear" w:color="auto" w:fill="FFFFFF"/>
        </w:rPr>
        <w:t xml:space="preserve">, no </w:t>
      </w:r>
      <w:r w:rsidR="000B547A">
        <w:rPr>
          <w:rFonts w:ascii="Calibri" w:hAnsi="Calibri" w:cs="Calibri"/>
          <w:color w:val="000000"/>
          <w:shd w:val="clear" w:color="auto" w:fill="FFFFFF"/>
        </w:rPr>
        <w:t xml:space="preserve">limitándose, como hasta entonces, </w:t>
      </w:r>
      <w:r>
        <w:rPr>
          <w:rFonts w:ascii="Calibri" w:hAnsi="Calibri" w:cs="Calibri"/>
          <w:color w:val="000000"/>
          <w:shd w:val="clear" w:color="auto" w:fill="FFFFFF"/>
        </w:rPr>
        <w:t xml:space="preserve"> a remitir a </w:t>
      </w:r>
      <w:r w:rsidR="000B547A">
        <w:rPr>
          <w:rFonts w:ascii="Calibri" w:hAnsi="Calibri" w:cs="Calibri"/>
          <w:color w:val="000000"/>
          <w:shd w:val="clear" w:color="auto" w:fill="FFFFFF"/>
        </w:rPr>
        <w:t>alguno de los precedentes –</w:t>
      </w:r>
      <w:r w:rsidR="00D342DD">
        <w:rPr>
          <w:rFonts w:ascii="Calibri" w:hAnsi="Calibri" w:cs="Calibri"/>
          <w:color w:val="000000"/>
          <w:shd w:val="clear" w:color="auto" w:fill="FFFFFF"/>
        </w:rPr>
        <w:t>LACONI</w:t>
      </w:r>
      <w:r w:rsidR="000B547A">
        <w:rPr>
          <w:rFonts w:ascii="Calibri" w:hAnsi="Calibri" w:cs="Calibri"/>
          <w:color w:val="000000"/>
          <w:shd w:val="clear" w:color="auto" w:fill="FFFFFF"/>
        </w:rPr>
        <w:t>, ERASO, etc.</w:t>
      </w:r>
      <w:r>
        <w:rPr>
          <w:rFonts w:ascii="Calibri" w:hAnsi="Calibri" w:cs="Calibri"/>
          <w:color w:val="000000"/>
          <w:shd w:val="clear" w:color="auto" w:fill="FFFFFF"/>
        </w:rPr>
        <w:t xml:space="preserve">- </w:t>
      </w:r>
    </w:p>
    <w:p w:rsidR="00D71577" w:rsidRDefault="00D342DD" w:rsidP="005349C2">
      <w:pPr>
        <w:spacing w:line="480" w:lineRule="auto"/>
        <w:ind w:firstLine="708"/>
        <w:jc w:val="both"/>
        <w:rPr>
          <w:rFonts w:ascii="Calibri" w:hAnsi="Calibri" w:cs="Calibri"/>
          <w:color w:val="000000"/>
          <w:shd w:val="clear" w:color="auto" w:fill="FFFFFF"/>
        </w:rPr>
      </w:pPr>
      <w:r>
        <w:rPr>
          <w:rFonts w:ascii="Calibri" w:hAnsi="Calibri" w:cs="Calibri"/>
          <w:color w:val="000000"/>
          <w:shd w:val="clear" w:color="auto" w:fill="FFFFFF"/>
        </w:rPr>
        <w:t>Teniendo en cuenta lo precedentemente expuesto, resulta trascendente analizar cuáles son</w:t>
      </w:r>
      <w:r w:rsidR="00D71577">
        <w:rPr>
          <w:rFonts w:ascii="Calibri" w:hAnsi="Calibri" w:cs="Calibri"/>
          <w:color w:val="000000"/>
          <w:shd w:val="clear" w:color="auto" w:fill="FFFFFF"/>
        </w:rPr>
        <w:t xml:space="preserve">, por lo tanto, los argumentos esgrimidos por la Corte in re </w:t>
      </w:r>
      <w:r w:rsidR="008050BB">
        <w:rPr>
          <w:rFonts w:ascii="Calibri" w:hAnsi="Calibri" w:cs="Calibri"/>
          <w:color w:val="000000"/>
          <w:shd w:val="clear" w:color="auto" w:fill="FFFFFF"/>
        </w:rPr>
        <w:t>OLIVERA RÓVERE</w:t>
      </w:r>
      <w:r>
        <w:rPr>
          <w:rFonts w:ascii="Calibri" w:hAnsi="Calibri" w:cs="Calibri"/>
          <w:color w:val="000000"/>
          <w:shd w:val="clear" w:color="auto" w:fill="FFFFFF"/>
        </w:rPr>
        <w:t>. Es que</w:t>
      </w:r>
      <w:r w:rsidR="00D71577">
        <w:rPr>
          <w:rFonts w:ascii="Calibri" w:hAnsi="Calibri" w:cs="Calibri"/>
          <w:color w:val="000000"/>
          <w:shd w:val="clear" w:color="auto" w:fill="FFFFFF"/>
        </w:rPr>
        <w:t xml:space="preserve"> son, </w:t>
      </w:r>
      <w:r>
        <w:rPr>
          <w:rFonts w:ascii="Calibri" w:hAnsi="Calibri" w:cs="Calibri"/>
          <w:color w:val="000000"/>
          <w:shd w:val="clear" w:color="auto" w:fill="FFFFFF"/>
        </w:rPr>
        <w:t xml:space="preserve">en definitiva, y </w:t>
      </w:r>
      <w:r w:rsidR="00D71577">
        <w:rPr>
          <w:rFonts w:ascii="Calibri" w:hAnsi="Calibri" w:cs="Calibri"/>
          <w:color w:val="000000"/>
          <w:shd w:val="clear" w:color="auto" w:fill="FFFFFF"/>
        </w:rPr>
        <w:t>actualmente los que dan sustento</w:t>
      </w:r>
      <w:r w:rsidR="005C6293">
        <w:rPr>
          <w:rFonts w:ascii="Calibri" w:hAnsi="Calibri" w:cs="Calibri"/>
          <w:color w:val="000000"/>
          <w:shd w:val="clear" w:color="auto" w:fill="FFFFFF"/>
        </w:rPr>
        <w:t xml:space="preserve"> a</w:t>
      </w:r>
      <w:r w:rsidR="00D71577">
        <w:rPr>
          <w:rFonts w:ascii="Calibri" w:hAnsi="Calibri" w:cs="Calibri"/>
          <w:color w:val="000000"/>
          <w:shd w:val="clear" w:color="auto" w:fill="FFFFFF"/>
        </w:rPr>
        <w:t xml:space="preserve"> la doctrina que en materia de mayoría aparente como causal de arbitrariedad de la sentencia dictada por tribunales colectivos tiene sent</w:t>
      </w:r>
      <w:r w:rsidR="00C876D9">
        <w:rPr>
          <w:rFonts w:ascii="Calibri" w:hAnsi="Calibri" w:cs="Calibri"/>
          <w:color w:val="000000"/>
          <w:shd w:val="clear" w:color="auto" w:fill="FFFFFF"/>
        </w:rPr>
        <w:t>ado el cimero tribunal nacional</w:t>
      </w:r>
      <w:r w:rsidR="00D71577">
        <w:rPr>
          <w:rFonts w:ascii="Calibri" w:hAnsi="Calibri" w:cs="Calibri"/>
          <w:color w:val="000000"/>
          <w:shd w:val="clear" w:color="auto" w:fill="FFFFFF"/>
        </w:rPr>
        <w:t>.</w:t>
      </w:r>
    </w:p>
    <w:p w:rsidR="007D1472" w:rsidRDefault="00D71577" w:rsidP="005349C2">
      <w:pPr>
        <w:spacing w:line="480" w:lineRule="auto"/>
        <w:ind w:firstLine="708"/>
        <w:jc w:val="both"/>
        <w:rPr>
          <w:rFonts w:ascii="Calibri" w:hAnsi="Calibri" w:cs="Calibri"/>
          <w:color w:val="000000"/>
          <w:shd w:val="clear" w:color="auto" w:fill="FFFFFF"/>
        </w:rPr>
      </w:pPr>
      <w:r>
        <w:rPr>
          <w:rFonts w:ascii="Calibri" w:hAnsi="Calibri" w:cs="Calibri"/>
          <w:color w:val="000000"/>
          <w:shd w:val="clear" w:color="auto" w:fill="FFFFFF"/>
        </w:rPr>
        <w:t xml:space="preserve">Tales argumentos son los siguientes: </w:t>
      </w:r>
    </w:p>
    <w:p w:rsidR="005C6293" w:rsidRDefault="00D71577" w:rsidP="005C6293">
      <w:pPr>
        <w:pStyle w:val="Prrafodelista"/>
        <w:numPr>
          <w:ilvl w:val="0"/>
          <w:numId w:val="4"/>
        </w:numPr>
        <w:spacing w:line="480" w:lineRule="auto"/>
        <w:ind w:left="0" w:firstLine="708"/>
        <w:jc w:val="both"/>
        <w:rPr>
          <w:rFonts w:ascii="Calibri" w:hAnsi="Calibri" w:cs="Calibri"/>
          <w:color w:val="000000"/>
          <w:shd w:val="clear" w:color="auto" w:fill="FFFFFF"/>
        </w:rPr>
      </w:pPr>
      <w:r w:rsidRPr="00D71577">
        <w:rPr>
          <w:rFonts w:ascii="Calibri" w:hAnsi="Calibri" w:cs="Calibri"/>
          <w:color w:val="000000"/>
          <w:shd w:val="clear" w:color="auto" w:fill="FFFFFF"/>
        </w:rPr>
        <w:t xml:space="preserve"> </w:t>
      </w:r>
      <w:r>
        <w:rPr>
          <w:rFonts w:ascii="Calibri" w:hAnsi="Calibri" w:cs="Calibri"/>
          <w:color w:val="000000"/>
          <w:shd w:val="clear" w:color="auto" w:fill="FFFFFF"/>
        </w:rPr>
        <w:t>S</w:t>
      </w:r>
      <w:r w:rsidR="004612C5" w:rsidRPr="00D71577">
        <w:rPr>
          <w:rFonts w:ascii="Calibri" w:hAnsi="Calibri" w:cs="Calibri"/>
          <w:color w:val="000000"/>
          <w:shd w:val="clear" w:color="auto" w:fill="FFFFFF"/>
        </w:rPr>
        <w:t>i bien el tema planteado versaba sobre cuestiones ajenas a la apelación del art. 14 de la ley 48, correspond</w:t>
      </w:r>
      <w:r w:rsidRPr="00D71577">
        <w:rPr>
          <w:rFonts w:ascii="Calibri" w:hAnsi="Calibri" w:cs="Calibri"/>
          <w:color w:val="000000"/>
          <w:shd w:val="clear" w:color="auto" w:fill="FFFFFF"/>
        </w:rPr>
        <w:t>e</w:t>
      </w:r>
      <w:r w:rsidR="004612C5" w:rsidRPr="00D71577">
        <w:rPr>
          <w:rFonts w:ascii="Calibri" w:hAnsi="Calibri" w:cs="Calibri"/>
          <w:color w:val="000000"/>
          <w:shd w:val="clear" w:color="auto" w:fill="FFFFFF"/>
        </w:rPr>
        <w:t xml:space="preserve"> hacer una excepción desde que el vicio alegado afecta</w:t>
      </w:r>
      <w:r w:rsidRPr="00D71577">
        <w:rPr>
          <w:rFonts w:ascii="Calibri" w:hAnsi="Calibri" w:cs="Calibri"/>
          <w:color w:val="000000"/>
          <w:shd w:val="clear" w:color="auto" w:fill="FFFFFF"/>
        </w:rPr>
        <w:t xml:space="preserve"> </w:t>
      </w:r>
      <w:r w:rsidR="004612C5" w:rsidRPr="00D71577">
        <w:rPr>
          <w:rFonts w:ascii="Calibri" w:hAnsi="Calibri" w:cs="Calibri"/>
          <w:color w:val="000000"/>
          <w:shd w:val="clear" w:color="auto" w:fill="FFFFFF"/>
        </w:rPr>
        <w:t xml:space="preserve"> la certeza jurídica de las sentencias, entendida como expresión final del derecho a la jurisdicción así como el amparo del debido proceso legal y del derecho de defensa en juicio.</w:t>
      </w:r>
    </w:p>
    <w:p w:rsidR="00D71577" w:rsidRPr="005C6293" w:rsidRDefault="00D71577" w:rsidP="005C6293">
      <w:pPr>
        <w:pStyle w:val="Prrafodelista"/>
        <w:numPr>
          <w:ilvl w:val="0"/>
          <w:numId w:val="4"/>
        </w:numPr>
        <w:spacing w:line="480" w:lineRule="auto"/>
        <w:ind w:left="0" w:firstLine="708"/>
        <w:jc w:val="both"/>
        <w:rPr>
          <w:rFonts w:ascii="Calibri" w:hAnsi="Calibri" w:cs="Calibri"/>
          <w:color w:val="000000"/>
          <w:shd w:val="clear" w:color="auto" w:fill="FFFFFF"/>
        </w:rPr>
      </w:pPr>
      <w:r w:rsidRPr="005C6293">
        <w:rPr>
          <w:rFonts w:ascii="Calibri" w:hAnsi="Calibri" w:cs="Calibri"/>
          <w:color w:val="000000"/>
          <w:shd w:val="clear" w:color="auto" w:fill="FFFFFF"/>
        </w:rPr>
        <w:t xml:space="preserve"> </w:t>
      </w:r>
      <w:r w:rsidR="005C6293" w:rsidRPr="005C6293">
        <w:t>El principio constitucional de racionalidad de los actos de gobierno, inherente a la forma republicana de gobierno adoptada en el art. 1° de la Constitución Nacional, exige que todo acto estatal deba tener una explicación racional y obliga a los magistrados del Poder Judicial a dar a conocer las razones de sus decisiones.</w:t>
      </w:r>
      <w:r w:rsidR="005C6293" w:rsidRPr="005C6293">
        <w:rPr>
          <w:i/>
        </w:rPr>
        <w:t xml:space="preserve"> </w:t>
      </w:r>
      <w:r w:rsidR="005C440C" w:rsidRPr="005C6293">
        <w:rPr>
          <w:rStyle w:val="Refdenotaalpie"/>
          <w:rFonts w:ascii="Calibri" w:hAnsi="Calibri" w:cs="Calibri"/>
          <w:color w:val="000000"/>
          <w:shd w:val="clear" w:color="auto" w:fill="FFFFFF"/>
        </w:rPr>
        <w:footnoteReference w:id="53"/>
      </w:r>
      <w:r w:rsidR="004612C5" w:rsidRPr="005C6293">
        <w:rPr>
          <w:rFonts w:ascii="Calibri" w:hAnsi="Calibri" w:cs="Calibri"/>
          <w:color w:val="000000"/>
          <w:shd w:val="clear" w:color="auto" w:fill="FFFFFF"/>
        </w:rPr>
        <w:t xml:space="preserve"> </w:t>
      </w:r>
    </w:p>
    <w:p w:rsidR="00D71577" w:rsidRDefault="005C440C" w:rsidP="00D71577">
      <w:pPr>
        <w:pStyle w:val="Prrafodelista"/>
        <w:numPr>
          <w:ilvl w:val="0"/>
          <w:numId w:val="4"/>
        </w:numPr>
        <w:spacing w:line="480" w:lineRule="auto"/>
        <w:ind w:left="0" w:firstLine="708"/>
        <w:jc w:val="both"/>
        <w:rPr>
          <w:rFonts w:ascii="Calibri" w:hAnsi="Calibri" w:cs="Calibri"/>
          <w:color w:val="000000"/>
          <w:shd w:val="clear" w:color="auto" w:fill="FFFFFF"/>
        </w:rPr>
      </w:pPr>
      <w:r w:rsidRPr="00D71577">
        <w:rPr>
          <w:rFonts w:ascii="Calibri" w:hAnsi="Calibri" w:cs="Calibri"/>
          <w:color w:val="000000"/>
          <w:shd w:val="clear" w:color="auto" w:fill="FFFFFF"/>
        </w:rPr>
        <w:t>L</w:t>
      </w:r>
      <w:r w:rsidR="00FA7DCF" w:rsidRPr="00D71577">
        <w:rPr>
          <w:rFonts w:ascii="Calibri" w:hAnsi="Calibri" w:cs="Calibri"/>
          <w:color w:val="000000"/>
          <w:shd w:val="clear" w:color="auto" w:fill="FFFFFF"/>
        </w:rPr>
        <w:t xml:space="preserve">a exigencia de motivación de las </w:t>
      </w:r>
      <w:r w:rsidRPr="00D71577">
        <w:rPr>
          <w:rFonts w:ascii="Calibri" w:hAnsi="Calibri" w:cs="Calibri"/>
          <w:color w:val="000000"/>
          <w:shd w:val="clear" w:color="auto" w:fill="FFFFFF"/>
        </w:rPr>
        <w:t>sentencias</w:t>
      </w:r>
      <w:r w:rsidR="00FA7DCF" w:rsidRPr="00D71577">
        <w:rPr>
          <w:rFonts w:ascii="Calibri" w:hAnsi="Calibri" w:cs="Calibri"/>
          <w:color w:val="000000"/>
          <w:shd w:val="clear" w:color="auto" w:fill="FFFFFF"/>
        </w:rPr>
        <w:t xml:space="preserve"> a los jueces</w:t>
      </w:r>
      <w:r w:rsidR="005C6293">
        <w:rPr>
          <w:rFonts w:ascii="Calibri" w:hAnsi="Calibri" w:cs="Calibri"/>
          <w:color w:val="000000"/>
          <w:shd w:val="clear" w:color="auto" w:fill="FFFFFF"/>
        </w:rPr>
        <w:t>, expuest</w:t>
      </w:r>
      <w:r w:rsidR="00913BEC">
        <w:rPr>
          <w:rFonts w:ascii="Calibri" w:hAnsi="Calibri" w:cs="Calibri"/>
          <w:color w:val="000000"/>
          <w:shd w:val="clear" w:color="auto" w:fill="FFFFFF"/>
        </w:rPr>
        <w:t>a</w:t>
      </w:r>
      <w:r w:rsidR="005C6293">
        <w:rPr>
          <w:rFonts w:ascii="Calibri" w:hAnsi="Calibri" w:cs="Calibri"/>
          <w:color w:val="000000"/>
          <w:shd w:val="clear" w:color="auto" w:fill="FFFFFF"/>
        </w:rPr>
        <w:t xml:space="preserve"> por esta Corte in re Canales –Fallos 342:697, voto Dres. </w:t>
      </w:r>
      <w:proofErr w:type="spellStart"/>
      <w:r w:rsidR="005C6293">
        <w:rPr>
          <w:rFonts w:ascii="Calibri" w:hAnsi="Calibri" w:cs="Calibri"/>
          <w:color w:val="000000"/>
          <w:shd w:val="clear" w:color="auto" w:fill="FFFFFF"/>
        </w:rPr>
        <w:t>Maqueda</w:t>
      </w:r>
      <w:proofErr w:type="spellEnd"/>
      <w:r w:rsidR="005C6293">
        <w:rPr>
          <w:rFonts w:ascii="Calibri" w:hAnsi="Calibri" w:cs="Calibri"/>
          <w:color w:val="000000"/>
          <w:shd w:val="clear" w:color="auto" w:fill="FFFFFF"/>
        </w:rPr>
        <w:t xml:space="preserve"> y </w:t>
      </w:r>
      <w:proofErr w:type="spellStart"/>
      <w:r w:rsidR="005C6293">
        <w:rPr>
          <w:rFonts w:ascii="Calibri" w:hAnsi="Calibri" w:cs="Calibri"/>
          <w:color w:val="000000"/>
          <w:shd w:val="clear" w:color="auto" w:fill="FFFFFF"/>
        </w:rPr>
        <w:t>Lorenzetti</w:t>
      </w:r>
      <w:proofErr w:type="spellEnd"/>
      <w:r w:rsidR="005C6293">
        <w:rPr>
          <w:rFonts w:ascii="Calibri" w:hAnsi="Calibri" w:cs="Calibri"/>
          <w:color w:val="000000"/>
          <w:shd w:val="clear" w:color="auto" w:fill="FFFFFF"/>
        </w:rPr>
        <w:t xml:space="preserve">, considerando 19 y voto Dr. </w:t>
      </w:r>
      <w:proofErr w:type="spellStart"/>
      <w:r w:rsidR="005C6293">
        <w:rPr>
          <w:rFonts w:ascii="Calibri" w:hAnsi="Calibri" w:cs="Calibri"/>
          <w:color w:val="000000"/>
          <w:shd w:val="clear" w:color="auto" w:fill="FFFFFF"/>
        </w:rPr>
        <w:t>Rosatti</w:t>
      </w:r>
      <w:proofErr w:type="spellEnd"/>
      <w:r w:rsidR="005C6293">
        <w:rPr>
          <w:rFonts w:ascii="Calibri" w:hAnsi="Calibri" w:cs="Calibri"/>
          <w:color w:val="000000"/>
          <w:shd w:val="clear" w:color="auto" w:fill="FFFFFF"/>
        </w:rPr>
        <w:t xml:space="preserve">, considerando 12- </w:t>
      </w:r>
      <w:r w:rsidR="00FA7DCF" w:rsidRPr="00D71577">
        <w:rPr>
          <w:rFonts w:ascii="Calibri" w:hAnsi="Calibri" w:cs="Calibri"/>
          <w:color w:val="000000"/>
          <w:shd w:val="clear" w:color="auto" w:fill="FFFFFF"/>
        </w:rPr>
        <w:t xml:space="preserve"> es un modo de compensar la debilidad institucional y que </w:t>
      </w:r>
      <w:r w:rsidR="00FA7DCF" w:rsidRPr="00D71577">
        <w:rPr>
          <w:rFonts w:ascii="Calibri" w:hAnsi="Calibri" w:cs="Calibri"/>
          <w:color w:val="000000"/>
          <w:shd w:val="clear" w:color="auto" w:fill="FFFFFF"/>
        </w:rPr>
        <w:lastRenderedPageBreak/>
        <w:t>encuentra su razón de ser en su obligación como representantes del pueblo no electivos de rendir cuenta de sus decisiones</w:t>
      </w:r>
      <w:r w:rsidRPr="00D71577">
        <w:rPr>
          <w:rStyle w:val="Refdenotaalpie"/>
          <w:rFonts w:ascii="Calibri" w:hAnsi="Calibri" w:cs="Calibri"/>
          <w:color w:val="000000"/>
          <w:shd w:val="clear" w:color="auto" w:fill="FFFFFF"/>
        </w:rPr>
        <w:footnoteReference w:id="54"/>
      </w:r>
      <w:r w:rsidR="00FA7DCF" w:rsidRPr="00D71577">
        <w:rPr>
          <w:rFonts w:ascii="Calibri" w:hAnsi="Calibri" w:cs="Calibri"/>
          <w:color w:val="000000"/>
          <w:shd w:val="clear" w:color="auto" w:fill="FFFFFF"/>
        </w:rPr>
        <w:t xml:space="preserve">. </w:t>
      </w:r>
    </w:p>
    <w:p w:rsidR="00D71577" w:rsidRDefault="00FA7DCF" w:rsidP="00D71577">
      <w:pPr>
        <w:pStyle w:val="Prrafodelista"/>
        <w:numPr>
          <w:ilvl w:val="0"/>
          <w:numId w:val="4"/>
        </w:numPr>
        <w:spacing w:line="480" w:lineRule="auto"/>
        <w:ind w:left="0" w:firstLine="708"/>
        <w:jc w:val="both"/>
        <w:rPr>
          <w:rFonts w:ascii="Calibri" w:hAnsi="Calibri" w:cs="Calibri"/>
          <w:color w:val="000000"/>
          <w:shd w:val="clear" w:color="auto" w:fill="FFFFFF"/>
        </w:rPr>
      </w:pPr>
      <w:r w:rsidRPr="00D71577">
        <w:rPr>
          <w:rFonts w:ascii="Calibri" w:hAnsi="Calibri" w:cs="Calibri"/>
          <w:color w:val="000000"/>
          <w:shd w:val="clear" w:color="auto" w:fill="FFFFFF"/>
        </w:rPr>
        <w:t xml:space="preserve">La adecuada prestación del servicio de justicia supone que el justiciable pueda conocer de manera acabada, explícita y sencilla las razones por  las cuales se decidió el caso que lo involucra. </w:t>
      </w:r>
      <w:r w:rsidR="005C440C" w:rsidRPr="00D71577">
        <w:rPr>
          <w:rFonts w:ascii="Calibri" w:hAnsi="Calibri" w:cs="Calibri"/>
          <w:color w:val="000000"/>
          <w:shd w:val="clear" w:color="auto" w:fill="FFFFFF"/>
        </w:rPr>
        <w:t>Máxime</w:t>
      </w:r>
      <w:r w:rsidRPr="00D71577">
        <w:rPr>
          <w:rFonts w:ascii="Calibri" w:hAnsi="Calibri" w:cs="Calibri"/>
          <w:color w:val="000000"/>
          <w:shd w:val="clear" w:color="auto" w:fill="FFFFFF"/>
        </w:rPr>
        <w:t xml:space="preserve"> cuando la sentencia </w:t>
      </w:r>
      <w:r w:rsidR="005C6293">
        <w:rPr>
          <w:rFonts w:ascii="Calibri" w:hAnsi="Calibri" w:cs="Calibri"/>
          <w:color w:val="000000"/>
          <w:shd w:val="clear" w:color="auto" w:fill="FFFFFF"/>
        </w:rPr>
        <w:t>contraría su pretensión</w:t>
      </w:r>
      <w:r w:rsidR="005C440C">
        <w:rPr>
          <w:rStyle w:val="Refdenotaalpie"/>
          <w:rFonts w:ascii="Calibri" w:hAnsi="Calibri" w:cs="Calibri"/>
          <w:color w:val="000000"/>
          <w:shd w:val="clear" w:color="auto" w:fill="FFFFFF"/>
        </w:rPr>
        <w:footnoteReference w:id="55"/>
      </w:r>
      <w:r w:rsidRPr="00D71577">
        <w:rPr>
          <w:rFonts w:ascii="Calibri" w:hAnsi="Calibri" w:cs="Calibri"/>
          <w:color w:val="000000"/>
          <w:shd w:val="clear" w:color="auto" w:fill="FFFFFF"/>
        </w:rPr>
        <w:t xml:space="preserve">. </w:t>
      </w:r>
    </w:p>
    <w:p w:rsidR="00D71577" w:rsidRDefault="00FA7DCF" w:rsidP="00F3523F">
      <w:pPr>
        <w:pStyle w:val="Prrafodelista"/>
        <w:numPr>
          <w:ilvl w:val="0"/>
          <w:numId w:val="4"/>
        </w:numPr>
        <w:spacing w:line="480" w:lineRule="auto"/>
        <w:ind w:left="0" w:firstLine="708"/>
        <w:jc w:val="both"/>
        <w:rPr>
          <w:rFonts w:ascii="Calibri" w:hAnsi="Calibri" w:cs="Calibri"/>
          <w:color w:val="000000"/>
          <w:shd w:val="clear" w:color="auto" w:fill="FFFFFF"/>
        </w:rPr>
      </w:pPr>
      <w:r w:rsidRPr="00D71577">
        <w:rPr>
          <w:rFonts w:ascii="Calibri" w:hAnsi="Calibri" w:cs="Calibri"/>
          <w:color w:val="000000"/>
          <w:shd w:val="clear" w:color="auto" w:fill="FFFFFF"/>
        </w:rPr>
        <w:t>Se debe asegurar una clara y explícita mayoría sustancial de fundamento de las dec</w:t>
      </w:r>
      <w:r w:rsidR="005C6293">
        <w:rPr>
          <w:rFonts w:ascii="Calibri" w:hAnsi="Calibri" w:cs="Calibri"/>
          <w:color w:val="000000"/>
          <w:shd w:val="clear" w:color="auto" w:fill="FFFFFF"/>
        </w:rPr>
        <w:t xml:space="preserve">isiones. Ello pues, </w:t>
      </w:r>
      <w:r w:rsidRPr="00D71577">
        <w:rPr>
          <w:rFonts w:ascii="Calibri" w:hAnsi="Calibri" w:cs="Calibri"/>
          <w:color w:val="000000"/>
          <w:shd w:val="clear" w:color="auto" w:fill="FFFFFF"/>
        </w:rPr>
        <w:t xml:space="preserve"> pues de otra manera</w:t>
      </w:r>
      <w:r w:rsidRPr="005C6293">
        <w:rPr>
          <w:rFonts w:ascii="Calibri" w:hAnsi="Calibri" w:cs="Calibri"/>
          <w:color w:val="000000"/>
          <w:shd w:val="clear" w:color="auto" w:fill="FFFFFF"/>
        </w:rPr>
        <w:t xml:space="preserve">, </w:t>
      </w:r>
      <w:r w:rsidR="005C6293" w:rsidRPr="005C6293">
        <w:t xml:space="preserve"> se corre el riesgo de incurrir en el absurdo de suponer que, para impugnar, sean las partes del proceso quienes deban escoger cualquiera de los fundamentos de los votos individuales que confluyeron en la decisión, es decir, que sea el propio recurrente quien le atribuya al pronunciamiento un fundamento que aquel, como tal, no tuvo</w:t>
      </w:r>
      <w:r w:rsidR="005C6293">
        <w:rPr>
          <w:rStyle w:val="Refdenotaalpie"/>
          <w:rFonts w:ascii="Calibri" w:hAnsi="Calibri" w:cs="Calibri"/>
          <w:color w:val="000000"/>
          <w:shd w:val="clear" w:color="auto" w:fill="FFFFFF"/>
        </w:rPr>
        <w:footnoteReference w:id="56"/>
      </w:r>
      <w:r w:rsidR="005C6293" w:rsidRPr="00D71577">
        <w:rPr>
          <w:rFonts w:ascii="Calibri" w:hAnsi="Calibri" w:cs="Calibri"/>
          <w:color w:val="000000"/>
          <w:shd w:val="clear" w:color="auto" w:fill="FFFFFF"/>
        </w:rPr>
        <w:t>.</w:t>
      </w:r>
    </w:p>
    <w:p w:rsidR="00D71577" w:rsidRDefault="00D71577" w:rsidP="00F3523F">
      <w:pPr>
        <w:pStyle w:val="Prrafodelista"/>
        <w:numPr>
          <w:ilvl w:val="0"/>
          <w:numId w:val="4"/>
        </w:numPr>
        <w:spacing w:line="480" w:lineRule="auto"/>
        <w:ind w:left="0" w:firstLine="708"/>
        <w:jc w:val="both"/>
        <w:rPr>
          <w:rFonts w:ascii="Calibri" w:hAnsi="Calibri" w:cs="Calibri"/>
          <w:color w:val="000000"/>
          <w:shd w:val="clear" w:color="auto" w:fill="FFFFFF"/>
        </w:rPr>
      </w:pPr>
      <w:r w:rsidRPr="00D71577">
        <w:rPr>
          <w:rFonts w:ascii="Calibri" w:hAnsi="Calibri" w:cs="Calibri"/>
          <w:color w:val="000000"/>
          <w:shd w:val="clear" w:color="auto" w:fill="FFFFFF"/>
        </w:rPr>
        <w:t>T</w:t>
      </w:r>
      <w:r w:rsidR="00FA7DCF" w:rsidRPr="00D71577">
        <w:rPr>
          <w:rFonts w:ascii="Calibri" w:hAnsi="Calibri" w:cs="Calibri"/>
          <w:color w:val="000000"/>
          <w:shd w:val="clear" w:color="auto" w:fill="FFFFFF"/>
        </w:rPr>
        <w:t xml:space="preserve">eniendo en cuenta que como base de la doctrina de la arbitrariedad, la sentencia debe resultar una derivación razonada del derecho vigente conforme a las circunstancias comprobadas de la causa, </w:t>
      </w:r>
      <w:r w:rsidR="00867C58">
        <w:rPr>
          <w:rStyle w:val="Refdenotaalpie"/>
          <w:rFonts w:ascii="Calibri" w:hAnsi="Calibri" w:cs="Calibri"/>
          <w:color w:val="000000"/>
          <w:shd w:val="clear" w:color="auto" w:fill="FFFFFF"/>
        </w:rPr>
        <w:footnoteReference w:id="57"/>
      </w:r>
      <w:r w:rsidR="00FA7DCF" w:rsidRPr="00D71577">
        <w:rPr>
          <w:rFonts w:ascii="Calibri" w:hAnsi="Calibri" w:cs="Calibri"/>
          <w:color w:val="000000"/>
          <w:shd w:val="clear" w:color="auto" w:fill="FFFFFF"/>
        </w:rPr>
        <w:t>y que debe constituir una unidad lógico-jurídica, es indiscutible que las sentencias de los tribunales colegiados no pueden concebirse como una sumatoria o colección de opiniones individuales y aisladas de sus miembros, sino más bien como el producto de un intercambio racional de ideas entre ellos</w:t>
      </w:r>
      <w:r w:rsidR="005C440C">
        <w:rPr>
          <w:rStyle w:val="Refdenotaalpie"/>
          <w:rFonts w:ascii="Calibri" w:hAnsi="Calibri" w:cs="Calibri"/>
          <w:color w:val="000000"/>
          <w:shd w:val="clear" w:color="auto" w:fill="FFFFFF"/>
        </w:rPr>
        <w:footnoteReference w:id="58"/>
      </w:r>
      <w:r w:rsidR="00FA7DCF" w:rsidRPr="00D71577">
        <w:rPr>
          <w:rFonts w:ascii="Calibri" w:hAnsi="Calibri" w:cs="Calibri"/>
          <w:color w:val="000000"/>
          <w:shd w:val="clear" w:color="auto" w:fill="FFFFFF"/>
        </w:rPr>
        <w:t xml:space="preserve">. </w:t>
      </w:r>
    </w:p>
    <w:p w:rsidR="00D71577" w:rsidRDefault="00FA7DCF" w:rsidP="00D71577">
      <w:pPr>
        <w:pStyle w:val="Prrafodelista"/>
        <w:numPr>
          <w:ilvl w:val="0"/>
          <w:numId w:val="4"/>
        </w:numPr>
        <w:spacing w:line="480" w:lineRule="auto"/>
        <w:ind w:left="0" w:firstLine="708"/>
        <w:jc w:val="both"/>
        <w:rPr>
          <w:rFonts w:ascii="Calibri" w:hAnsi="Calibri" w:cs="Calibri"/>
          <w:color w:val="000000"/>
          <w:shd w:val="clear" w:color="auto" w:fill="FFFFFF"/>
        </w:rPr>
      </w:pPr>
      <w:r w:rsidRPr="00D71577">
        <w:rPr>
          <w:rFonts w:ascii="Calibri" w:hAnsi="Calibri" w:cs="Calibri"/>
          <w:color w:val="000000"/>
          <w:shd w:val="clear" w:color="auto" w:fill="FFFFFF"/>
        </w:rPr>
        <w:lastRenderedPageBreak/>
        <w:t>La ausencia de una coincidencia sustancial en los fundamentos por la mayoría absoluta de las opiniones vacía al decisorio de toda fundamentación, pues no hay razón valedera para optar por un voto u otro al momento de apreciar cuál ha sido el presupuesto en que se basó la decisión recurrida</w:t>
      </w:r>
      <w:r w:rsidR="000352DA">
        <w:rPr>
          <w:rStyle w:val="Refdenotaalpie"/>
          <w:rFonts w:ascii="Calibri" w:hAnsi="Calibri" w:cs="Calibri"/>
          <w:color w:val="000000"/>
          <w:shd w:val="clear" w:color="auto" w:fill="FFFFFF"/>
        </w:rPr>
        <w:footnoteReference w:id="59"/>
      </w:r>
      <w:r w:rsidRPr="00D71577">
        <w:rPr>
          <w:rFonts w:ascii="Calibri" w:hAnsi="Calibri" w:cs="Calibri"/>
          <w:color w:val="000000"/>
          <w:shd w:val="clear" w:color="auto" w:fill="FFFFFF"/>
        </w:rPr>
        <w:t xml:space="preserve">. </w:t>
      </w:r>
    </w:p>
    <w:p w:rsidR="00D71577" w:rsidRPr="00D71577" w:rsidRDefault="00FA7DCF" w:rsidP="00F3523F">
      <w:pPr>
        <w:pStyle w:val="Prrafodelista"/>
        <w:numPr>
          <w:ilvl w:val="0"/>
          <w:numId w:val="4"/>
        </w:numPr>
        <w:spacing w:line="480" w:lineRule="auto"/>
        <w:ind w:left="0" w:firstLine="708"/>
        <w:jc w:val="both"/>
        <w:rPr>
          <w:rFonts w:ascii="Calibri" w:hAnsi="Calibri" w:cs="Calibri"/>
          <w:i/>
          <w:color w:val="000000"/>
          <w:shd w:val="clear" w:color="auto" w:fill="FFFFFF"/>
        </w:rPr>
      </w:pPr>
      <w:r w:rsidRPr="00D71577">
        <w:rPr>
          <w:rFonts w:ascii="Calibri" w:hAnsi="Calibri" w:cs="Calibri"/>
          <w:color w:val="000000"/>
          <w:shd w:val="clear" w:color="auto" w:fill="FFFFFF"/>
        </w:rPr>
        <w:t xml:space="preserve">Una sentencia cuenta con mayoría aparente cuando los votos no guardan entre sí la mínima concordancia lógica y argumental requerida a los fallos judiciales o bien cuando los fundamentos normativos discordantes </w:t>
      </w:r>
      <w:r w:rsidR="005C440C" w:rsidRPr="00D71577">
        <w:rPr>
          <w:rFonts w:ascii="Calibri" w:hAnsi="Calibri" w:cs="Calibri"/>
          <w:color w:val="000000"/>
          <w:shd w:val="clear" w:color="auto" w:fill="FFFFFF"/>
        </w:rPr>
        <w:t xml:space="preserve">además </w:t>
      </w:r>
      <w:r w:rsidRPr="00D71577">
        <w:rPr>
          <w:rFonts w:ascii="Calibri" w:hAnsi="Calibri" w:cs="Calibri"/>
          <w:color w:val="000000"/>
          <w:shd w:val="clear" w:color="auto" w:fill="FFFFFF"/>
        </w:rPr>
        <w:t>carecen de un análisis razonado y acorde al caso, ya que ello lesiona el derecho de defensa en juicio</w:t>
      </w:r>
      <w:r w:rsidR="005C440C">
        <w:rPr>
          <w:rStyle w:val="Refdenotaalpie"/>
          <w:rFonts w:ascii="Calibri" w:hAnsi="Calibri" w:cs="Calibri"/>
          <w:color w:val="000000"/>
          <w:shd w:val="clear" w:color="auto" w:fill="FFFFFF"/>
        </w:rPr>
        <w:footnoteReference w:id="60"/>
      </w:r>
      <w:r w:rsidRPr="00D71577">
        <w:rPr>
          <w:rFonts w:ascii="Calibri" w:hAnsi="Calibri" w:cs="Calibri"/>
          <w:color w:val="000000"/>
          <w:shd w:val="clear" w:color="auto" w:fill="FFFFFF"/>
        </w:rPr>
        <w:t xml:space="preserve">. </w:t>
      </w:r>
    </w:p>
    <w:p w:rsidR="00D71577" w:rsidRPr="00D71577" w:rsidRDefault="0064769A" w:rsidP="00F3523F">
      <w:pPr>
        <w:pStyle w:val="Prrafodelista"/>
        <w:numPr>
          <w:ilvl w:val="0"/>
          <w:numId w:val="4"/>
        </w:numPr>
        <w:spacing w:line="480" w:lineRule="auto"/>
        <w:ind w:left="0" w:firstLine="708"/>
        <w:jc w:val="both"/>
        <w:rPr>
          <w:rFonts w:ascii="Calibri" w:hAnsi="Calibri" w:cs="Calibri"/>
          <w:color w:val="000000"/>
          <w:shd w:val="clear" w:color="auto" w:fill="FFFFFF"/>
        </w:rPr>
      </w:pPr>
      <w:r w:rsidRPr="00D71577">
        <w:rPr>
          <w:rFonts w:ascii="Calibri" w:hAnsi="Calibri" w:cs="Calibri"/>
          <w:color w:val="000000"/>
          <w:shd w:val="clear" w:color="auto" w:fill="FFFFFF"/>
        </w:rPr>
        <w:lastRenderedPageBreak/>
        <w:t>La sentencia debe ser un todo indivisible, demostrativo de una unidad lógico-jurídica, en el cual la validez y los alcances de la decisión dependen también de las motivaciones que la fundan</w:t>
      </w:r>
      <w:r w:rsidR="005C440C">
        <w:rPr>
          <w:rStyle w:val="Refdenotaalpie"/>
          <w:rFonts w:ascii="Calibri" w:hAnsi="Calibri" w:cs="Calibri"/>
          <w:color w:val="000000"/>
          <w:shd w:val="clear" w:color="auto" w:fill="FFFFFF"/>
        </w:rPr>
        <w:footnoteReference w:id="61"/>
      </w:r>
      <w:r w:rsidR="00985CFD" w:rsidRPr="00D71577">
        <w:rPr>
          <w:rFonts w:ascii="Calibri" w:hAnsi="Calibri" w:cs="Calibri"/>
          <w:i/>
          <w:color w:val="000000"/>
          <w:shd w:val="clear" w:color="auto" w:fill="FFFFFF"/>
        </w:rPr>
        <w:t xml:space="preserve"> </w:t>
      </w:r>
    </w:p>
    <w:p w:rsidR="00D71577" w:rsidRDefault="0064769A" w:rsidP="00F3523F">
      <w:pPr>
        <w:pStyle w:val="Prrafodelista"/>
        <w:numPr>
          <w:ilvl w:val="0"/>
          <w:numId w:val="4"/>
        </w:numPr>
        <w:spacing w:line="480" w:lineRule="auto"/>
        <w:ind w:left="0" w:firstLine="708"/>
        <w:jc w:val="both"/>
        <w:rPr>
          <w:rFonts w:ascii="Calibri" w:hAnsi="Calibri" w:cs="Calibri"/>
          <w:color w:val="000000"/>
          <w:shd w:val="clear" w:color="auto" w:fill="FFFFFF"/>
        </w:rPr>
      </w:pPr>
      <w:r w:rsidRPr="00D71577">
        <w:rPr>
          <w:rFonts w:ascii="Calibri" w:hAnsi="Calibri" w:cs="Calibri"/>
          <w:color w:val="000000"/>
          <w:shd w:val="clear" w:color="auto" w:fill="FFFFFF"/>
        </w:rPr>
        <w:t>La exigencia de que, a la hora de examinar la existencia de una mayoría sustancial de fundamentos que ponga de manifiesto la voluntad de un tribunal colegiado, no cabe atenerse a un criterio puramente formalista pero tampoco adoptar una postura que exija que las opiniones sean idénticas, pues esto último no se condice con la naturaleza plural y deliberativa de esta clase de tribunales</w:t>
      </w:r>
      <w:r w:rsidR="005C440C">
        <w:rPr>
          <w:rStyle w:val="Refdenotaalpie"/>
          <w:rFonts w:ascii="Calibri" w:hAnsi="Calibri" w:cs="Calibri"/>
          <w:color w:val="000000"/>
          <w:shd w:val="clear" w:color="auto" w:fill="FFFFFF"/>
        </w:rPr>
        <w:footnoteReference w:id="62"/>
      </w:r>
      <w:r w:rsidRPr="00D71577">
        <w:rPr>
          <w:rFonts w:ascii="Calibri" w:hAnsi="Calibri" w:cs="Calibri"/>
          <w:color w:val="000000"/>
          <w:shd w:val="clear" w:color="auto" w:fill="FFFFFF"/>
        </w:rPr>
        <w:t xml:space="preserve">. </w:t>
      </w:r>
    </w:p>
    <w:p w:rsidR="00D71577" w:rsidRDefault="0064769A" w:rsidP="00F3523F">
      <w:pPr>
        <w:pStyle w:val="Prrafodelista"/>
        <w:numPr>
          <w:ilvl w:val="0"/>
          <w:numId w:val="4"/>
        </w:numPr>
        <w:spacing w:line="480" w:lineRule="auto"/>
        <w:ind w:left="0" w:firstLine="708"/>
        <w:jc w:val="both"/>
        <w:rPr>
          <w:rFonts w:ascii="Calibri" w:hAnsi="Calibri" w:cs="Calibri"/>
          <w:color w:val="000000"/>
          <w:shd w:val="clear" w:color="auto" w:fill="FFFFFF"/>
        </w:rPr>
      </w:pPr>
      <w:r w:rsidRPr="00D71577">
        <w:rPr>
          <w:rFonts w:ascii="Calibri" w:hAnsi="Calibri" w:cs="Calibri"/>
          <w:color w:val="000000"/>
          <w:shd w:val="clear" w:color="auto" w:fill="FFFFFF"/>
        </w:rPr>
        <w:t>Los magistrados que conforman tribunales colegiados deben asegurar que su deliberación, en ausencia de unanimidad, arribará a un acuerdo mayoritario sobre un mínimo de razones comunes que constituyan el fundamento lógico y jurídico del fallo, lo que debe presentarse como una “comunidad sustancial”</w:t>
      </w:r>
      <w:r w:rsidR="008E1D05">
        <w:rPr>
          <w:rStyle w:val="Refdenotaalpie"/>
          <w:rFonts w:ascii="Calibri" w:hAnsi="Calibri" w:cs="Calibri"/>
          <w:color w:val="000000"/>
          <w:shd w:val="clear" w:color="auto" w:fill="FFFFFF"/>
        </w:rPr>
        <w:footnoteReference w:id="63"/>
      </w:r>
      <w:r w:rsidRPr="00D71577">
        <w:rPr>
          <w:rFonts w:ascii="Calibri" w:hAnsi="Calibri" w:cs="Calibri"/>
          <w:color w:val="000000"/>
          <w:shd w:val="clear" w:color="auto" w:fill="FFFFFF"/>
        </w:rPr>
        <w:t>, vetando la posibilidad de que la mayoría se asiente sobre motivaciones lógicamente desconectadas y/o sustantivamente inconciliables</w:t>
      </w:r>
      <w:r w:rsidR="005C440C">
        <w:rPr>
          <w:rStyle w:val="Refdenotaalpie"/>
          <w:rFonts w:ascii="Calibri" w:hAnsi="Calibri" w:cs="Calibri"/>
          <w:color w:val="000000"/>
          <w:shd w:val="clear" w:color="auto" w:fill="FFFFFF"/>
        </w:rPr>
        <w:footnoteReference w:id="64"/>
      </w:r>
      <w:r w:rsidRPr="00D71577">
        <w:rPr>
          <w:rFonts w:ascii="Calibri" w:hAnsi="Calibri" w:cs="Calibri"/>
          <w:color w:val="000000"/>
          <w:shd w:val="clear" w:color="auto" w:fill="FFFFFF"/>
        </w:rPr>
        <w:t xml:space="preserve">. </w:t>
      </w:r>
    </w:p>
    <w:p w:rsidR="00D71577" w:rsidRDefault="0064769A" w:rsidP="00F3523F">
      <w:pPr>
        <w:pStyle w:val="Prrafodelista"/>
        <w:numPr>
          <w:ilvl w:val="0"/>
          <w:numId w:val="4"/>
        </w:numPr>
        <w:spacing w:line="480" w:lineRule="auto"/>
        <w:ind w:left="0" w:firstLine="708"/>
        <w:jc w:val="both"/>
        <w:rPr>
          <w:rFonts w:ascii="Calibri" w:hAnsi="Calibri" w:cs="Calibri"/>
          <w:color w:val="000000"/>
          <w:shd w:val="clear" w:color="auto" w:fill="FFFFFF"/>
        </w:rPr>
      </w:pPr>
      <w:r w:rsidRPr="00D71577">
        <w:rPr>
          <w:rFonts w:ascii="Calibri" w:hAnsi="Calibri" w:cs="Calibri"/>
          <w:color w:val="000000"/>
          <w:shd w:val="clear" w:color="auto" w:fill="FFFFFF"/>
        </w:rPr>
        <w:lastRenderedPageBreak/>
        <w:t xml:space="preserve">Pesa sobre </w:t>
      </w:r>
      <w:r w:rsidR="00F3523F">
        <w:rPr>
          <w:rFonts w:ascii="Calibri" w:hAnsi="Calibri" w:cs="Calibri"/>
          <w:color w:val="000000"/>
          <w:shd w:val="clear" w:color="auto" w:fill="FFFFFF"/>
        </w:rPr>
        <w:t xml:space="preserve">los magistrados integrantes del tribunal </w:t>
      </w:r>
      <w:r w:rsidRPr="00D71577">
        <w:rPr>
          <w:rFonts w:ascii="Calibri" w:hAnsi="Calibri" w:cs="Calibri"/>
          <w:color w:val="000000"/>
          <w:shd w:val="clear" w:color="auto" w:fill="FFFFFF"/>
        </w:rPr>
        <w:t>el deber de juzgar las cuestiones sometidas a su conocimiento y de pronunciarse en relación con todos aquellos puntos comprendidos en el pleito que resulten conducentes a la decisión adoptada</w:t>
      </w:r>
      <w:r w:rsidR="00F3523F">
        <w:rPr>
          <w:rStyle w:val="Refdenotaalpie"/>
          <w:rFonts w:ascii="Calibri" w:hAnsi="Calibri" w:cs="Calibri"/>
          <w:color w:val="000000"/>
          <w:shd w:val="clear" w:color="auto" w:fill="FFFFFF"/>
        </w:rPr>
        <w:footnoteReference w:id="65"/>
      </w:r>
      <w:r w:rsidR="00F3523F">
        <w:rPr>
          <w:rFonts w:ascii="Calibri" w:hAnsi="Calibri" w:cs="Calibri"/>
          <w:color w:val="000000"/>
          <w:shd w:val="clear" w:color="auto" w:fill="FFFFFF"/>
        </w:rPr>
        <w:t xml:space="preserve">.- </w:t>
      </w:r>
    </w:p>
    <w:p w:rsidR="0064769A" w:rsidRDefault="0064769A" w:rsidP="00F3523F">
      <w:pPr>
        <w:pStyle w:val="Prrafodelista"/>
        <w:numPr>
          <w:ilvl w:val="0"/>
          <w:numId w:val="4"/>
        </w:numPr>
        <w:spacing w:line="480" w:lineRule="auto"/>
        <w:ind w:left="0" w:firstLine="708"/>
        <w:jc w:val="both"/>
        <w:rPr>
          <w:rFonts w:ascii="Calibri" w:hAnsi="Calibri" w:cs="Calibri"/>
          <w:color w:val="000000"/>
          <w:shd w:val="clear" w:color="auto" w:fill="FFFFFF"/>
        </w:rPr>
      </w:pPr>
      <w:r w:rsidRPr="00D71577">
        <w:rPr>
          <w:rFonts w:ascii="Calibri" w:hAnsi="Calibri" w:cs="Calibri"/>
          <w:color w:val="000000"/>
          <w:shd w:val="clear" w:color="auto" w:fill="FFFFFF"/>
        </w:rPr>
        <w:t>La conformación de un acuerdo mayoritario</w:t>
      </w:r>
      <w:r w:rsidR="00F3523F">
        <w:rPr>
          <w:rFonts w:ascii="Calibri" w:hAnsi="Calibri" w:cs="Calibri"/>
          <w:color w:val="000000"/>
          <w:shd w:val="clear" w:color="auto" w:fill="FFFFFF"/>
        </w:rPr>
        <w:t>,</w:t>
      </w:r>
      <w:r w:rsidRPr="00D71577">
        <w:rPr>
          <w:rFonts w:ascii="Calibri" w:hAnsi="Calibri" w:cs="Calibri"/>
          <w:color w:val="000000"/>
          <w:shd w:val="clear" w:color="auto" w:fill="FFFFFF"/>
        </w:rPr>
        <w:t xml:space="preserve"> que idóneamente exprese el razonamiento lógico seguido para arribar a la solución del caso</w:t>
      </w:r>
      <w:r w:rsidR="00F3523F">
        <w:rPr>
          <w:rFonts w:ascii="Calibri" w:hAnsi="Calibri" w:cs="Calibri"/>
          <w:color w:val="000000"/>
          <w:shd w:val="clear" w:color="auto" w:fill="FFFFFF"/>
        </w:rPr>
        <w:t>,</w:t>
      </w:r>
      <w:r w:rsidRPr="00D71577">
        <w:rPr>
          <w:rFonts w:ascii="Calibri" w:hAnsi="Calibri" w:cs="Calibri"/>
          <w:color w:val="000000"/>
          <w:shd w:val="clear" w:color="auto" w:fill="FFFFFF"/>
        </w:rPr>
        <w:t xml:space="preserve"> constituye un deber propio de los magistrados de tribunales colegiados dirigido a cumplir con la obligación genérica de resolver, en forma válida, las cuestiones sometidas a su conocimiento</w:t>
      </w:r>
      <w:r w:rsidR="00F3523F">
        <w:rPr>
          <w:rStyle w:val="Refdenotaalpie"/>
          <w:rFonts w:ascii="Calibri" w:hAnsi="Calibri" w:cs="Calibri"/>
          <w:color w:val="000000"/>
          <w:shd w:val="clear" w:color="auto" w:fill="FFFFFF"/>
        </w:rPr>
        <w:footnoteReference w:id="66"/>
      </w:r>
      <w:r w:rsidRPr="00D71577">
        <w:rPr>
          <w:rFonts w:ascii="Calibri" w:hAnsi="Calibri" w:cs="Calibri"/>
          <w:color w:val="000000"/>
          <w:shd w:val="clear" w:color="auto" w:fill="FFFFFF"/>
        </w:rPr>
        <w:t>.</w:t>
      </w:r>
    </w:p>
    <w:p w:rsidR="004738F3" w:rsidRDefault="008050BB" w:rsidP="008050BB">
      <w:pPr>
        <w:spacing w:line="480" w:lineRule="auto"/>
        <w:ind w:firstLine="708"/>
        <w:jc w:val="both"/>
        <w:rPr>
          <w:rFonts w:ascii="Calibri" w:hAnsi="Calibri" w:cs="Calibri"/>
          <w:color w:val="000000"/>
          <w:shd w:val="clear" w:color="auto" w:fill="FFFFFF"/>
        </w:rPr>
      </w:pPr>
      <w:r>
        <w:rPr>
          <w:rFonts w:ascii="Calibri" w:hAnsi="Calibri" w:cs="Calibri"/>
          <w:color w:val="000000"/>
          <w:shd w:val="clear" w:color="auto" w:fill="FFFFFF"/>
        </w:rPr>
        <w:t xml:space="preserve">Tal es, actualmente, la doctrina que tiene fijada la </w:t>
      </w:r>
      <w:r w:rsidR="00F26158">
        <w:rPr>
          <w:rFonts w:ascii="Calibri" w:hAnsi="Calibri" w:cs="Calibri"/>
          <w:color w:val="000000"/>
          <w:shd w:val="clear" w:color="auto" w:fill="FFFFFF"/>
        </w:rPr>
        <w:t>Corte Suprema</w:t>
      </w:r>
      <w:r>
        <w:rPr>
          <w:rFonts w:ascii="Calibri" w:hAnsi="Calibri" w:cs="Calibri"/>
          <w:color w:val="000000"/>
          <w:shd w:val="clear" w:color="auto" w:fill="FFFFFF"/>
        </w:rPr>
        <w:t xml:space="preserve"> Nacional en</w:t>
      </w:r>
      <w:r w:rsidR="004738F3">
        <w:rPr>
          <w:rFonts w:ascii="Calibri" w:hAnsi="Calibri" w:cs="Calibri"/>
          <w:color w:val="000000"/>
          <w:shd w:val="clear" w:color="auto" w:fill="FFFFFF"/>
        </w:rPr>
        <w:t xml:space="preserve"> la materia objeto de análisis. </w:t>
      </w:r>
    </w:p>
    <w:p w:rsidR="005C6293" w:rsidRDefault="008050BB" w:rsidP="008050BB">
      <w:pPr>
        <w:spacing w:line="480" w:lineRule="auto"/>
        <w:ind w:firstLine="708"/>
        <w:jc w:val="both"/>
        <w:rPr>
          <w:rFonts w:ascii="Calibri" w:hAnsi="Calibri" w:cs="Calibri"/>
          <w:color w:val="000000"/>
          <w:shd w:val="clear" w:color="auto" w:fill="FFFFFF"/>
        </w:rPr>
      </w:pPr>
      <w:r>
        <w:rPr>
          <w:rFonts w:ascii="Calibri" w:hAnsi="Calibri" w:cs="Calibri"/>
          <w:color w:val="000000"/>
          <w:shd w:val="clear" w:color="auto" w:fill="FFFFFF"/>
        </w:rPr>
        <w:t xml:space="preserve">En base a, y por aplicación de </w:t>
      </w:r>
      <w:r w:rsidR="00D342DD">
        <w:rPr>
          <w:rFonts w:ascii="Calibri" w:hAnsi="Calibri" w:cs="Calibri"/>
          <w:color w:val="000000"/>
          <w:shd w:val="clear" w:color="auto" w:fill="FFFFFF"/>
        </w:rPr>
        <w:t>la</w:t>
      </w:r>
      <w:r>
        <w:rPr>
          <w:rFonts w:ascii="Calibri" w:hAnsi="Calibri" w:cs="Calibri"/>
          <w:color w:val="000000"/>
          <w:shd w:val="clear" w:color="auto" w:fill="FFFFFF"/>
        </w:rPr>
        <w:t xml:space="preserve"> doctrina</w:t>
      </w:r>
      <w:r w:rsidR="00D342DD">
        <w:rPr>
          <w:rFonts w:ascii="Calibri" w:hAnsi="Calibri" w:cs="Calibri"/>
          <w:color w:val="000000"/>
          <w:shd w:val="clear" w:color="auto" w:fill="FFFFFF"/>
        </w:rPr>
        <w:t xml:space="preserve"> que hemos visto</w:t>
      </w:r>
      <w:r>
        <w:rPr>
          <w:rFonts w:ascii="Calibri" w:hAnsi="Calibri" w:cs="Calibri"/>
          <w:color w:val="000000"/>
          <w:shd w:val="clear" w:color="auto" w:fill="FFFFFF"/>
        </w:rPr>
        <w:t>, el cimero tribunal nacional anula sentencias dictadas por tribunales colegiados declarándolas arbitrarias</w:t>
      </w:r>
      <w:r w:rsidR="00F3523F">
        <w:rPr>
          <w:rFonts w:ascii="Calibri" w:hAnsi="Calibri" w:cs="Calibri"/>
          <w:color w:val="000000"/>
          <w:shd w:val="clear" w:color="auto" w:fill="FFFFFF"/>
        </w:rPr>
        <w:t xml:space="preserve"> y susceptibles de ataque por la vía del Recurso Extraordinario Federal</w:t>
      </w:r>
      <w:r w:rsidR="00F3523F">
        <w:rPr>
          <w:rStyle w:val="Refdenotaalpie"/>
          <w:rFonts w:ascii="Calibri" w:hAnsi="Calibri" w:cs="Calibri"/>
          <w:color w:val="000000"/>
          <w:shd w:val="clear" w:color="auto" w:fill="FFFFFF"/>
        </w:rPr>
        <w:footnoteReference w:id="67"/>
      </w:r>
      <w:r w:rsidR="00F3523F">
        <w:rPr>
          <w:rFonts w:ascii="Calibri" w:hAnsi="Calibri" w:cs="Calibri"/>
          <w:color w:val="000000"/>
          <w:shd w:val="clear" w:color="auto" w:fill="FFFFFF"/>
        </w:rPr>
        <w:t xml:space="preserve">. </w:t>
      </w:r>
      <w:r w:rsidR="005277F9">
        <w:rPr>
          <w:rFonts w:ascii="Calibri" w:hAnsi="Calibri" w:cs="Calibri"/>
          <w:color w:val="000000"/>
          <w:shd w:val="clear" w:color="auto" w:fill="FFFFFF"/>
        </w:rPr>
        <w:t xml:space="preserve"> </w:t>
      </w:r>
    </w:p>
    <w:p w:rsidR="00C876D9" w:rsidRDefault="00C609C4" w:rsidP="008050BB">
      <w:pPr>
        <w:spacing w:line="480" w:lineRule="auto"/>
        <w:ind w:firstLine="708"/>
        <w:jc w:val="both"/>
      </w:pPr>
      <w:r>
        <w:rPr>
          <w:rFonts w:ascii="Calibri" w:hAnsi="Calibri" w:cs="Calibri"/>
          <w:color w:val="000000"/>
          <w:shd w:val="clear" w:color="auto" w:fill="FFFFFF"/>
        </w:rPr>
        <w:t>De hecho, la Corte Suprema ha entendido en diversos pronunciamientos que, no solo es arbitraria la sentencia cuando impugnada la misma por ausencia de mayoría argumental el tribunal omite efectuar un suficiente y fundado análisis al respecto</w:t>
      </w:r>
      <w:r>
        <w:rPr>
          <w:rStyle w:val="Refdenotaalpie"/>
          <w:rFonts w:ascii="Calibri" w:hAnsi="Calibri" w:cs="Calibri"/>
          <w:color w:val="000000"/>
          <w:shd w:val="clear" w:color="auto" w:fill="FFFFFF"/>
        </w:rPr>
        <w:footnoteReference w:id="68"/>
      </w:r>
      <w:r>
        <w:rPr>
          <w:rFonts w:ascii="Calibri" w:hAnsi="Calibri" w:cs="Calibri"/>
          <w:color w:val="000000"/>
          <w:shd w:val="clear" w:color="auto" w:fill="FFFFFF"/>
        </w:rPr>
        <w:t xml:space="preserve">, sino que  tal causal de </w:t>
      </w:r>
      <w:r>
        <w:rPr>
          <w:rFonts w:ascii="Calibri" w:hAnsi="Calibri" w:cs="Calibri"/>
          <w:color w:val="000000"/>
          <w:shd w:val="clear" w:color="auto" w:fill="FFFFFF"/>
        </w:rPr>
        <w:lastRenderedPageBreak/>
        <w:t xml:space="preserve">arbitrariedad debe ser valorada incluso </w:t>
      </w:r>
      <w:r w:rsidR="00C876D9">
        <w:rPr>
          <w:rFonts w:ascii="Calibri" w:hAnsi="Calibri" w:cs="Calibri"/>
          <w:color w:val="000000"/>
          <w:shd w:val="clear" w:color="auto" w:fill="FFFFFF"/>
        </w:rPr>
        <w:t xml:space="preserve">cuando tal vicio no haya </w:t>
      </w:r>
      <w:r>
        <w:rPr>
          <w:rFonts w:ascii="Calibri" w:hAnsi="Calibri" w:cs="Calibri"/>
          <w:color w:val="000000"/>
          <w:shd w:val="clear" w:color="auto" w:fill="FFFFFF"/>
        </w:rPr>
        <w:t xml:space="preserve"> sido motivo de agravio alguno por el recurrente</w:t>
      </w:r>
      <w:r w:rsidR="004738F3">
        <w:rPr>
          <w:rFonts w:ascii="Calibri" w:hAnsi="Calibri" w:cs="Calibri"/>
          <w:color w:val="000000"/>
          <w:shd w:val="clear" w:color="auto" w:fill="FFFFFF"/>
        </w:rPr>
        <w:t xml:space="preserve">. </w:t>
      </w:r>
      <w:r w:rsidR="00D342DD" w:rsidRPr="00D342DD">
        <w:t xml:space="preserve">Es que, </w:t>
      </w:r>
      <w:r w:rsidR="00913BEC">
        <w:t>conforme el criterio sentado por</w:t>
      </w:r>
      <w:r w:rsidR="00D342DD" w:rsidRPr="00D342DD">
        <w:t xml:space="preserve"> la Corte, </w:t>
      </w:r>
      <w:r w:rsidR="00C876D9">
        <w:t xml:space="preserve">la ausencia de agravio referido a </w:t>
      </w:r>
      <w:r w:rsidR="00D53417" w:rsidRPr="00D342DD">
        <w:t>la falta de mayoría de fundamentos coincidentes, no obsta al pronunciamiento del Tribunal sobre el punto toda vez que el examen de la cuestión federal presupone la existencia de una sentencia y una decisión que carece de mayoría de fundamentos no puede ser considerada como tal</w:t>
      </w:r>
      <w:r w:rsidR="00C876D9">
        <w:rPr>
          <w:rStyle w:val="Refdenotaalpie"/>
        </w:rPr>
        <w:footnoteReference w:id="69"/>
      </w:r>
      <w:r w:rsidR="00C876D9">
        <w:t xml:space="preserve">. </w:t>
      </w:r>
    </w:p>
    <w:p w:rsidR="00777D6F" w:rsidRPr="00777D6F" w:rsidRDefault="00C876D9" w:rsidP="008050BB">
      <w:pPr>
        <w:spacing w:line="480" w:lineRule="auto"/>
        <w:ind w:firstLine="708"/>
        <w:jc w:val="both"/>
        <w:rPr>
          <w:rFonts w:ascii="Calibri" w:hAnsi="Calibri" w:cs="Calibri"/>
          <w:b/>
          <w:color w:val="000000"/>
          <w:shd w:val="clear" w:color="auto" w:fill="FFFFFF"/>
        </w:rPr>
      </w:pPr>
      <w:r w:rsidRPr="00C876D9">
        <w:rPr>
          <w:b/>
        </w:rPr>
        <w:t>IV.-</w:t>
      </w:r>
      <w:r>
        <w:t xml:space="preserve"> </w:t>
      </w:r>
      <w:r w:rsidR="00777D6F" w:rsidRPr="00777D6F">
        <w:rPr>
          <w:rFonts w:ascii="Calibri" w:hAnsi="Calibri" w:cs="Calibri"/>
          <w:b/>
          <w:color w:val="000000"/>
          <w:shd w:val="clear" w:color="auto" w:fill="FFFFFF"/>
        </w:rPr>
        <w:t>Los Fallos Corales de la Corte Suprema como una de las razones del incumplimiento por</w:t>
      </w:r>
      <w:r>
        <w:rPr>
          <w:rFonts w:ascii="Calibri" w:hAnsi="Calibri" w:cs="Calibri"/>
          <w:b/>
          <w:color w:val="000000"/>
          <w:shd w:val="clear" w:color="auto" w:fill="FFFFFF"/>
        </w:rPr>
        <w:t xml:space="preserve"> la Corte de su propia doctrina (“HAZ LO QUE YO DIGO, NO LO QUE YO HAGO”) </w:t>
      </w:r>
    </w:p>
    <w:p w:rsidR="00777D6F" w:rsidRDefault="00913BEC" w:rsidP="00D71577">
      <w:pPr>
        <w:spacing w:line="480" w:lineRule="auto"/>
        <w:ind w:firstLine="708"/>
        <w:jc w:val="both"/>
        <w:rPr>
          <w:i/>
        </w:rPr>
      </w:pPr>
      <w:r>
        <w:t xml:space="preserve">Afirma </w:t>
      </w:r>
      <w:r w:rsidR="00777D6F">
        <w:t>MORGENSTERN</w:t>
      </w:r>
      <w:r>
        <w:t xml:space="preserve"> que</w:t>
      </w:r>
      <w:r w:rsidR="00777D6F">
        <w:t xml:space="preserve"> el </w:t>
      </w:r>
      <w:r w:rsidR="00777D6F">
        <w:rPr>
          <w:i/>
        </w:rPr>
        <w:t>“…</w:t>
      </w:r>
      <w:r w:rsidR="00777D6F" w:rsidRPr="008E1D05">
        <w:rPr>
          <w:i/>
        </w:rPr>
        <w:t>Ser supremo implica deberes y responsabilidades, y la ejemplaridad es uno de ellos. La Corte es la intérprete final de la Constitución, y es crucial para el sistema judicial que los tribunales inferiores le otorguen el respeto debido a las decisiones constitucionales emanadas de la Corte. Cuando decide un caso y establece una regla o principio constitucional, la Corte está dando una interpretación final y última de la Constitución no solo para ese caso, sino para los subsiguientes</w:t>
      </w:r>
      <w:r w:rsidR="00777D6F">
        <w:rPr>
          <w:i/>
        </w:rPr>
        <w:t>…”</w:t>
      </w:r>
      <w:r w:rsidR="00777D6F">
        <w:rPr>
          <w:rStyle w:val="Refdenotaalpie"/>
          <w:i/>
        </w:rPr>
        <w:footnoteReference w:id="70"/>
      </w:r>
      <w:r w:rsidR="00777D6F">
        <w:rPr>
          <w:i/>
        </w:rPr>
        <w:t>.</w:t>
      </w:r>
    </w:p>
    <w:p w:rsidR="00191C18" w:rsidRDefault="00777D6F" w:rsidP="00777D6F">
      <w:pPr>
        <w:spacing w:line="480" w:lineRule="auto"/>
        <w:ind w:firstLine="708"/>
        <w:jc w:val="both"/>
      </w:pPr>
      <w:r>
        <w:t>Siendo ello así, es esperable que la Corte Suprema de la Nación, en su calidad de Supremo tribunal nacional y encargada de hacer respetar sus propias doctrinas a los tribunales inferiores</w:t>
      </w:r>
      <w:r w:rsidR="00C876D9">
        <w:t>, cumpla también con sus propios estándares.</w:t>
      </w:r>
    </w:p>
    <w:p w:rsidR="00913BEC" w:rsidRDefault="00191C18" w:rsidP="00777D6F">
      <w:pPr>
        <w:spacing w:line="480" w:lineRule="auto"/>
        <w:ind w:firstLine="708"/>
        <w:jc w:val="both"/>
        <w:rPr>
          <w:i/>
        </w:rPr>
      </w:pPr>
      <w:r>
        <w:lastRenderedPageBreak/>
        <w:t xml:space="preserve">En este sentido ha resuelto la Corte Suprema que </w:t>
      </w:r>
      <w:r>
        <w:rPr>
          <w:i/>
        </w:rPr>
        <w:t>“…</w:t>
      </w:r>
      <w:r w:rsidRPr="00191C18">
        <w:rPr>
          <w:i/>
        </w:rPr>
        <w:t xml:space="preserve">La autoridad institucional de dichos precedentes, fundada en la condición de este Tribunal de intérprete supremo de la Constitución Nacional y de las leyes dictadas en su consecuencia, da lugar a que en oportunidad de fallar casos sustancialmente análogos sus conclusiones sean debidamente consideradas y consecuentemente seguidas tanto por esta misma Corte como por los tribunales inferiores. </w:t>
      </w:r>
    </w:p>
    <w:p w:rsidR="00913BEC" w:rsidRDefault="00191C18" w:rsidP="00777D6F">
      <w:pPr>
        <w:spacing w:line="480" w:lineRule="auto"/>
        <w:ind w:firstLine="708"/>
        <w:jc w:val="both"/>
        <w:rPr>
          <w:i/>
        </w:rPr>
      </w:pPr>
      <w:r w:rsidRPr="00191C18">
        <w:rPr>
          <w:i/>
        </w:rPr>
        <w:t xml:space="preserve">Así, en Fallos: 183:409 se estableció que </w:t>
      </w:r>
      <w:r>
        <w:rPr>
          <w:i/>
        </w:rPr>
        <w:t>el Tribunal no podría apartarse</w:t>
      </w:r>
      <w:r w:rsidRPr="00191C18">
        <w:rPr>
          <w:i/>
        </w:rPr>
        <w:t xml:space="preserve"> de su doctrina, sino sobre la base de causas suficientemente graves como para hacer ineludible un cambio de criterio. Sería en extremo inconveniente para la comunidad si los precedentes no fueran debidamente considerados y consecuentemente seguidos (cf. Thomas M. </w:t>
      </w:r>
      <w:proofErr w:type="spellStart"/>
      <w:r w:rsidRPr="00191C18">
        <w:rPr>
          <w:i/>
        </w:rPr>
        <w:t>Cooley</w:t>
      </w:r>
      <w:proofErr w:type="spellEnd"/>
      <w:r w:rsidRPr="00191C18">
        <w:rPr>
          <w:i/>
        </w:rPr>
        <w:t xml:space="preserve"> citando al Canciller Kent, </w:t>
      </w:r>
      <w:proofErr w:type="spellStart"/>
      <w:r w:rsidRPr="00191C18">
        <w:rPr>
          <w:i/>
        </w:rPr>
        <w:t>Constitutional</w:t>
      </w:r>
      <w:proofErr w:type="spellEnd"/>
      <w:r w:rsidRPr="00191C18">
        <w:rPr>
          <w:i/>
        </w:rPr>
        <w:t xml:space="preserve"> </w:t>
      </w:r>
      <w:proofErr w:type="spellStart"/>
      <w:r w:rsidRPr="00191C18">
        <w:rPr>
          <w:i/>
        </w:rPr>
        <w:t>Limitations</w:t>
      </w:r>
      <w:proofErr w:type="spellEnd"/>
      <w:r w:rsidRPr="00191C18">
        <w:rPr>
          <w:i/>
        </w:rPr>
        <w:t>, t. 1, pág. 116).</w:t>
      </w:r>
    </w:p>
    <w:p w:rsidR="00191C18" w:rsidRPr="00191C18" w:rsidRDefault="00191C18" w:rsidP="00777D6F">
      <w:pPr>
        <w:spacing w:line="480" w:lineRule="auto"/>
        <w:ind w:firstLine="708"/>
        <w:jc w:val="both"/>
      </w:pPr>
      <w:r w:rsidRPr="00191C18">
        <w:rPr>
          <w:i/>
        </w:rPr>
        <w:t xml:space="preserve"> Y aun cuando ello no signifique que la autoridad de los antecedentes sea decisiva en todos los supuestos, ni que pueda en materia constitucional aplicarse el principio de </w:t>
      </w:r>
      <w:proofErr w:type="spellStart"/>
      <w:r w:rsidRPr="00191C18">
        <w:rPr>
          <w:i/>
        </w:rPr>
        <w:t>stare</w:t>
      </w:r>
      <w:proofErr w:type="spellEnd"/>
      <w:r w:rsidRPr="00191C18">
        <w:rPr>
          <w:i/>
        </w:rPr>
        <w:t xml:space="preserve"> </w:t>
      </w:r>
      <w:proofErr w:type="spellStart"/>
      <w:r w:rsidRPr="00191C18">
        <w:rPr>
          <w:i/>
        </w:rPr>
        <w:t>decisis</w:t>
      </w:r>
      <w:proofErr w:type="spellEnd"/>
      <w:r w:rsidRPr="00191C18">
        <w:rPr>
          <w:i/>
        </w:rPr>
        <w:t xml:space="preserve"> sin las debidas reservas-conf. </w:t>
      </w:r>
      <w:proofErr w:type="spellStart"/>
      <w:r w:rsidRPr="00191C18">
        <w:rPr>
          <w:i/>
        </w:rPr>
        <w:t>Willoughby</w:t>
      </w:r>
      <w:proofErr w:type="spellEnd"/>
      <w:r w:rsidRPr="00191C18">
        <w:rPr>
          <w:i/>
        </w:rPr>
        <w:t xml:space="preserve">, </w:t>
      </w:r>
      <w:proofErr w:type="spellStart"/>
      <w:r w:rsidRPr="00191C18">
        <w:rPr>
          <w:i/>
        </w:rPr>
        <w:t>On</w:t>
      </w:r>
      <w:proofErr w:type="spellEnd"/>
      <w:r w:rsidRPr="00191C18">
        <w:rPr>
          <w:i/>
        </w:rPr>
        <w:t xml:space="preserve"> </w:t>
      </w:r>
      <w:proofErr w:type="spellStart"/>
      <w:r w:rsidRPr="00191C18">
        <w:rPr>
          <w:i/>
        </w:rPr>
        <w:t>the</w:t>
      </w:r>
      <w:proofErr w:type="spellEnd"/>
      <w:r w:rsidRPr="00191C18">
        <w:rPr>
          <w:i/>
        </w:rPr>
        <w:t xml:space="preserve"> </w:t>
      </w:r>
      <w:proofErr w:type="spellStart"/>
      <w:r w:rsidRPr="00191C18">
        <w:rPr>
          <w:i/>
        </w:rPr>
        <w:t>Constitution</w:t>
      </w:r>
      <w:proofErr w:type="spellEnd"/>
      <w:r w:rsidRPr="00191C18">
        <w:rPr>
          <w:i/>
        </w:rPr>
        <w:t>, t. 1, pág. 74-, no es menos cierto que cuando de las modalidades del supuesto a fallarse, no resulta de manera clara el error y la inconveniencia de las decisiones ya recaídas sobre la cuestión legal objeto del pleito, la solución del mismo debe buscarse en la doctrina de los referidos precedentes (conf. doctrina de Fallos: 183:409 citado)</w:t>
      </w:r>
      <w:r>
        <w:rPr>
          <w:i/>
        </w:rPr>
        <w:t>…”</w:t>
      </w:r>
      <w:r>
        <w:rPr>
          <w:rStyle w:val="Refdenotaalpie"/>
          <w:i/>
        </w:rPr>
        <w:footnoteReference w:id="71"/>
      </w:r>
    </w:p>
    <w:p w:rsidR="00191C18" w:rsidRDefault="00C876D9" w:rsidP="00D71577">
      <w:pPr>
        <w:spacing w:line="480" w:lineRule="auto"/>
        <w:ind w:firstLine="708"/>
        <w:jc w:val="both"/>
        <w:rPr>
          <w:rStyle w:val="nfasis"/>
          <w:i w:val="0"/>
        </w:rPr>
      </w:pPr>
      <w:r>
        <w:t xml:space="preserve">Teniendo en cuenta ello, </w:t>
      </w:r>
      <w:r w:rsidR="008E1D05">
        <w:t xml:space="preserve"> </w:t>
      </w:r>
      <w:r w:rsidR="00777D6F">
        <w:t>puede afirmarse</w:t>
      </w:r>
      <w:r>
        <w:t xml:space="preserve"> que</w:t>
      </w:r>
      <w:r w:rsidR="00777D6F">
        <w:t xml:space="preserve"> la doctrina de las mayorías aparentes </w:t>
      </w:r>
      <w:r w:rsidR="008E1D05">
        <w:t xml:space="preserve">ha sido impuesta de manera monolítica por el cimero tribunal nacional a los tribunales colegiados inferiores, </w:t>
      </w:r>
      <w:r>
        <w:t>y c</w:t>
      </w:r>
      <w:r w:rsidR="00191C18">
        <w:t xml:space="preserve">onsecuentemente, </w:t>
      </w:r>
      <w:r>
        <w:t xml:space="preserve">que </w:t>
      </w:r>
      <w:r w:rsidR="008E1D05" w:rsidRPr="008E1D05">
        <w:rPr>
          <w:rStyle w:val="nfasis"/>
          <w:i w:val="0"/>
        </w:rPr>
        <w:t>si la Corte Suprema explicita criterios estrictos y decisivos para evaluar la validez de las sentencias de los tribunales colegiados</w:t>
      </w:r>
      <w:r w:rsidR="00191C18">
        <w:rPr>
          <w:rStyle w:val="nfasis"/>
          <w:i w:val="0"/>
        </w:rPr>
        <w:t xml:space="preserve"> –naturaleza ésta que comparte el cimero tribunal-</w:t>
      </w:r>
      <w:r w:rsidR="008E1D05" w:rsidRPr="008E1D05">
        <w:rPr>
          <w:rStyle w:val="nfasis"/>
          <w:i w:val="0"/>
        </w:rPr>
        <w:t xml:space="preserve">, </w:t>
      </w:r>
      <w:r w:rsidR="00777D6F">
        <w:rPr>
          <w:rStyle w:val="nfasis"/>
          <w:i w:val="0"/>
        </w:rPr>
        <w:t>debiera ser</w:t>
      </w:r>
      <w:r w:rsidR="00913BEC">
        <w:rPr>
          <w:rStyle w:val="nfasis"/>
          <w:i w:val="0"/>
        </w:rPr>
        <w:t xml:space="preserve"> </w:t>
      </w:r>
      <w:r w:rsidR="00191C18">
        <w:rPr>
          <w:rStyle w:val="nfasis"/>
          <w:i w:val="0"/>
        </w:rPr>
        <w:t xml:space="preserve">también respetada por aquella. </w:t>
      </w:r>
    </w:p>
    <w:p w:rsidR="00EB58DB" w:rsidRDefault="00191C18" w:rsidP="00D71577">
      <w:pPr>
        <w:spacing w:line="480" w:lineRule="auto"/>
        <w:ind w:firstLine="708"/>
        <w:jc w:val="both"/>
        <w:rPr>
          <w:rFonts w:ascii="Calibri" w:hAnsi="Calibri" w:cs="Calibri"/>
        </w:rPr>
      </w:pPr>
      <w:r>
        <w:rPr>
          <w:rStyle w:val="nfasis"/>
          <w:i w:val="0"/>
        </w:rPr>
        <w:lastRenderedPageBreak/>
        <w:t xml:space="preserve">A pesar de ello, y </w:t>
      </w:r>
      <w:r w:rsidR="008E1D05">
        <w:t xml:space="preserve">paradójicamente, la propia Corte Suprema de la Nación —haciendo gala de su conocido criterio de </w:t>
      </w:r>
      <w:r w:rsidR="00790D5E" w:rsidRPr="00790D5E">
        <w:rPr>
          <w:b/>
        </w:rPr>
        <w:t>“</w:t>
      </w:r>
      <w:r w:rsidR="00790D5E" w:rsidRPr="00C876D9">
        <w:t>HAZ LO QUE DIGO, NO LO QUE HAGO</w:t>
      </w:r>
      <w:r w:rsidR="00790D5E" w:rsidRPr="00790D5E">
        <w:rPr>
          <w:b/>
        </w:rPr>
        <w:t>”</w:t>
      </w:r>
      <w:r w:rsidR="008E1D05">
        <w:t xml:space="preserve">— suele incumplirla. </w:t>
      </w:r>
      <w:r w:rsidR="0036544E">
        <w:t>Baste como prueba</w:t>
      </w:r>
      <w:r w:rsidR="006975E9" w:rsidRPr="00035B02">
        <w:rPr>
          <w:rFonts w:ascii="Calibri" w:hAnsi="Calibri" w:cs="Calibri"/>
          <w:color w:val="000000"/>
          <w:shd w:val="clear" w:color="auto" w:fill="FFFFFF"/>
        </w:rPr>
        <w:t xml:space="preserve"> de ello</w:t>
      </w:r>
      <w:r w:rsidR="00DB3350">
        <w:rPr>
          <w:rFonts w:ascii="Calibri" w:hAnsi="Calibri" w:cs="Calibri"/>
          <w:color w:val="000000"/>
          <w:shd w:val="clear" w:color="auto" w:fill="FFFFFF"/>
        </w:rPr>
        <w:t>,</w:t>
      </w:r>
      <w:r w:rsidR="006975E9" w:rsidRPr="00035B02">
        <w:rPr>
          <w:rFonts w:ascii="Calibri" w:hAnsi="Calibri" w:cs="Calibri"/>
          <w:color w:val="000000"/>
          <w:shd w:val="clear" w:color="auto" w:fill="FFFFFF"/>
        </w:rPr>
        <w:t xml:space="preserve"> traer a colación </w:t>
      </w:r>
      <w:r w:rsidR="00D71577">
        <w:rPr>
          <w:rFonts w:ascii="Calibri" w:hAnsi="Calibri" w:cs="Calibri"/>
          <w:color w:val="000000"/>
          <w:shd w:val="clear" w:color="auto" w:fill="FFFFFF"/>
        </w:rPr>
        <w:t>algunos casos</w:t>
      </w:r>
      <w:r w:rsidR="0036544E">
        <w:rPr>
          <w:rFonts w:ascii="Calibri" w:hAnsi="Calibri" w:cs="Calibri"/>
          <w:color w:val="000000"/>
          <w:shd w:val="clear" w:color="auto" w:fill="FFFFFF"/>
        </w:rPr>
        <w:t xml:space="preserve"> de sentencias dictadas por el cimero tribunal nacional </w:t>
      </w:r>
      <w:r w:rsidR="00D71577">
        <w:rPr>
          <w:rFonts w:ascii="Calibri" w:hAnsi="Calibri" w:cs="Calibri"/>
          <w:color w:val="000000"/>
          <w:shd w:val="clear" w:color="auto" w:fill="FFFFFF"/>
        </w:rPr>
        <w:t xml:space="preserve">tales como </w:t>
      </w:r>
      <w:r w:rsidR="006975E9" w:rsidRPr="00035B02">
        <w:rPr>
          <w:rFonts w:ascii="Calibri" w:hAnsi="Calibri" w:cs="Calibri"/>
          <w:color w:val="000000"/>
          <w:shd w:val="clear" w:color="auto" w:fill="FFFFFF"/>
        </w:rPr>
        <w:t>“Provincia de San Luis (2003)</w:t>
      </w:r>
      <w:r w:rsidR="006975E9" w:rsidRPr="00035B02">
        <w:rPr>
          <w:rStyle w:val="Refdenotaalpie"/>
          <w:rFonts w:ascii="Calibri" w:hAnsi="Calibri" w:cs="Calibri"/>
          <w:color w:val="000000"/>
          <w:shd w:val="clear" w:color="auto" w:fill="FFFFFF"/>
        </w:rPr>
        <w:footnoteReference w:id="72"/>
      </w:r>
      <w:r w:rsidR="006975E9" w:rsidRPr="00035B02">
        <w:rPr>
          <w:rFonts w:ascii="Calibri" w:hAnsi="Calibri" w:cs="Calibri"/>
          <w:color w:val="000000"/>
          <w:shd w:val="clear" w:color="auto" w:fill="FFFFFF"/>
        </w:rPr>
        <w:t>, Bustos (200</w:t>
      </w:r>
      <w:r w:rsidR="00EB58DB" w:rsidRPr="00035B02">
        <w:rPr>
          <w:rFonts w:ascii="Calibri" w:hAnsi="Calibri" w:cs="Calibri"/>
          <w:color w:val="000000"/>
          <w:shd w:val="clear" w:color="auto" w:fill="FFFFFF"/>
        </w:rPr>
        <w:t>4</w:t>
      </w:r>
      <w:r w:rsidR="006975E9" w:rsidRPr="00035B02">
        <w:rPr>
          <w:rFonts w:ascii="Calibri" w:hAnsi="Calibri" w:cs="Calibri"/>
          <w:color w:val="000000"/>
          <w:shd w:val="clear" w:color="auto" w:fill="FFFFFF"/>
        </w:rPr>
        <w:t>.)</w:t>
      </w:r>
      <w:r w:rsidR="006975E9" w:rsidRPr="00035B02">
        <w:rPr>
          <w:rStyle w:val="Refdenotaalpie"/>
          <w:rFonts w:ascii="Calibri" w:hAnsi="Calibri" w:cs="Calibri"/>
          <w:color w:val="000000"/>
          <w:shd w:val="clear" w:color="auto" w:fill="FFFFFF"/>
        </w:rPr>
        <w:footnoteReference w:id="73"/>
      </w:r>
      <w:r w:rsidR="006975E9" w:rsidRPr="00035B02">
        <w:rPr>
          <w:rFonts w:ascii="Calibri" w:hAnsi="Calibri" w:cs="Calibri"/>
          <w:color w:val="000000"/>
          <w:shd w:val="clear" w:color="auto" w:fill="FFFFFF"/>
        </w:rPr>
        <w:t xml:space="preserve">, </w:t>
      </w:r>
      <w:r w:rsidR="00EB58DB" w:rsidRPr="00035B02">
        <w:rPr>
          <w:rFonts w:ascii="Calibri" w:hAnsi="Calibri" w:cs="Calibri"/>
          <w:color w:val="000000"/>
          <w:shd w:val="clear" w:color="auto" w:fill="FFFFFF"/>
        </w:rPr>
        <w:t>“Arancibia Clavel (2004)”</w:t>
      </w:r>
      <w:r w:rsidR="00EB58DB" w:rsidRPr="00035B02">
        <w:rPr>
          <w:rStyle w:val="Refdenotaalpie"/>
          <w:rFonts w:ascii="Calibri" w:hAnsi="Calibri" w:cs="Calibri"/>
          <w:color w:val="000000"/>
          <w:shd w:val="clear" w:color="auto" w:fill="FFFFFF"/>
        </w:rPr>
        <w:footnoteReference w:id="74"/>
      </w:r>
      <w:r w:rsidR="0036544E">
        <w:rPr>
          <w:rFonts w:ascii="Calibri" w:hAnsi="Calibri" w:cs="Calibri"/>
          <w:color w:val="000000"/>
          <w:shd w:val="clear" w:color="auto" w:fill="FFFFFF"/>
        </w:rPr>
        <w:t>,</w:t>
      </w:r>
      <w:r w:rsidR="00EB58DB" w:rsidRPr="00035B02">
        <w:rPr>
          <w:rFonts w:ascii="Calibri" w:hAnsi="Calibri" w:cs="Calibri"/>
          <w:color w:val="000000"/>
          <w:shd w:val="clear" w:color="auto" w:fill="FFFFFF"/>
        </w:rPr>
        <w:t xml:space="preserve"> </w:t>
      </w:r>
      <w:r w:rsidR="005B6527" w:rsidRPr="00002049">
        <w:rPr>
          <w:rFonts w:cstheme="minorHAnsi"/>
        </w:rPr>
        <w:t xml:space="preserve">Carranza </w:t>
      </w:r>
      <w:proofErr w:type="spellStart"/>
      <w:r w:rsidR="005B6527" w:rsidRPr="00002049">
        <w:rPr>
          <w:rFonts w:cstheme="minorHAnsi"/>
        </w:rPr>
        <w:t>Latrubesse</w:t>
      </w:r>
      <w:proofErr w:type="spellEnd"/>
      <w:r w:rsidR="005B6527" w:rsidRPr="00002049">
        <w:rPr>
          <w:rFonts w:cstheme="minorHAnsi"/>
        </w:rPr>
        <w:t xml:space="preserve"> (2013)</w:t>
      </w:r>
      <w:r w:rsidR="005B6527" w:rsidRPr="00002049">
        <w:rPr>
          <w:rStyle w:val="Refdenotaalpie"/>
          <w:rFonts w:cstheme="minorHAnsi"/>
        </w:rPr>
        <w:footnoteReference w:id="75"/>
      </w:r>
      <w:r w:rsidR="005B6527">
        <w:rPr>
          <w:rFonts w:cstheme="minorHAnsi"/>
        </w:rPr>
        <w:t>, entre otros</w:t>
      </w:r>
      <w:r w:rsidR="0036544E">
        <w:rPr>
          <w:rFonts w:cstheme="minorHAnsi"/>
        </w:rPr>
        <w:t xml:space="preserve">. </w:t>
      </w:r>
      <w:r w:rsidR="005B6527">
        <w:rPr>
          <w:rFonts w:cstheme="minorHAnsi"/>
        </w:rPr>
        <w:t xml:space="preserve">- </w:t>
      </w:r>
    </w:p>
    <w:p w:rsidR="0085443E" w:rsidRDefault="0036544E" w:rsidP="0085443E">
      <w:pPr>
        <w:spacing w:line="480" w:lineRule="auto"/>
        <w:ind w:firstLine="708"/>
        <w:jc w:val="both"/>
      </w:pPr>
      <w:r>
        <w:rPr>
          <w:rFonts w:ascii="Calibri" w:hAnsi="Calibri" w:cs="Calibri"/>
        </w:rPr>
        <w:lastRenderedPageBreak/>
        <w:t xml:space="preserve">Esto </w:t>
      </w:r>
      <w:r w:rsidR="0085443E">
        <w:rPr>
          <w:rFonts w:ascii="Calibri" w:hAnsi="Calibri" w:cs="Calibri"/>
        </w:rPr>
        <w:t xml:space="preserve"> </w:t>
      </w:r>
      <w:r w:rsidR="0085443E">
        <w:t xml:space="preserve">ha sido reconocido por el Dr. </w:t>
      </w:r>
      <w:proofErr w:type="spellStart"/>
      <w:r w:rsidR="0085443E">
        <w:t>Lorenzetti</w:t>
      </w:r>
      <w:proofErr w:type="spellEnd"/>
      <w:r w:rsidR="0085443E">
        <w:t xml:space="preserve"> en su voto concurrente in re </w:t>
      </w:r>
      <w:r>
        <w:t>“Menéndez”</w:t>
      </w:r>
      <w:r w:rsidR="0085443E">
        <w:t xml:space="preserve"> al afirmar</w:t>
      </w:r>
      <w:r w:rsidR="0085443E" w:rsidRPr="00C20E6D">
        <w:rPr>
          <w:i/>
        </w:rPr>
        <w:t xml:space="preserve">: “…5°) Que, en este sentido, esta Corte Suprema sostuvo, durante mucho tiempo, que la falta de coincidencia en los argumentos de los votos que conforman la mayoría importa la descalificación de la sentencia (Fallos: 316:1991). Que, sin embargo, </w:t>
      </w:r>
      <w:r w:rsidR="0085443E" w:rsidRPr="0036544E">
        <w:rPr>
          <w:i/>
          <w:u w:val="single"/>
        </w:rPr>
        <w:t>esta misma Corte Suprema</w:t>
      </w:r>
      <w:r w:rsidR="0085443E" w:rsidRPr="00C20E6D">
        <w:rPr>
          <w:i/>
        </w:rPr>
        <w:t xml:space="preserve">, en los últimos dos años, </w:t>
      </w:r>
      <w:r w:rsidR="0085443E" w:rsidRPr="0036544E">
        <w:rPr>
          <w:i/>
          <w:u w:val="single"/>
        </w:rPr>
        <w:t>ha dictado sentencias en las que no está claramente configurada la unidad de fundamento</w:t>
      </w:r>
      <w:r w:rsidR="0085443E" w:rsidRPr="00C20E6D">
        <w:rPr>
          <w:i/>
        </w:rPr>
        <w:t>s. Que, asimismo, se trata de un defecto cuyos límites, en muchos casos, resultan imprecisos y abren un margen de discrecionalidad en su análisis, que podría afectar la seguridad jurídica. Que, por lo tanto, el control del acto jurisdiccional con base en esta causal debe ser sometido a un análisis muy restrictivo, ya que sus límites son confusos en la jurisprudencia de los tribunales y puede dar lugar a una afectación del derecho de defensa en juicio. Que, por esta razón corresponde distinguir el supuesto en que no hay una coincidencia de argumentos, que, como dijimos, es difícil de precisar conforme a la última</w:t>
      </w:r>
      <w:r w:rsidR="0085443E">
        <w:rPr>
          <w:i/>
        </w:rPr>
        <w:t xml:space="preserve"> </w:t>
      </w:r>
      <w:r w:rsidR="0085443E" w:rsidRPr="00C20E6D">
        <w:rPr>
          <w:i/>
        </w:rPr>
        <w:t>jurisprudencia de esta Corte, de aquel en que se resuelven aspectos distintos, o se lo hace en forma contradictoria o sin guardar la mínima concordancia lógica y argumental requerida a los fallos judiciales (Fallos: 316:1991)</w:t>
      </w:r>
      <w:r w:rsidR="0085443E">
        <w:rPr>
          <w:i/>
        </w:rPr>
        <w:t>…</w:t>
      </w:r>
      <w:proofErr w:type="gramStart"/>
      <w:r w:rsidR="0085443E">
        <w:rPr>
          <w:i/>
        </w:rPr>
        <w:t>”</w:t>
      </w:r>
      <w:r>
        <w:t>(</w:t>
      </w:r>
      <w:proofErr w:type="gramEnd"/>
      <w:r>
        <w:t>Subrayado me pertenece)</w:t>
      </w:r>
      <w:r w:rsidR="0085443E">
        <w:rPr>
          <w:rStyle w:val="Refdenotaalpie"/>
          <w:i/>
        </w:rPr>
        <w:footnoteReference w:id="76"/>
      </w:r>
    </w:p>
    <w:p w:rsidR="0036544E" w:rsidRDefault="0085443E" w:rsidP="0085443E">
      <w:pPr>
        <w:spacing w:line="480" w:lineRule="auto"/>
        <w:jc w:val="both"/>
        <w:rPr>
          <w:rFonts w:ascii="Calibri" w:hAnsi="Calibri" w:cs="Calibri"/>
          <w:color w:val="000000"/>
          <w:shd w:val="clear" w:color="auto" w:fill="FFFFFF"/>
        </w:rPr>
      </w:pPr>
      <w:r>
        <w:tab/>
        <w:t xml:space="preserve">Amén de la dificultad denunciada por el Dr. </w:t>
      </w:r>
      <w:proofErr w:type="spellStart"/>
      <w:r>
        <w:t>Lorenzetti</w:t>
      </w:r>
      <w:proofErr w:type="spellEnd"/>
      <w:r w:rsidR="0036544E">
        <w:t xml:space="preserve"> en el caso precedentemente aludido</w:t>
      </w:r>
      <w:r>
        <w:t>, entendemos que e</w:t>
      </w:r>
      <w:r w:rsidR="00790D5E">
        <w:rPr>
          <w:rFonts w:ascii="Calibri" w:hAnsi="Calibri" w:cs="Calibri"/>
          <w:color w:val="000000"/>
          <w:shd w:val="clear" w:color="auto" w:fill="FFFFFF"/>
        </w:rPr>
        <w:t xml:space="preserve">ste incumplimiento de su propia doctrina </w:t>
      </w:r>
      <w:r w:rsidR="004738F3">
        <w:rPr>
          <w:rFonts w:ascii="Calibri" w:hAnsi="Calibri" w:cs="Calibri"/>
          <w:color w:val="000000"/>
          <w:shd w:val="clear" w:color="auto" w:fill="FFFFFF"/>
        </w:rPr>
        <w:t xml:space="preserve">en que suele incurrir el cimero tribunal nacional </w:t>
      </w:r>
      <w:r w:rsidR="00790D5E">
        <w:rPr>
          <w:rFonts w:ascii="Calibri" w:hAnsi="Calibri" w:cs="Calibri"/>
          <w:color w:val="000000"/>
          <w:shd w:val="clear" w:color="auto" w:fill="FFFFFF"/>
        </w:rPr>
        <w:t xml:space="preserve">puede encontrar su </w:t>
      </w:r>
      <w:r w:rsidR="00477568">
        <w:rPr>
          <w:rFonts w:ascii="Calibri" w:hAnsi="Calibri" w:cs="Calibri"/>
          <w:color w:val="000000"/>
          <w:shd w:val="clear" w:color="auto" w:fill="FFFFFF"/>
        </w:rPr>
        <w:t xml:space="preserve"> causa</w:t>
      </w:r>
      <w:r w:rsidR="00790D5E">
        <w:rPr>
          <w:rFonts w:ascii="Calibri" w:hAnsi="Calibri" w:cs="Calibri"/>
          <w:color w:val="000000"/>
          <w:shd w:val="clear" w:color="auto" w:fill="FFFFFF"/>
        </w:rPr>
        <w:t xml:space="preserve"> </w:t>
      </w:r>
      <w:r>
        <w:rPr>
          <w:rFonts w:ascii="Calibri" w:hAnsi="Calibri" w:cs="Calibri"/>
          <w:color w:val="000000"/>
          <w:shd w:val="clear" w:color="auto" w:fill="FFFFFF"/>
        </w:rPr>
        <w:t xml:space="preserve">también </w:t>
      </w:r>
      <w:r w:rsidR="00790D5E">
        <w:rPr>
          <w:rFonts w:ascii="Calibri" w:hAnsi="Calibri" w:cs="Calibri"/>
          <w:color w:val="000000"/>
          <w:shd w:val="clear" w:color="auto" w:fill="FFFFFF"/>
        </w:rPr>
        <w:t xml:space="preserve">en </w:t>
      </w:r>
      <w:r>
        <w:rPr>
          <w:rFonts w:ascii="Calibri" w:hAnsi="Calibri" w:cs="Calibri"/>
          <w:color w:val="000000"/>
          <w:shd w:val="clear" w:color="auto" w:fill="FFFFFF"/>
        </w:rPr>
        <w:t>otras</w:t>
      </w:r>
      <w:r w:rsidR="00790D5E">
        <w:rPr>
          <w:rFonts w:ascii="Calibri" w:hAnsi="Calibri" w:cs="Calibri"/>
          <w:color w:val="000000"/>
          <w:shd w:val="clear" w:color="auto" w:fill="FFFFFF"/>
        </w:rPr>
        <w:t xml:space="preserve"> razones. Entre ellas, la modalidad de “fallos corales”</w:t>
      </w:r>
      <w:r w:rsidR="00790D5E">
        <w:rPr>
          <w:rStyle w:val="Refdenotaalpie"/>
          <w:rFonts w:ascii="Calibri" w:hAnsi="Calibri" w:cs="Calibri"/>
          <w:color w:val="000000"/>
          <w:shd w:val="clear" w:color="auto" w:fill="FFFFFF"/>
        </w:rPr>
        <w:footnoteReference w:id="77"/>
      </w:r>
      <w:r w:rsidR="00F26158">
        <w:rPr>
          <w:rFonts w:ascii="Calibri" w:hAnsi="Calibri" w:cs="Calibri"/>
          <w:color w:val="000000"/>
          <w:shd w:val="clear" w:color="auto" w:fill="FFFFFF"/>
        </w:rPr>
        <w:t xml:space="preserve"> que suele adoptar para dictar sus resoluciones.</w:t>
      </w:r>
      <w:r w:rsidR="00C20E6D">
        <w:rPr>
          <w:rFonts w:ascii="Calibri" w:hAnsi="Calibri" w:cs="Calibri"/>
          <w:color w:val="000000"/>
          <w:shd w:val="clear" w:color="auto" w:fill="FFFFFF"/>
        </w:rPr>
        <w:t xml:space="preserve"> </w:t>
      </w:r>
    </w:p>
    <w:p w:rsidR="00790D5E" w:rsidRDefault="00790D5E" w:rsidP="0036544E">
      <w:pPr>
        <w:spacing w:line="480" w:lineRule="auto"/>
        <w:ind w:firstLine="708"/>
        <w:jc w:val="both"/>
      </w:pPr>
      <w:r>
        <w:t xml:space="preserve">En efecto, </w:t>
      </w:r>
      <w:r w:rsidR="00477568">
        <w:t xml:space="preserve">el máximo tribunal nacional </w:t>
      </w:r>
      <w:r>
        <w:t xml:space="preserve"> suele no elaborar una sentencia </w:t>
      </w:r>
      <w:r w:rsidR="00477568">
        <w:t xml:space="preserve">de voto único para la </w:t>
      </w:r>
      <w:r>
        <w:t>mayoría, sino que cada ministro</w:t>
      </w:r>
      <w:r w:rsidR="00477568">
        <w:t>,</w:t>
      </w:r>
      <w:r>
        <w:t xml:space="preserve"> </w:t>
      </w:r>
      <w:r w:rsidR="00477568">
        <w:t xml:space="preserve">incluso cuando sus fundamentos son los mismos, </w:t>
      </w:r>
      <w:r w:rsidR="00275F28">
        <w:t xml:space="preserve">dicta </w:t>
      </w:r>
      <w:r w:rsidR="00275F28">
        <w:lastRenderedPageBreak/>
        <w:t>su propio voto intentando priorizar sus posiciones individuales e imprimirle su propia impronta a cada caso.</w:t>
      </w:r>
    </w:p>
    <w:p w:rsidR="00790D5E" w:rsidRDefault="00790D5E" w:rsidP="004738F3">
      <w:pPr>
        <w:spacing w:line="480" w:lineRule="auto"/>
        <w:ind w:firstLine="708"/>
        <w:jc w:val="both"/>
        <w:rPr>
          <w:rFonts w:cstheme="minorHAnsi"/>
        </w:rPr>
      </w:pPr>
      <w:r>
        <w:t>Este sistema coral de sentencia por un lado enriquece la deliberación</w:t>
      </w:r>
      <w:r w:rsidR="005277F9">
        <w:rPr>
          <w:rStyle w:val="Refdenotaalpie"/>
        </w:rPr>
        <w:footnoteReference w:id="78"/>
      </w:r>
      <w:r w:rsidR="00F26158">
        <w:t xml:space="preserve"> en tanto se amplía el espectro </w:t>
      </w:r>
      <w:r w:rsidR="00B7203A">
        <w:t>de argumentos utilizados por cada ministro</w:t>
      </w:r>
      <w:r>
        <w:t xml:space="preserve">, pero </w:t>
      </w:r>
      <w:r w:rsidR="004738F3">
        <w:t>por</w:t>
      </w:r>
      <w:r>
        <w:t xml:space="preserve"> contrapartida </w:t>
      </w:r>
      <w:r w:rsidR="00B7203A">
        <w:t xml:space="preserve">provoca una </w:t>
      </w:r>
      <w:r>
        <w:t xml:space="preserve">dispersión </w:t>
      </w:r>
      <w:r w:rsidR="004738F3">
        <w:t>argumental</w:t>
      </w:r>
      <w:r w:rsidR="00275F28">
        <w:t xml:space="preserve"> que </w:t>
      </w:r>
      <w:r>
        <w:t>demuestra</w:t>
      </w:r>
      <w:r w:rsidR="00477568">
        <w:t>,</w:t>
      </w:r>
      <w:r>
        <w:t xml:space="preserve"> en su dimensión interna, por un lado, falta de cohesión entre los integrantes de la Corte, lo que provoca el debilitamiento de la autoridad del órgano</w:t>
      </w:r>
      <w:r w:rsidR="00C20E6D">
        <w:t>, y</w:t>
      </w:r>
      <w:r>
        <w:t xml:space="preserve"> </w:t>
      </w:r>
      <w:r w:rsidR="004738F3">
        <w:t>señala</w:t>
      </w:r>
      <w:r>
        <w:t xml:space="preserve"> que la deliberación no fue llevada a cabo conforme aquellos cánones adecuados para alcanzar los debidos consensos</w:t>
      </w:r>
      <w:r w:rsidR="005B3A7D" w:rsidRPr="005B3A7D">
        <w:rPr>
          <w:rStyle w:val="Refdenotaalpie"/>
        </w:rPr>
        <w:footnoteReference w:id="79"/>
      </w:r>
      <w:r>
        <w:t xml:space="preserve">. </w:t>
      </w:r>
      <w:r w:rsidR="004738F3">
        <w:t xml:space="preserve">Por su parte, </w:t>
      </w:r>
      <w:r>
        <w:t>en su dimensión externa, provoca dificultades por parte de los tribunales inferiores  para interpretar y seguir la doctrina que se pudiere establecer en el precedente</w:t>
      </w:r>
      <w:r>
        <w:rPr>
          <w:rStyle w:val="Refdenotaalpie"/>
        </w:rPr>
        <w:footnoteReference w:id="80"/>
      </w:r>
      <w:r>
        <w:t>.</w:t>
      </w:r>
      <w:r w:rsidR="004738F3">
        <w:t xml:space="preserve"> </w:t>
      </w:r>
      <w:r w:rsidR="00C20E6D">
        <w:t>Finalmente</w:t>
      </w:r>
      <w:r w:rsidR="004738F3">
        <w:t xml:space="preserve">, a nuestro criterio, </w:t>
      </w:r>
      <w:r w:rsidR="00477568" w:rsidRPr="005B3A7D">
        <w:rPr>
          <w:rFonts w:cstheme="minorHAnsi"/>
        </w:rPr>
        <w:t xml:space="preserve">acentúa el riesgo de </w:t>
      </w:r>
      <w:r w:rsidR="004738F3">
        <w:rPr>
          <w:rFonts w:cstheme="minorHAnsi"/>
        </w:rPr>
        <w:t xml:space="preserve">hacer </w:t>
      </w:r>
      <w:r w:rsidR="00477568" w:rsidRPr="005B3A7D">
        <w:rPr>
          <w:rFonts w:cstheme="minorHAnsi"/>
        </w:rPr>
        <w:t xml:space="preserve">incurrir </w:t>
      </w:r>
      <w:r w:rsidR="004738F3">
        <w:rPr>
          <w:rFonts w:cstheme="minorHAnsi"/>
        </w:rPr>
        <w:t xml:space="preserve">al resolutorio </w:t>
      </w:r>
      <w:r w:rsidR="00477568" w:rsidRPr="005B3A7D">
        <w:rPr>
          <w:rFonts w:cstheme="minorHAnsi"/>
        </w:rPr>
        <w:t xml:space="preserve">en la causal de arbitrariedad que hemos venido analizando en el presente trabajo. </w:t>
      </w:r>
      <w:r w:rsidR="00B7203A">
        <w:rPr>
          <w:rFonts w:cstheme="minorHAnsi"/>
        </w:rPr>
        <w:t xml:space="preserve">Ello así pues el criterio de la mayoría </w:t>
      </w:r>
      <w:r w:rsidR="004738F3">
        <w:rPr>
          <w:rFonts w:cstheme="minorHAnsi"/>
        </w:rPr>
        <w:t xml:space="preserve">se sostendrá </w:t>
      </w:r>
      <w:r w:rsidR="005B3A7D" w:rsidRPr="005B3A7D">
        <w:rPr>
          <w:rFonts w:cstheme="minorHAnsi"/>
        </w:rPr>
        <w:t>en un mosaico de razones diversas</w:t>
      </w:r>
      <w:r w:rsidR="004738F3">
        <w:rPr>
          <w:rFonts w:cstheme="minorHAnsi"/>
        </w:rPr>
        <w:t xml:space="preserve"> que no necesariamente serán coincidentes, es decir, que no guardarán</w:t>
      </w:r>
      <w:r w:rsidR="004738F3">
        <w:t xml:space="preserve"> entre sí la </w:t>
      </w:r>
      <w:r w:rsidR="004738F3">
        <w:lastRenderedPageBreak/>
        <w:t>mínima concordancia lógica y argumental requerida a los fallos judiciales por ese mismo cimero tribunal nacional</w:t>
      </w:r>
      <w:r w:rsidR="004738F3">
        <w:rPr>
          <w:rStyle w:val="Refdenotaalpie"/>
        </w:rPr>
        <w:footnoteReference w:id="81"/>
      </w:r>
      <w:r w:rsidR="005B3A7D">
        <w:rPr>
          <w:rFonts w:cstheme="minorHAnsi"/>
        </w:rPr>
        <w:t>.</w:t>
      </w:r>
      <w:r w:rsidR="005B3A7D" w:rsidRPr="005B3A7D">
        <w:rPr>
          <w:rFonts w:cstheme="minorHAnsi"/>
        </w:rPr>
        <w:t xml:space="preserve"> </w:t>
      </w:r>
    </w:p>
    <w:p w:rsidR="00B7203A" w:rsidRPr="005B6527" w:rsidRDefault="00B7203A" w:rsidP="00B7203A">
      <w:pPr>
        <w:pStyle w:val="NormalWeb"/>
        <w:spacing w:line="480" w:lineRule="auto"/>
        <w:ind w:firstLine="708"/>
        <w:jc w:val="both"/>
        <w:rPr>
          <w:rFonts w:asciiTheme="minorHAnsi" w:hAnsiTheme="minorHAnsi" w:cstheme="minorHAnsi"/>
          <w:sz w:val="22"/>
          <w:szCs w:val="22"/>
        </w:rPr>
      </w:pPr>
      <w:r w:rsidRPr="005B6527">
        <w:rPr>
          <w:rFonts w:asciiTheme="minorHAnsi" w:hAnsiTheme="minorHAnsi" w:cstheme="minorHAnsi"/>
          <w:sz w:val="22"/>
          <w:szCs w:val="22"/>
        </w:rPr>
        <w:t xml:space="preserve">Razones </w:t>
      </w:r>
      <w:r>
        <w:rPr>
          <w:rFonts w:asciiTheme="minorHAnsi" w:hAnsiTheme="minorHAnsi" w:cstheme="minorHAnsi"/>
          <w:sz w:val="22"/>
          <w:szCs w:val="22"/>
        </w:rPr>
        <w:t xml:space="preserve">éstas </w:t>
      </w:r>
      <w:r w:rsidRPr="005B6527">
        <w:rPr>
          <w:rFonts w:asciiTheme="minorHAnsi" w:hAnsiTheme="minorHAnsi" w:cstheme="minorHAnsi"/>
          <w:sz w:val="22"/>
          <w:szCs w:val="22"/>
        </w:rPr>
        <w:t>p</w:t>
      </w:r>
      <w:r>
        <w:rPr>
          <w:rFonts w:asciiTheme="minorHAnsi" w:hAnsiTheme="minorHAnsi" w:cstheme="minorHAnsi"/>
          <w:sz w:val="22"/>
          <w:szCs w:val="22"/>
        </w:rPr>
        <w:t>or las cuales, consideramos que, en aras de sostener la validez de la sentencia,</w:t>
      </w:r>
      <w:r w:rsidRPr="005B6527">
        <w:rPr>
          <w:rFonts w:asciiTheme="minorHAnsi" w:hAnsiTheme="minorHAnsi" w:cstheme="minorHAnsi"/>
          <w:sz w:val="22"/>
          <w:szCs w:val="22"/>
        </w:rPr>
        <w:t xml:space="preserve"> la deliberación coral debería desembocar en un voto común que sintetice </w:t>
      </w:r>
      <w:r>
        <w:rPr>
          <w:rFonts w:asciiTheme="minorHAnsi" w:hAnsiTheme="minorHAnsi" w:cstheme="minorHAnsi"/>
          <w:sz w:val="22"/>
          <w:szCs w:val="22"/>
        </w:rPr>
        <w:t xml:space="preserve">y resalte </w:t>
      </w:r>
      <w:r w:rsidRPr="005B6527">
        <w:rPr>
          <w:rFonts w:asciiTheme="minorHAnsi" w:hAnsiTheme="minorHAnsi" w:cstheme="minorHAnsi"/>
          <w:sz w:val="22"/>
          <w:szCs w:val="22"/>
        </w:rPr>
        <w:t>lo compartido, con eventuales disidencias, para evitar la dispersión argumental.</w:t>
      </w:r>
    </w:p>
    <w:p w:rsidR="00913BEC" w:rsidRDefault="00687C6C" w:rsidP="0085443E">
      <w:pPr>
        <w:pStyle w:val="NormalWeb"/>
        <w:spacing w:line="480" w:lineRule="auto"/>
        <w:ind w:firstLine="708"/>
        <w:jc w:val="both"/>
        <w:rPr>
          <w:rFonts w:asciiTheme="minorHAnsi" w:hAnsiTheme="minorHAnsi" w:cstheme="minorHAnsi"/>
          <w:i/>
          <w:sz w:val="22"/>
          <w:szCs w:val="22"/>
        </w:rPr>
      </w:pPr>
      <w:r>
        <w:rPr>
          <w:rFonts w:asciiTheme="minorHAnsi" w:hAnsiTheme="minorHAnsi" w:cstheme="minorHAnsi"/>
          <w:sz w:val="22"/>
          <w:szCs w:val="22"/>
        </w:rPr>
        <w:t xml:space="preserve">Ya hace más de una década </w:t>
      </w:r>
      <w:r w:rsidR="004738F3">
        <w:rPr>
          <w:rFonts w:asciiTheme="minorHAnsi" w:hAnsiTheme="minorHAnsi" w:cstheme="minorHAnsi"/>
          <w:sz w:val="22"/>
          <w:szCs w:val="22"/>
        </w:rPr>
        <w:t>hacía</w:t>
      </w:r>
      <w:r>
        <w:rPr>
          <w:rFonts w:asciiTheme="minorHAnsi" w:hAnsiTheme="minorHAnsi" w:cstheme="minorHAnsi"/>
          <w:sz w:val="22"/>
          <w:szCs w:val="22"/>
        </w:rPr>
        <w:t xml:space="preserve"> notar AMAYA que </w:t>
      </w:r>
      <w:r>
        <w:rPr>
          <w:rFonts w:asciiTheme="minorHAnsi" w:hAnsiTheme="minorHAnsi" w:cstheme="minorHAnsi"/>
          <w:i/>
          <w:sz w:val="22"/>
          <w:szCs w:val="22"/>
        </w:rPr>
        <w:t>“…</w:t>
      </w:r>
      <w:r w:rsidRPr="00687C6C">
        <w:rPr>
          <w:rFonts w:asciiTheme="minorHAnsi" w:hAnsiTheme="minorHAnsi" w:cstheme="minorHAnsi"/>
          <w:i/>
          <w:sz w:val="22"/>
          <w:szCs w:val="22"/>
        </w:rPr>
        <w:t xml:space="preserve">Tal como viene sucediendo en varios casos fallados por la Corte Suprema de Justicia de la Nación (CSJN) con la composición actual, </w:t>
      </w:r>
      <w:r w:rsidR="00CA4489">
        <w:rPr>
          <w:rFonts w:asciiTheme="minorHAnsi" w:hAnsiTheme="minorHAnsi" w:cstheme="minorHAnsi"/>
          <w:i/>
          <w:sz w:val="22"/>
          <w:szCs w:val="22"/>
        </w:rPr>
        <w:t>(…)</w:t>
      </w:r>
      <w:r w:rsidRPr="00687C6C">
        <w:rPr>
          <w:rFonts w:asciiTheme="minorHAnsi" w:hAnsiTheme="minorHAnsi" w:cstheme="minorHAnsi"/>
          <w:i/>
          <w:sz w:val="22"/>
          <w:szCs w:val="22"/>
        </w:rPr>
        <w:t xml:space="preserve">, los cuatro integrantes actuales del STJ fallan a través de votos individuales, lo que requiere un especial esfuerzo del lector para advertir cuales han sido los argumentos coincidentes en pos del respeto del principio de congruencia cualitativa de la sentencia </w:t>
      </w:r>
      <w:r>
        <w:rPr>
          <w:rFonts w:asciiTheme="minorHAnsi" w:hAnsiTheme="minorHAnsi" w:cstheme="minorHAnsi"/>
          <w:i/>
          <w:sz w:val="22"/>
          <w:szCs w:val="22"/>
        </w:rPr>
        <w:t>(…</w:t>
      </w:r>
      <w:r w:rsidRPr="00687C6C">
        <w:rPr>
          <w:rFonts w:asciiTheme="minorHAnsi" w:hAnsiTheme="minorHAnsi" w:cstheme="minorHAnsi"/>
          <w:i/>
          <w:sz w:val="22"/>
          <w:szCs w:val="22"/>
        </w:rPr>
        <w:t>)</w:t>
      </w:r>
    </w:p>
    <w:p w:rsidR="00913BEC" w:rsidRDefault="00687C6C" w:rsidP="0085443E">
      <w:pPr>
        <w:pStyle w:val="NormalWeb"/>
        <w:spacing w:line="480" w:lineRule="auto"/>
        <w:ind w:firstLine="708"/>
        <w:jc w:val="both"/>
        <w:rPr>
          <w:rFonts w:asciiTheme="minorHAnsi" w:hAnsiTheme="minorHAnsi" w:cstheme="minorHAnsi"/>
          <w:i/>
          <w:sz w:val="22"/>
          <w:szCs w:val="22"/>
        </w:rPr>
      </w:pPr>
      <w:r w:rsidRPr="00687C6C">
        <w:rPr>
          <w:rFonts w:asciiTheme="minorHAnsi" w:hAnsiTheme="minorHAnsi" w:cstheme="minorHAnsi"/>
          <w:i/>
          <w:sz w:val="22"/>
          <w:szCs w:val="22"/>
        </w:rPr>
        <w:t xml:space="preserve"> Este tema, </w:t>
      </w:r>
      <w:r w:rsidR="004738F3">
        <w:rPr>
          <w:rFonts w:asciiTheme="minorHAnsi" w:hAnsiTheme="minorHAnsi" w:cstheme="minorHAnsi"/>
          <w:i/>
          <w:sz w:val="22"/>
          <w:szCs w:val="22"/>
        </w:rPr>
        <w:t xml:space="preserve">(…) </w:t>
      </w:r>
      <w:r w:rsidRPr="00687C6C">
        <w:rPr>
          <w:rFonts w:asciiTheme="minorHAnsi" w:hAnsiTheme="minorHAnsi" w:cstheme="minorHAnsi"/>
          <w:i/>
          <w:sz w:val="22"/>
          <w:szCs w:val="22"/>
        </w:rPr>
        <w:t xml:space="preserve"> nos lleva a tratar el modo lógico de formación de las mayorías en los tribunales colegiados y los eventuales vicios que pueden padecer las sentencias ante la incongruencia que la doctrina califica como "falta de mayoría" o como "falsa mayoría"</w:t>
      </w:r>
      <w:r w:rsidR="004738F3">
        <w:rPr>
          <w:rFonts w:asciiTheme="minorHAnsi" w:hAnsiTheme="minorHAnsi" w:cstheme="minorHAnsi"/>
          <w:i/>
          <w:sz w:val="22"/>
          <w:szCs w:val="22"/>
        </w:rPr>
        <w:t>…”</w:t>
      </w:r>
      <w:r w:rsidR="004738F3">
        <w:rPr>
          <w:rStyle w:val="Refdenotaalpie"/>
          <w:rFonts w:asciiTheme="minorHAnsi" w:hAnsiTheme="minorHAnsi" w:cstheme="minorHAnsi"/>
          <w:i/>
          <w:sz w:val="22"/>
          <w:szCs w:val="22"/>
        </w:rPr>
        <w:footnoteReference w:id="82"/>
      </w:r>
      <w:r w:rsidR="00CA4489">
        <w:rPr>
          <w:rFonts w:asciiTheme="minorHAnsi" w:hAnsiTheme="minorHAnsi" w:cstheme="minorHAnsi"/>
          <w:i/>
          <w:sz w:val="22"/>
          <w:szCs w:val="22"/>
        </w:rPr>
        <w:t>.</w:t>
      </w:r>
      <w:r w:rsidR="0085443E">
        <w:rPr>
          <w:rFonts w:asciiTheme="minorHAnsi" w:hAnsiTheme="minorHAnsi" w:cstheme="minorHAnsi"/>
          <w:i/>
          <w:sz w:val="22"/>
          <w:szCs w:val="22"/>
        </w:rPr>
        <w:t xml:space="preserve"> </w:t>
      </w:r>
    </w:p>
    <w:p w:rsidR="00913BEC" w:rsidRDefault="0085443E" w:rsidP="0085443E">
      <w:pPr>
        <w:pStyle w:val="NormalWeb"/>
        <w:spacing w:line="480" w:lineRule="auto"/>
        <w:ind w:firstLine="708"/>
        <w:jc w:val="both"/>
        <w:rPr>
          <w:rFonts w:asciiTheme="minorHAnsi" w:hAnsiTheme="minorHAnsi" w:cstheme="minorHAnsi"/>
          <w:i/>
          <w:color w:val="000000"/>
          <w:sz w:val="22"/>
          <w:szCs w:val="22"/>
        </w:rPr>
      </w:pPr>
      <w:r>
        <w:rPr>
          <w:rFonts w:asciiTheme="minorHAnsi" w:hAnsiTheme="minorHAnsi" w:cstheme="minorHAnsi"/>
          <w:sz w:val="22"/>
          <w:szCs w:val="22"/>
        </w:rPr>
        <w:t>No está de más resaltar que años después</w:t>
      </w:r>
      <w:r w:rsidRPr="00DB3350">
        <w:rPr>
          <w:rFonts w:asciiTheme="minorHAnsi" w:hAnsiTheme="minorHAnsi" w:cstheme="minorHAnsi"/>
          <w:color w:val="000000"/>
          <w:sz w:val="22"/>
          <w:szCs w:val="22"/>
        </w:rPr>
        <w:t xml:space="preserve">, el mismo autor ha vuelto sobre el tema y ha afirmado </w:t>
      </w:r>
      <w:r w:rsidR="008E0A96" w:rsidRPr="00DB3350">
        <w:rPr>
          <w:rFonts w:asciiTheme="minorHAnsi" w:hAnsiTheme="minorHAnsi" w:cstheme="minorHAnsi"/>
          <w:color w:val="000000"/>
          <w:sz w:val="22"/>
          <w:szCs w:val="22"/>
        </w:rPr>
        <w:t>que</w:t>
      </w:r>
      <w:r w:rsidR="008E0A96">
        <w:rPr>
          <w:rFonts w:ascii="Trebuchet MS" w:hAnsi="Trebuchet MS"/>
          <w:color w:val="000000"/>
          <w:sz w:val="21"/>
          <w:szCs w:val="21"/>
        </w:rPr>
        <w:t xml:space="preserve"> </w:t>
      </w:r>
      <w:r w:rsidR="008E0A96" w:rsidRPr="00CA4489">
        <w:rPr>
          <w:rFonts w:asciiTheme="minorHAnsi" w:hAnsiTheme="minorHAnsi" w:cstheme="minorHAnsi"/>
          <w:i/>
          <w:color w:val="000000"/>
          <w:sz w:val="22"/>
          <w:szCs w:val="22"/>
        </w:rPr>
        <w:t>“…</w:t>
      </w:r>
      <w:r w:rsidR="008E0A96" w:rsidRPr="008E0A96">
        <w:rPr>
          <w:rFonts w:asciiTheme="minorHAnsi" w:hAnsiTheme="minorHAnsi" w:cstheme="minorHAnsi"/>
          <w:i/>
          <w:color w:val="000000"/>
          <w:sz w:val="22"/>
          <w:szCs w:val="22"/>
        </w:rPr>
        <w:t>En muchos casos de impacto político o institucional, como los que revisaremos en este trabajo</w:t>
      </w:r>
      <w:r w:rsidR="008E0A96" w:rsidRPr="00CA4489">
        <w:rPr>
          <w:rStyle w:val="Refdenotaalpie"/>
          <w:rFonts w:asciiTheme="minorHAnsi" w:hAnsiTheme="minorHAnsi" w:cstheme="minorHAnsi"/>
          <w:i/>
          <w:color w:val="000000"/>
          <w:sz w:val="22"/>
          <w:szCs w:val="22"/>
        </w:rPr>
        <w:footnoteReference w:id="83"/>
      </w:r>
      <w:r w:rsidR="008E0A96" w:rsidRPr="00CA4489">
        <w:rPr>
          <w:rFonts w:asciiTheme="minorHAnsi" w:hAnsiTheme="minorHAnsi" w:cstheme="minorHAnsi"/>
          <w:i/>
          <w:color w:val="000000"/>
          <w:sz w:val="22"/>
          <w:szCs w:val="22"/>
        </w:rPr>
        <w:t>-</w:t>
      </w:r>
      <w:r w:rsidR="008E0A96" w:rsidRPr="008E0A96">
        <w:rPr>
          <w:rFonts w:asciiTheme="minorHAnsi" w:hAnsiTheme="minorHAnsi" w:cstheme="minorHAnsi"/>
          <w:i/>
          <w:color w:val="000000"/>
          <w:sz w:val="22"/>
          <w:szCs w:val="22"/>
        </w:rPr>
        <w:t>, se observa que la decisión final del Tribunal se sustenta en una mayoría acotada o mínima. Sin embargo, sobre esta mayoría simple puede, a su vez, verificarse la intensidad de la diferenciación de las consideraciones que fundan cada voto.</w:t>
      </w:r>
      <w:r w:rsidR="008E0A96" w:rsidRPr="00CA4489">
        <w:rPr>
          <w:rFonts w:asciiTheme="minorHAnsi" w:hAnsiTheme="minorHAnsi" w:cstheme="minorHAnsi"/>
          <w:i/>
          <w:color w:val="000000"/>
          <w:sz w:val="22"/>
          <w:szCs w:val="22"/>
        </w:rPr>
        <w:t xml:space="preserve"> </w:t>
      </w:r>
      <w:r w:rsidR="008E0A96" w:rsidRPr="008E0A96">
        <w:rPr>
          <w:rFonts w:asciiTheme="minorHAnsi" w:hAnsiTheme="minorHAnsi" w:cstheme="minorHAnsi"/>
          <w:i/>
          <w:color w:val="000000"/>
          <w:sz w:val="22"/>
          <w:szCs w:val="22"/>
        </w:rPr>
        <w:t xml:space="preserve">De esta forma, tenemos que, en algunos casos, la sentencia se forma con tres votos que comparten argumentos; </w:t>
      </w:r>
      <w:r w:rsidR="008E0A96" w:rsidRPr="008E0A96">
        <w:rPr>
          <w:rFonts w:asciiTheme="minorHAnsi" w:hAnsiTheme="minorHAnsi" w:cstheme="minorHAnsi"/>
          <w:i/>
          <w:color w:val="000000"/>
          <w:sz w:val="22"/>
          <w:szCs w:val="22"/>
        </w:rPr>
        <w:lastRenderedPageBreak/>
        <w:t>en otros, por el contrario, la mayoría además de ser ajustada cuantitativamente, muestra una divergencia en los criterios que fundan la decisión.</w:t>
      </w:r>
      <w:r w:rsidR="008E0A96" w:rsidRPr="00CA4489">
        <w:rPr>
          <w:rFonts w:asciiTheme="minorHAnsi" w:hAnsiTheme="minorHAnsi" w:cstheme="minorHAnsi"/>
          <w:i/>
          <w:color w:val="000000"/>
          <w:sz w:val="22"/>
          <w:szCs w:val="22"/>
        </w:rPr>
        <w:t xml:space="preserve"> </w:t>
      </w:r>
      <w:r w:rsidR="008E0A96" w:rsidRPr="008E0A96">
        <w:rPr>
          <w:rFonts w:asciiTheme="minorHAnsi" w:hAnsiTheme="minorHAnsi" w:cstheme="minorHAnsi"/>
          <w:i/>
          <w:color w:val="000000"/>
          <w:sz w:val="22"/>
          <w:szCs w:val="22"/>
        </w:rPr>
        <w:t>En otros asuntos inclusive, la simple mayoría de votos no va acompañada de votos divergentes, sino de la abstención directa en el caso de los otros Ministros.</w:t>
      </w:r>
      <w:r w:rsidR="00CA4489">
        <w:rPr>
          <w:rFonts w:cstheme="minorHAnsi"/>
          <w:i/>
          <w:color w:val="000000"/>
        </w:rPr>
        <w:t xml:space="preserve"> </w:t>
      </w:r>
      <w:r w:rsidR="008E0A96" w:rsidRPr="008E0A96">
        <w:rPr>
          <w:rFonts w:asciiTheme="minorHAnsi" w:hAnsiTheme="minorHAnsi" w:cstheme="minorHAnsi"/>
          <w:i/>
          <w:color w:val="000000"/>
          <w:sz w:val="22"/>
          <w:szCs w:val="22"/>
        </w:rPr>
        <w:t xml:space="preserve">En un Tribunal conformado por cinco magistrados (hoy cuatro por renuncia de Elena </w:t>
      </w:r>
      <w:proofErr w:type="spellStart"/>
      <w:r w:rsidR="008E0A96" w:rsidRPr="008E0A96">
        <w:rPr>
          <w:rFonts w:asciiTheme="minorHAnsi" w:hAnsiTheme="minorHAnsi" w:cstheme="minorHAnsi"/>
          <w:i/>
          <w:color w:val="000000"/>
          <w:sz w:val="22"/>
          <w:szCs w:val="22"/>
        </w:rPr>
        <w:t>Highton</w:t>
      </w:r>
      <w:proofErr w:type="spellEnd"/>
      <w:r w:rsidR="008E0A96" w:rsidRPr="008E0A96">
        <w:rPr>
          <w:rFonts w:asciiTheme="minorHAnsi" w:hAnsiTheme="minorHAnsi" w:cstheme="minorHAnsi"/>
          <w:i/>
          <w:color w:val="000000"/>
          <w:sz w:val="22"/>
          <w:szCs w:val="22"/>
        </w:rPr>
        <w:t xml:space="preserve"> de Nolasco) de más está decir que la mayoría, en condiciones de integración plena del Tribunal, se conforma con el voto de tres jueces. </w:t>
      </w:r>
      <w:r w:rsidR="00CA4489" w:rsidRPr="00CA4489">
        <w:rPr>
          <w:rFonts w:asciiTheme="minorHAnsi" w:hAnsiTheme="minorHAnsi" w:cstheme="minorHAnsi"/>
          <w:i/>
          <w:color w:val="000000"/>
          <w:sz w:val="22"/>
          <w:szCs w:val="22"/>
        </w:rPr>
        <w:t xml:space="preserve">(…) </w:t>
      </w:r>
    </w:p>
    <w:p w:rsidR="008E0A96" w:rsidRDefault="008E0A96" w:rsidP="0085443E">
      <w:pPr>
        <w:pStyle w:val="NormalWeb"/>
        <w:spacing w:line="480" w:lineRule="auto"/>
        <w:ind w:firstLine="708"/>
        <w:jc w:val="both"/>
        <w:rPr>
          <w:rFonts w:cstheme="minorHAnsi"/>
          <w:i/>
          <w:color w:val="000000"/>
          <w:shd w:val="clear" w:color="auto" w:fill="FFFFFF"/>
        </w:rPr>
      </w:pPr>
      <w:bookmarkStart w:id="0" w:name="_GoBack"/>
      <w:bookmarkEnd w:id="0"/>
      <w:r w:rsidRPr="008E0A96">
        <w:rPr>
          <w:rFonts w:asciiTheme="minorHAnsi" w:hAnsiTheme="minorHAnsi" w:cstheme="minorHAnsi"/>
          <w:i/>
          <w:color w:val="000000"/>
          <w:sz w:val="22"/>
          <w:szCs w:val="22"/>
        </w:rPr>
        <w:t>Ahora bien, si a esta mayoría simple le agregamos, como dato adicional, que los votos difieren en los fundamentos en que el juez sustenta el decisorio la estabilidad de la decisión se construye sobre pilares muy endebles</w:t>
      </w:r>
      <w:r w:rsidR="00CA4489" w:rsidRPr="00CA4489">
        <w:rPr>
          <w:rFonts w:asciiTheme="minorHAnsi" w:hAnsiTheme="minorHAnsi" w:cstheme="minorHAnsi"/>
          <w:i/>
          <w:color w:val="000000"/>
          <w:sz w:val="22"/>
          <w:szCs w:val="22"/>
        </w:rPr>
        <w:t>…”</w:t>
      </w:r>
      <w:r w:rsidR="00CA4489" w:rsidRPr="00CA4489">
        <w:rPr>
          <w:rStyle w:val="Refdenotaalpie"/>
          <w:rFonts w:asciiTheme="minorHAnsi" w:hAnsiTheme="minorHAnsi" w:cstheme="minorHAnsi"/>
          <w:i/>
          <w:color w:val="000000"/>
          <w:sz w:val="22"/>
          <w:szCs w:val="22"/>
        </w:rPr>
        <w:footnoteReference w:id="84"/>
      </w:r>
      <w:r w:rsidR="00CA4489" w:rsidRPr="00CA4489">
        <w:rPr>
          <w:rFonts w:asciiTheme="minorHAnsi" w:hAnsiTheme="minorHAnsi" w:cstheme="minorHAnsi"/>
          <w:i/>
          <w:color w:val="000000"/>
          <w:sz w:val="22"/>
          <w:szCs w:val="22"/>
        </w:rPr>
        <w:t xml:space="preserve"> </w:t>
      </w:r>
      <w:r w:rsidR="00CA4489" w:rsidRPr="00CA4489">
        <w:rPr>
          <w:rFonts w:asciiTheme="minorHAnsi" w:hAnsiTheme="minorHAnsi" w:cstheme="minorHAnsi"/>
          <w:color w:val="000000"/>
          <w:sz w:val="22"/>
          <w:szCs w:val="22"/>
        </w:rPr>
        <w:t>y concluye que</w:t>
      </w:r>
      <w:r w:rsidR="00CA4489" w:rsidRPr="00CA4489">
        <w:rPr>
          <w:rFonts w:asciiTheme="minorHAnsi" w:hAnsiTheme="minorHAnsi" w:cstheme="minorHAnsi"/>
          <w:i/>
          <w:color w:val="000000"/>
          <w:sz w:val="22"/>
          <w:szCs w:val="22"/>
        </w:rPr>
        <w:t xml:space="preserve"> </w:t>
      </w:r>
      <w:r w:rsidRPr="00CA4489">
        <w:rPr>
          <w:rFonts w:asciiTheme="minorHAnsi" w:hAnsiTheme="minorHAnsi" w:cstheme="minorHAnsi"/>
          <w:i/>
          <w:color w:val="000000"/>
          <w:sz w:val="22"/>
          <w:szCs w:val="22"/>
          <w:shd w:val="clear" w:color="auto" w:fill="FFFFFF"/>
        </w:rPr>
        <w:t>“…En los casos en discusión, si observamos aisladamente el resolutorio, sin dudas los votos para lograr una mayoría están presentes. Sin embargo, si ponderamos el hecho de que el resolutorio es una derivación (que debiera ser lógica) de un razonamiento estructurado a través de argumentos jurídicos y deducciones fácticas, la circunstancia que se presenta cuando no resultan coincidentes los diferentes votos, abre una discusión que afecta el valor intrínseco de la sentencia como acto jurisdiccional…”</w:t>
      </w:r>
      <w:r w:rsidR="00CA4489">
        <w:rPr>
          <w:rStyle w:val="Refdenotaalpie"/>
          <w:rFonts w:cstheme="minorHAnsi"/>
          <w:i/>
          <w:color w:val="000000"/>
          <w:shd w:val="clear" w:color="auto" w:fill="FFFFFF"/>
        </w:rPr>
        <w:footnoteReference w:id="85"/>
      </w:r>
      <w:r w:rsidR="00C20E6D">
        <w:rPr>
          <w:rFonts w:cstheme="minorHAnsi"/>
          <w:i/>
          <w:color w:val="000000"/>
          <w:shd w:val="clear" w:color="auto" w:fill="FFFFFF"/>
        </w:rPr>
        <w:t>.-</w:t>
      </w:r>
    </w:p>
    <w:p w:rsidR="00275F28" w:rsidRDefault="0085443E" w:rsidP="0085443E">
      <w:pPr>
        <w:pStyle w:val="NormalWeb"/>
        <w:spacing w:line="480" w:lineRule="auto"/>
        <w:ind w:firstLine="708"/>
        <w:jc w:val="both"/>
        <w:rPr>
          <w:rFonts w:asciiTheme="minorHAnsi" w:hAnsiTheme="minorHAnsi" w:cstheme="minorHAnsi"/>
          <w:sz w:val="22"/>
          <w:szCs w:val="22"/>
        </w:rPr>
      </w:pPr>
      <w:r w:rsidRPr="005B6527">
        <w:rPr>
          <w:rFonts w:asciiTheme="minorHAnsi" w:hAnsiTheme="minorHAnsi" w:cstheme="minorHAnsi"/>
          <w:color w:val="000000"/>
          <w:sz w:val="22"/>
          <w:szCs w:val="22"/>
          <w:shd w:val="clear" w:color="auto" w:fill="FFFFFF"/>
        </w:rPr>
        <w:t xml:space="preserve">En </w:t>
      </w:r>
      <w:r w:rsidRPr="005B6527">
        <w:rPr>
          <w:rFonts w:asciiTheme="minorHAnsi" w:hAnsiTheme="minorHAnsi" w:cstheme="minorHAnsi"/>
          <w:sz w:val="22"/>
          <w:szCs w:val="22"/>
        </w:rPr>
        <w:t xml:space="preserve">definitiva, consideramos que la modalidad coral que suele utilizar la Corte Suprema en sus resoluciones </w:t>
      </w:r>
      <w:r w:rsidRPr="005B6527">
        <w:rPr>
          <w:rFonts w:asciiTheme="minorHAnsi" w:hAnsiTheme="minorHAnsi" w:cstheme="minorHAnsi"/>
          <w:bCs/>
          <w:sz w:val="22"/>
          <w:szCs w:val="22"/>
        </w:rPr>
        <w:t>pone en riesgo la validez misma de la sentencia</w:t>
      </w:r>
      <w:r w:rsidRPr="005B6527">
        <w:rPr>
          <w:rFonts w:asciiTheme="minorHAnsi" w:hAnsiTheme="minorHAnsi" w:cstheme="minorHAnsi"/>
          <w:sz w:val="22"/>
          <w:szCs w:val="22"/>
        </w:rPr>
        <w:t xml:space="preserve"> porque transforma la decisión en una simple agregación de votos</w:t>
      </w:r>
      <w:r w:rsidR="00275F28">
        <w:rPr>
          <w:rFonts w:asciiTheme="minorHAnsi" w:hAnsiTheme="minorHAnsi" w:cstheme="minorHAnsi"/>
          <w:sz w:val="22"/>
          <w:szCs w:val="22"/>
        </w:rPr>
        <w:t xml:space="preserve">, a veces, carente de </w:t>
      </w:r>
      <w:r w:rsidRPr="005B6527">
        <w:rPr>
          <w:rFonts w:asciiTheme="minorHAnsi" w:hAnsiTheme="minorHAnsi" w:cstheme="minorHAnsi"/>
          <w:sz w:val="22"/>
          <w:szCs w:val="22"/>
        </w:rPr>
        <w:t xml:space="preserve">acuerdo sustantivo. De este modo, </w:t>
      </w:r>
      <w:r w:rsidR="00DB3350" w:rsidRPr="005B6527">
        <w:rPr>
          <w:rFonts w:asciiTheme="minorHAnsi" w:hAnsiTheme="minorHAnsi" w:cstheme="minorHAnsi"/>
          <w:sz w:val="22"/>
          <w:szCs w:val="22"/>
        </w:rPr>
        <w:t>y por la dispersión argumental puede provocarse divergencias en los fundamentos que priven al resolutorio de</w:t>
      </w:r>
      <w:r w:rsidRPr="005B6527">
        <w:rPr>
          <w:rFonts w:asciiTheme="minorHAnsi" w:hAnsiTheme="minorHAnsi" w:cstheme="minorHAnsi"/>
          <w:sz w:val="22"/>
          <w:szCs w:val="22"/>
        </w:rPr>
        <w:t xml:space="preserve"> la necesaria </w:t>
      </w:r>
      <w:r w:rsidRPr="005B6527">
        <w:rPr>
          <w:rFonts w:asciiTheme="minorHAnsi" w:hAnsiTheme="minorHAnsi" w:cstheme="minorHAnsi"/>
          <w:bCs/>
          <w:sz w:val="22"/>
          <w:szCs w:val="22"/>
        </w:rPr>
        <w:t xml:space="preserve">coincidencia sustancial de </w:t>
      </w:r>
      <w:r w:rsidR="00DB3350" w:rsidRPr="005B6527">
        <w:rPr>
          <w:rFonts w:asciiTheme="minorHAnsi" w:hAnsiTheme="minorHAnsi" w:cstheme="minorHAnsi"/>
          <w:bCs/>
          <w:sz w:val="22"/>
          <w:szCs w:val="22"/>
        </w:rPr>
        <w:t xml:space="preserve">aquellos </w:t>
      </w:r>
      <w:r w:rsidRPr="005B6527">
        <w:rPr>
          <w:rFonts w:asciiTheme="minorHAnsi" w:hAnsiTheme="minorHAnsi" w:cstheme="minorHAnsi"/>
          <w:sz w:val="22"/>
          <w:szCs w:val="22"/>
        </w:rPr>
        <w:t xml:space="preserve"> </w:t>
      </w:r>
      <w:r w:rsidR="00DB3350" w:rsidRPr="005B6527">
        <w:rPr>
          <w:rFonts w:asciiTheme="minorHAnsi" w:hAnsiTheme="minorHAnsi" w:cstheme="minorHAnsi"/>
          <w:sz w:val="22"/>
          <w:szCs w:val="22"/>
        </w:rPr>
        <w:t xml:space="preserve">privando así la </w:t>
      </w:r>
      <w:r w:rsidRPr="005B6527">
        <w:rPr>
          <w:rFonts w:asciiTheme="minorHAnsi" w:hAnsiTheme="minorHAnsi" w:cstheme="minorHAnsi"/>
          <w:sz w:val="22"/>
          <w:szCs w:val="22"/>
        </w:rPr>
        <w:t xml:space="preserve"> sentencia colegiada </w:t>
      </w:r>
      <w:r w:rsidR="00DB3350" w:rsidRPr="005B6527">
        <w:rPr>
          <w:rFonts w:asciiTheme="minorHAnsi" w:hAnsiTheme="minorHAnsi" w:cstheme="minorHAnsi"/>
          <w:sz w:val="22"/>
          <w:szCs w:val="22"/>
        </w:rPr>
        <w:t xml:space="preserve">de </w:t>
      </w:r>
      <w:r w:rsidRPr="005B6527">
        <w:rPr>
          <w:rFonts w:asciiTheme="minorHAnsi" w:hAnsiTheme="minorHAnsi" w:cstheme="minorHAnsi"/>
          <w:sz w:val="22"/>
          <w:szCs w:val="22"/>
        </w:rPr>
        <w:t>validez.</w:t>
      </w:r>
      <w:r w:rsidR="005B6527" w:rsidRPr="005B6527">
        <w:rPr>
          <w:rFonts w:asciiTheme="minorHAnsi" w:hAnsiTheme="minorHAnsi" w:cstheme="minorHAnsi"/>
          <w:sz w:val="22"/>
          <w:szCs w:val="22"/>
        </w:rPr>
        <w:t xml:space="preserve"> </w:t>
      </w:r>
    </w:p>
    <w:p w:rsidR="00DB3350" w:rsidRDefault="00275F28" w:rsidP="0085443E">
      <w:pPr>
        <w:shd w:val="clear" w:color="auto" w:fill="FFFFFF"/>
        <w:spacing w:before="100" w:beforeAutospacing="1" w:after="100" w:afterAutospacing="1" w:line="480" w:lineRule="auto"/>
        <w:ind w:firstLine="708"/>
        <w:jc w:val="both"/>
        <w:rPr>
          <w:rFonts w:cstheme="minorHAnsi"/>
          <w:b/>
        </w:rPr>
      </w:pPr>
      <w:r>
        <w:rPr>
          <w:rFonts w:cstheme="minorHAnsi"/>
          <w:b/>
        </w:rPr>
        <w:t>V.- Conclusión</w:t>
      </w:r>
    </w:p>
    <w:p w:rsidR="005B6527" w:rsidRPr="005B6527" w:rsidRDefault="005B6527" w:rsidP="005B6527">
      <w:pPr>
        <w:pStyle w:val="NormalWeb"/>
        <w:spacing w:line="480" w:lineRule="auto"/>
        <w:ind w:firstLine="708"/>
        <w:jc w:val="both"/>
        <w:rPr>
          <w:rFonts w:asciiTheme="minorHAnsi" w:hAnsiTheme="minorHAnsi" w:cstheme="minorHAnsi"/>
          <w:sz w:val="22"/>
          <w:szCs w:val="22"/>
        </w:rPr>
      </w:pPr>
      <w:r w:rsidRPr="005B6527">
        <w:rPr>
          <w:rFonts w:asciiTheme="minorHAnsi" w:hAnsiTheme="minorHAnsi" w:cstheme="minorHAnsi"/>
          <w:sz w:val="22"/>
          <w:szCs w:val="22"/>
        </w:rPr>
        <w:lastRenderedPageBreak/>
        <w:t>Para concluir cabe afirmar que l</w:t>
      </w:r>
      <w:r w:rsidRPr="005B6527">
        <w:rPr>
          <w:rFonts w:asciiTheme="minorHAnsi" w:hAnsiTheme="minorHAnsi" w:cstheme="minorHAnsi"/>
          <w:sz w:val="22"/>
          <w:szCs w:val="22"/>
        </w:rPr>
        <w:t>a doctrina de la Corte Suprema de Justicia de la Nación en torno a la necesidad de mayo</w:t>
      </w:r>
      <w:r w:rsidRPr="005B6527">
        <w:rPr>
          <w:rFonts w:asciiTheme="minorHAnsi" w:hAnsiTheme="minorHAnsi" w:cstheme="minorHAnsi"/>
          <w:sz w:val="22"/>
          <w:szCs w:val="22"/>
        </w:rPr>
        <w:t xml:space="preserve">rías argumentativas constituye </w:t>
      </w:r>
      <w:r w:rsidRPr="005B6527">
        <w:rPr>
          <w:rFonts w:asciiTheme="minorHAnsi" w:hAnsiTheme="minorHAnsi" w:cstheme="minorHAnsi"/>
          <w:sz w:val="22"/>
          <w:szCs w:val="22"/>
        </w:rPr>
        <w:t>un avance en la consolidación de la racionalidad, transparencia y legitimidad de las de</w:t>
      </w:r>
      <w:r w:rsidR="00836431">
        <w:rPr>
          <w:rFonts w:asciiTheme="minorHAnsi" w:hAnsiTheme="minorHAnsi" w:cstheme="minorHAnsi"/>
          <w:sz w:val="22"/>
          <w:szCs w:val="22"/>
        </w:rPr>
        <w:t xml:space="preserve">cisiones judiciales colegiadas. </w:t>
      </w:r>
      <w:r w:rsidRPr="005B6527">
        <w:rPr>
          <w:rFonts w:asciiTheme="minorHAnsi" w:hAnsiTheme="minorHAnsi" w:cstheme="minorHAnsi"/>
          <w:sz w:val="22"/>
          <w:szCs w:val="22"/>
        </w:rPr>
        <w:t>Ello así pues a</w:t>
      </w:r>
      <w:r w:rsidRPr="005B6527">
        <w:rPr>
          <w:rFonts w:asciiTheme="minorHAnsi" w:hAnsiTheme="minorHAnsi" w:cstheme="minorHAnsi"/>
          <w:sz w:val="22"/>
          <w:szCs w:val="22"/>
        </w:rPr>
        <w:t>l exigir que la sentencia sea un “todo indivisible” sostenido en fundamentos sustancialmente coincidentes, se protege la seguridad jurídica, el derecho de defensa y el principio republicano de rendición de cuentas.</w:t>
      </w:r>
    </w:p>
    <w:p w:rsidR="005B6527" w:rsidRPr="005B6527" w:rsidRDefault="005B6527" w:rsidP="005B6527">
      <w:pPr>
        <w:pStyle w:val="NormalWeb"/>
        <w:spacing w:line="480" w:lineRule="auto"/>
        <w:ind w:firstLine="708"/>
        <w:jc w:val="both"/>
        <w:rPr>
          <w:rFonts w:asciiTheme="minorHAnsi" w:hAnsiTheme="minorHAnsi" w:cstheme="minorHAnsi"/>
          <w:sz w:val="22"/>
          <w:szCs w:val="22"/>
        </w:rPr>
      </w:pPr>
      <w:r w:rsidRPr="005B6527">
        <w:rPr>
          <w:rFonts w:asciiTheme="minorHAnsi" w:hAnsiTheme="minorHAnsi" w:cstheme="minorHAnsi"/>
          <w:sz w:val="22"/>
          <w:szCs w:val="22"/>
        </w:rPr>
        <w:t xml:space="preserve">A pesar de ello, </w:t>
      </w:r>
      <w:r w:rsidRPr="005B6527">
        <w:rPr>
          <w:rFonts w:asciiTheme="minorHAnsi" w:hAnsiTheme="minorHAnsi" w:cstheme="minorHAnsi"/>
          <w:sz w:val="22"/>
          <w:szCs w:val="22"/>
        </w:rPr>
        <w:t>el propio Máximo Tribunal ha demostrado, en múltiples ocasiones, una preocupante falta de coherencia al incumplir los mismos estándares que impone a los tribunales inferiores. Esta contradicción erosiona la autoridad institucional de la Corte y debilita la eficacia de la doctrina que, en abstracto, resulta indispensable para el fortalecimiento del sistema judicial.</w:t>
      </w:r>
    </w:p>
    <w:p w:rsidR="005B6527" w:rsidRPr="005B6527" w:rsidRDefault="005B6527" w:rsidP="005B6527">
      <w:pPr>
        <w:pStyle w:val="NormalWeb"/>
        <w:spacing w:line="480" w:lineRule="auto"/>
        <w:ind w:firstLine="708"/>
        <w:jc w:val="both"/>
        <w:rPr>
          <w:rFonts w:asciiTheme="minorHAnsi" w:hAnsiTheme="minorHAnsi" w:cstheme="minorHAnsi"/>
          <w:sz w:val="22"/>
          <w:szCs w:val="22"/>
        </w:rPr>
      </w:pPr>
      <w:r w:rsidRPr="005B6527">
        <w:rPr>
          <w:rFonts w:asciiTheme="minorHAnsi" w:hAnsiTheme="minorHAnsi" w:cstheme="minorHAnsi"/>
          <w:sz w:val="22"/>
          <w:szCs w:val="22"/>
        </w:rPr>
        <w:t xml:space="preserve">La complejidad de los casos y la modalidad coral </w:t>
      </w:r>
      <w:r w:rsidR="00836431">
        <w:rPr>
          <w:rFonts w:asciiTheme="minorHAnsi" w:hAnsiTheme="minorHAnsi" w:cstheme="minorHAnsi"/>
          <w:sz w:val="22"/>
          <w:szCs w:val="22"/>
        </w:rPr>
        <w:t>que suele utilizar al momento de sentenciar</w:t>
      </w:r>
      <w:r w:rsidRPr="005B6527">
        <w:rPr>
          <w:rFonts w:asciiTheme="minorHAnsi" w:hAnsiTheme="minorHAnsi" w:cstheme="minorHAnsi"/>
          <w:sz w:val="22"/>
          <w:szCs w:val="22"/>
        </w:rPr>
        <w:t xml:space="preserve"> no pueden servir de excusa para relativizar la exigencia de unidad argumentativa mínima. </w:t>
      </w:r>
      <w:r w:rsidRPr="005B6527">
        <w:rPr>
          <w:rFonts w:asciiTheme="minorHAnsi" w:hAnsiTheme="minorHAnsi" w:cstheme="minorHAnsi"/>
          <w:sz w:val="22"/>
          <w:szCs w:val="22"/>
        </w:rPr>
        <w:t xml:space="preserve">Por el contrario, </w:t>
      </w:r>
      <w:r w:rsidRPr="005B6527">
        <w:rPr>
          <w:rFonts w:asciiTheme="minorHAnsi" w:hAnsiTheme="minorHAnsi" w:cstheme="minorHAnsi"/>
          <w:sz w:val="22"/>
          <w:szCs w:val="22"/>
        </w:rPr>
        <w:t xml:space="preserve">deben estimular a los </w:t>
      </w:r>
      <w:r w:rsidRPr="005B6527">
        <w:rPr>
          <w:rFonts w:asciiTheme="minorHAnsi" w:hAnsiTheme="minorHAnsi" w:cstheme="minorHAnsi"/>
          <w:sz w:val="22"/>
          <w:szCs w:val="22"/>
        </w:rPr>
        <w:t xml:space="preserve">miembros de la Corte </w:t>
      </w:r>
      <w:r w:rsidRPr="005B6527">
        <w:rPr>
          <w:rFonts w:asciiTheme="minorHAnsi" w:hAnsiTheme="minorHAnsi" w:cstheme="minorHAnsi"/>
          <w:sz w:val="22"/>
          <w:szCs w:val="22"/>
        </w:rPr>
        <w:t xml:space="preserve"> a generar consensos más sólidos y a producir votos conjuntos o mayoritarios que expresen una verdadera comunidad de razones.</w:t>
      </w:r>
    </w:p>
    <w:p w:rsidR="005B6527" w:rsidRDefault="005B6527" w:rsidP="00B7203A">
      <w:pPr>
        <w:pStyle w:val="NormalWeb"/>
        <w:spacing w:line="480" w:lineRule="auto"/>
        <w:ind w:firstLine="708"/>
        <w:jc w:val="both"/>
        <w:rPr>
          <w:rFonts w:cstheme="minorHAnsi"/>
          <w:b/>
        </w:rPr>
      </w:pPr>
      <w:r w:rsidRPr="005B6527">
        <w:rPr>
          <w:rFonts w:asciiTheme="minorHAnsi" w:hAnsiTheme="minorHAnsi" w:cstheme="minorHAnsi"/>
          <w:sz w:val="22"/>
          <w:szCs w:val="22"/>
        </w:rPr>
        <w:t>En definitiva, si la Corte Suprema pretende que sus precedentes sean observados y respetados por todo el Poder Judicial, debe asumir con ejemplaridad el deber de aplicarse a sí misma los criterios que predica. Solo de este modo logrará sostener su autoridad, reforzar la legitimidad de sus fallos y consolidar la confianza pública en la justicia</w:t>
      </w:r>
      <w:r w:rsidRPr="005B6527">
        <w:rPr>
          <w:rFonts w:asciiTheme="minorHAnsi" w:hAnsiTheme="minorHAnsi" w:cstheme="minorHAnsi"/>
          <w:sz w:val="22"/>
          <w:szCs w:val="22"/>
        </w:rPr>
        <w:t xml:space="preserve">.- </w:t>
      </w:r>
    </w:p>
    <w:p w:rsidR="005B6527" w:rsidRDefault="005B6527" w:rsidP="0085443E">
      <w:pPr>
        <w:shd w:val="clear" w:color="auto" w:fill="FFFFFF"/>
        <w:spacing w:before="100" w:beforeAutospacing="1" w:after="100" w:afterAutospacing="1" w:line="480" w:lineRule="auto"/>
        <w:ind w:firstLine="708"/>
        <w:jc w:val="both"/>
        <w:rPr>
          <w:rFonts w:cstheme="minorHAnsi"/>
          <w:b/>
        </w:rPr>
      </w:pPr>
    </w:p>
    <w:p w:rsidR="005B6527" w:rsidRDefault="005B6527" w:rsidP="0085443E">
      <w:pPr>
        <w:shd w:val="clear" w:color="auto" w:fill="FFFFFF"/>
        <w:spacing w:before="100" w:beforeAutospacing="1" w:after="100" w:afterAutospacing="1" w:line="480" w:lineRule="auto"/>
        <w:ind w:firstLine="708"/>
        <w:jc w:val="both"/>
        <w:rPr>
          <w:rFonts w:cstheme="minorHAnsi"/>
          <w:b/>
        </w:rPr>
      </w:pPr>
    </w:p>
    <w:p w:rsidR="005B6527" w:rsidRPr="0051334B" w:rsidRDefault="005B6527" w:rsidP="0085443E">
      <w:pPr>
        <w:shd w:val="clear" w:color="auto" w:fill="FFFFFF"/>
        <w:spacing w:before="100" w:beforeAutospacing="1" w:after="100" w:afterAutospacing="1" w:line="480" w:lineRule="auto"/>
        <w:ind w:firstLine="708"/>
        <w:jc w:val="both"/>
        <w:rPr>
          <w:rFonts w:cstheme="minorHAnsi"/>
          <w:b/>
        </w:rPr>
      </w:pPr>
    </w:p>
    <w:p w:rsidR="0085443E" w:rsidRDefault="0085443E" w:rsidP="00035B02">
      <w:pPr>
        <w:spacing w:line="480" w:lineRule="auto"/>
        <w:jc w:val="both"/>
        <w:rPr>
          <w:rFonts w:ascii="Calibri" w:hAnsi="Calibri" w:cs="Calibri"/>
          <w:b/>
          <w:color w:val="000000"/>
          <w:shd w:val="clear" w:color="auto" w:fill="FFFFFF"/>
        </w:rPr>
      </w:pPr>
    </w:p>
    <w:p w:rsidR="008B13DD" w:rsidRDefault="008B13DD">
      <w:pPr>
        <w:spacing w:line="480" w:lineRule="auto"/>
        <w:jc w:val="both"/>
        <w:rPr>
          <w:rFonts w:ascii="Calibri" w:hAnsi="Calibri" w:cs="Calibri"/>
          <w:b/>
          <w:color w:val="000000"/>
          <w:shd w:val="clear" w:color="auto" w:fill="FFFFFF"/>
        </w:rPr>
      </w:pPr>
    </w:p>
    <w:sectPr w:rsidR="008B13D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079D" w:rsidRDefault="00CB079D" w:rsidP="00CF3012">
      <w:pPr>
        <w:spacing w:after="0" w:line="240" w:lineRule="auto"/>
      </w:pPr>
      <w:r>
        <w:separator/>
      </w:r>
    </w:p>
  </w:endnote>
  <w:endnote w:type="continuationSeparator" w:id="0">
    <w:p w:rsidR="00CB079D" w:rsidRDefault="00CB079D" w:rsidP="00CF3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079D" w:rsidRDefault="00CB079D" w:rsidP="00CF3012">
      <w:pPr>
        <w:spacing w:after="0" w:line="240" w:lineRule="auto"/>
      </w:pPr>
      <w:r>
        <w:separator/>
      </w:r>
    </w:p>
  </w:footnote>
  <w:footnote w:type="continuationSeparator" w:id="0">
    <w:p w:rsidR="00CB079D" w:rsidRDefault="00CB079D" w:rsidP="00CF3012">
      <w:pPr>
        <w:spacing w:after="0" w:line="240" w:lineRule="auto"/>
      </w:pPr>
      <w:r>
        <w:continuationSeparator/>
      </w:r>
    </w:p>
  </w:footnote>
  <w:footnote w:id="1">
    <w:p w:rsidR="00F3523F" w:rsidRPr="00DB3350" w:rsidRDefault="00F3523F" w:rsidP="00EB58DB">
      <w:pPr>
        <w:pStyle w:val="Textonotapie"/>
        <w:jc w:val="both"/>
        <w:rPr>
          <w:rFonts w:ascii="Calibri" w:hAnsi="Calibri" w:cs="Calibri"/>
          <w:sz w:val="18"/>
          <w:szCs w:val="18"/>
        </w:rPr>
      </w:pPr>
      <w:r w:rsidRPr="00DB3350">
        <w:rPr>
          <w:rStyle w:val="Refdenotaalpie"/>
          <w:rFonts w:ascii="Calibri" w:hAnsi="Calibri" w:cs="Calibri"/>
          <w:sz w:val="18"/>
          <w:szCs w:val="18"/>
        </w:rPr>
        <w:footnoteRef/>
      </w:r>
      <w:r w:rsidRPr="00DB3350">
        <w:rPr>
          <w:rFonts w:ascii="Calibri" w:hAnsi="Calibri" w:cs="Calibri"/>
          <w:sz w:val="18"/>
          <w:szCs w:val="18"/>
        </w:rPr>
        <w:t xml:space="preserve"> NINO, CARLOS S.  </w:t>
      </w:r>
      <w:r w:rsidRPr="00DB3350">
        <w:rPr>
          <w:rFonts w:ascii="Calibri" w:hAnsi="Calibri" w:cs="Calibri"/>
          <w:i/>
          <w:sz w:val="18"/>
          <w:szCs w:val="18"/>
        </w:rPr>
        <w:t xml:space="preserve">Introducción al Análisis del Derecho, </w:t>
      </w:r>
      <w:r w:rsidRPr="00DB3350">
        <w:rPr>
          <w:rFonts w:ascii="Calibri" w:hAnsi="Calibri" w:cs="Calibri"/>
          <w:sz w:val="18"/>
          <w:szCs w:val="18"/>
        </w:rPr>
        <w:t xml:space="preserve">2ª </w:t>
      </w:r>
      <w:proofErr w:type="spellStart"/>
      <w:r w:rsidRPr="00DB3350">
        <w:rPr>
          <w:rFonts w:ascii="Calibri" w:hAnsi="Calibri" w:cs="Calibri"/>
          <w:sz w:val="18"/>
          <w:szCs w:val="18"/>
        </w:rPr>
        <w:t>ed</w:t>
      </w:r>
      <w:proofErr w:type="spellEnd"/>
      <w:r w:rsidRPr="00DB3350">
        <w:rPr>
          <w:rFonts w:ascii="Calibri" w:hAnsi="Calibri" w:cs="Calibri"/>
          <w:sz w:val="18"/>
          <w:szCs w:val="18"/>
        </w:rPr>
        <w:t xml:space="preserve">, </w:t>
      </w:r>
      <w:proofErr w:type="spellStart"/>
      <w:r w:rsidRPr="00DB3350">
        <w:rPr>
          <w:rFonts w:ascii="Calibri" w:hAnsi="Calibri" w:cs="Calibri"/>
          <w:sz w:val="18"/>
          <w:szCs w:val="18"/>
        </w:rPr>
        <w:t>Astrea</w:t>
      </w:r>
      <w:proofErr w:type="spellEnd"/>
      <w:r w:rsidRPr="00DB3350">
        <w:rPr>
          <w:rFonts w:ascii="Calibri" w:hAnsi="Calibri" w:cs="Calibri"/>
          <w:sz w:val="18"/>
          <w:szCs w:val="18"/>
        </w:rPr>
        <w:t>, Bs As, 2003,  p 18/27</w:t>
      </w:r>
    </w:p>
  </w:footnote>
  <w:footnote w:id="2">
    <w:p w:rsidR="00F3523F" w:rsidRPr="00DB3350" w:rsidRDefault="00F3523F" w:rsidP="00EB58DB">
      <w:pPr>
        <w:pStyle w:val="Textonotapie"/>
        <w:jc w:val="both"/>
        <w:rPr>
          <w:rFonts w:ascii="Calibri" w:hAnsi="Calibri" w:cs="Calibri"/>
          <w:sz w:val="18"/>
          <w:szCs w:val="18"/>
        </w:rPr>
      </w:pPr>
      <w:r w:rsidRPr="00DB3350">
        <w:rPr>
          <w:rStyle w:val="Refdenotaalpie"/>
          <w:rFonts w:ascii="Calibri" w:hAnsi="Calibri" w:cs="Calibri"/>
          <w:sz w:val="18"/>
          <w:szCs w:val="18"/>
        </w:rPr>
        <w:footnoteRef/>
      </w:r>
      <w:r w:rsidRPr="00DB3350">
        <w:rPr>
          <w:rFonts w:ascii="Calibri" w:hAnsi="Calibri" w:cs="Calibri"/>
          <w:sz w:val="18"/>
          <w:szCs w:val="18"/>
        </w:rPr>
        <w:t xml:space="preserve"> Anota la doctrina que en los EEUU </w:t>
      </w:r>
      <w:r w:rsidRPr="00DB3350">
        <w:rPr>
          <w:rFonts w:ascii="Calibri" w:hAnsi="Calibri" w:cs="Calibri"/>
          <w:i/>
          <w:sz w:val="18"/>
          <w:szCs w:val="18"/>
        </w:rPr>
        <w:t xml:space="preserve">“…no se proscribe la posibilidad de que un órgano colegiado, y en especial su Corte Suprema, emita un pronunciamiento sin que haya una coincidencia sustancial entre los votos de los </w:t>
      </w:r>
      <w:proofErr w:type="spellStart"/>
      <w:r w:rsidRPr="00DB3350">
        <w:rPr>
          <w:rFonts w:ascii="Calibri" w:hAnsi="Calibri" w:cs="Calibri"/>
          <w:i/>
          <w:sz w:val="18"/>
          <w:szCs w:val="18"/>
        </w:rPr>
        <w:t>justices</w:t>
      </w:r>
      <w:proofErr w:type="spellEnd"/>
      <w:r w:rsidRPr="00DB3350">
        <w:rPr>
          <w:rFonts w:ascii="Calibri" w:hAnsi="Calibri" w:cs="Calibri"/>
          <w:i/>
          <w:sz w:val="18"/>
          <w:szCs w:val="18"/>
        </w:rPr>
        <w:t>. Tal vez el caso más resonante del máximo tribunal norteamericano fufe la decisión emitida en “Bush vs Gore</w:t>
      </w:r>
      <w:proofErr w:type="gramStart"/>
      <w:r w:rsidRPr="00DB3350">
        <w:rPr>
          <w:rFonts w:ascii="Calibri" w:hAnsi="Calibri" w:cs="Calibri"/>
          <w:i/>
          <w:sz w:val="18"/>
          <w:szCs w:val="18"/>
        </w:rPr>
        <w:t>”(</w:t>
      </w:r>
      <w:proofErr w:type="gramEnd"/>
      <w:r w:rsidRPr="00DB3350">
        <w:rPr>
          <w:rFonts w:ascii="Calibri" w:hAnsi="Calibri" w:cs="Calibri"/>
          <w:i/>
          <w:sz w:val="18"/>
          <w:szCs w:val="18"/>
        </w:rPr>
        <w:t xml:space="preserve">Bush vs Gore, 531 U.S. 98 (2000)), en el que la decisión fue tomada por el resultado de cinco votos basados en diversos fundamentos. Se debe distinguir este tipo de decisiones de las </w:t>
      </w:r>
      <w:proofErr w:type="spellStart"/>
      <w:r w:rsidRPr="00DB3350">
        <w:rPr>
          <w:rFonts w:ascii="Calibri" w:hAnsi="Calibri" w:cs="Calibri"/>
          <w:i/>
          <w:sz w:val="18"/>
          <w:szCs w:val="18"/>
        </w:rPr>
        <w:t>mayority</w:t>
      </w:r>
      <w:proofErr w:type="spellEnd"/>
      <w:r w:rsidRPr="00DB3350">
        <w:rPr>
          <w:rFonts w:ascii="Calibri" w:hAnsi="Calibri" w:cs="Calibri"/>
          <w:i/>
          <w:sz w:val="18"/>
          <w:szCs w:val="18"/>
        </w:rPr>
        <w:t xml:space="preserve"> </w:t>
      </w:r>
      <w:proofErr w:type="spellStart"/>
      <w:r w:rsidRPr="00DB3350">
        <w:rPr>
          <w:rFonts w:ascii="Calibri" w:hAnsi="Calibri" w:cs="Calibri"/>
          <w:i/>
          <w:sz w:val="18"/>
          <w:szCs w:val="18"/>
        </w:rPr>
        <w:t>decisions</w:t>
      </w:r>
      <w:proofErr w:type="spellEnd"/>
      <w:r w:rsidRPr="00DB3350">
        <w:rPr>
          <w:rFonts w:ascii="Calibri" w:hAnsi="Calibri" w:cs="Calibri"/>
          <w:i/>
          <w:sz w:val="18"/>
          <w:szCs w:val="18"/>
        </w:rPr>
        <w:t xml:space="preserve">, que se dan cuando cinco de los nueve jueces de la Corte comparten fundamentos: por el contrario, para que se pueda hablar de una </w:t>
      </w:r>
      <w:proofErr w:type="spellStart"/>
      <w:r w:rsidRPr="00DB3350">
        <w:rPr>
          <w:rFonts w:ascii="Calibri" w:hAnsi="Calibri" w:cs="Calibri"/>
          <w:i/>
          <w:sz w:val="18"/>
          <w:szCs w:val="18"/>
        </w:rPr>
        <w:t>plurality</w:t>
      </w:r>
      <w:proofErr w:type="spellEnd"/>
      <w:r w:rsidRPr="00DB3350">
        <w:rPr>
          <w:rFonts w:ascii="Calibri" w:hAnsi="Calibri" w:cs="Calibri"/>
          <w:i/>
          <w:sz w:val="18"/>
          <w:szCs w:val="18"/>
        </w:rPr>
        <w:t xml:space="preserve"> decisión, al menos uno de los que integren la mínima mayoría debe adherir por diverso fundamento. Este voto, que comparte la decisión pero tiene otros argumentos, es llamado </w:t>
      </w:r>
      <w:proofErr w:type="spellStart"/>
      <w:r w:rsidRPr="00DB3350">
        <w:rPr>
          <w:rFonts w:ascii="Calibri" w:hAnsi="Calibri" w:cs="Calibri"/>
          <w:i/>
          <w:sz w:val="18"/>
          <w:szCs w:val="18"/>
        </w:rPr>
        <w:t>concurring</w:t>
      </w:r>
      <w:proofErr w:type="spellEnd"/>
      <w:r w:rsidRPr="00DB3350">
        <w:rPr>
          <w:rFonts w:ascii="Calibri" w:hAnsi="Calibri" w:cs="Calibri"/>
          <w:i/>
          <w:sz w:val="18"/>
          <w:szCs w:val="18"/>
        </w:rPr>
        <w:t xml:space="preserve"> opinión. De tal manera, en las </w:t>
      </w:r>
      <w:proofErr w:type="spellStart"/>
      <w:r w:rsidRPr="00DB3350">
        <w:rPr>
          <w:rFonts w:ascii="Calibri" w:hAnsi="Calibri" w:cs="Calibri"/>
          <w:i/>
          <w:sz w:val="18"/>
          <w:szCs w:val="18"/>
        </w:rPr>
        <w:t>plurality</w:t>
      </w:r>
      <w:proofErr w:type="spellEnd"/>
      <w:r w:rsidRPr="00DB3350">
        <w:rPr>
          <w:rFonts w:ascii="Calibri" w:hAnsi="Calibri" w:cs="Calibri"/>
          <w:i/>
          <w:sz w:val="18"/>
          <w:szCs w:val="18"/>
        </w:rPr>
        <w:t xml:space="preserve"> </w:t>
      </w:r>
      <w:proofErr w:type="spellStart"/>
      <w:r w:rsidRPr="00DB3350">
        <w:rPr>
          <w:rFonts w:ascii="Calibri" w:hAnsi="Calibri" w:cs="Calibri"/>
          <w:i/>
          <w:sz w:val="18"/>
          <w:szCs w:val="18"/>
        </w:rPr>
        <w:t>decisions</w:t>
      </w:r>
      <w:proofErr w:type="spellEnd"/>
      <w:r w:rsidRPr="00DB3350">
        <w:rPr>
          <w:rFonts w:ascii="Calibri" w:hAnsi="Calibri" w:cs="Calibri"/>
          <w:i/>
          <w:sz w:val="18"/>
          <w:szCs w:val="18"/>
        </w:rPr>
        <w:t xml:space="preserve"> hay siempre al menos tres grupos de votos: el de la lead opinión (“L”) que es el que anuncia la resolución de la Corte; las </w:t>
      </w:r>
      <w:proofErr w:type="spellStart"/>
      <w:r w:rsidRPr="00DB3350">
        <w:rPr>
          <w:rFonts w:ascii="Calibri" w:hAnsi="Calibri" w:cs="Calibri"/>
          <w:i/>
          <w:sz w:val="18"/>
          <w:szCs w:val="18"/>
        </w:rPr>
        <w:t>concurring</w:t>
      </w:r>
      <w:proofErr w:type="spellEnd"/>
      <w:r w:rsidRPr="00DB3350">
        <w:rPr>
          <w:rFonts w:ascii="Calibri" w:hAnsi="Calibri" w:cs="Calibri"/>
          <w:i/>
          <w:sz w:val="18"/>
          <w:szCs w:val="18"/>
        </w:rPr>
        <w:t xml:space="preserve"> opinión (“C”) que son las que articulan una legal rule diversa, pero que desemboca en el mismo resultado (…) y el tercer grupo, que puede no estar si es que hay más de una opinión concurrente, formado por las </w:t>
      </w:r>
      <w:proofErr w:type="spellStart"/>
      <w:r w:rsidRPr="00DB3350">
        <w:rPr>
          <w:rFonts w:ascii="Calibri" w:hAnsi="Calibri" w:cs="Calibri"/>
          <w:i/>
          <w:sz w:val="18"/>
          <w:szCs w:val="18"/>
        </w:rPr>
        <w:t>dissenting</w:t>
      </w:r>
      <w:proofErr w:type="spellEnd"/>
      <w:r w:rsidRPr="00DB3350">
        <w:rPr>
          <w:rFonts w:ascii="Calibri" w:hAnsi="Calibri" w:cs="Calibri"/>
          <w:i/>
          <w:sz w:val="18"/>
          <w:szCs w:val="18"/>
        </w:rPr>
        <w:t xml:space="preserve"> </w:t>
      </w:r>
      <w:proofErr w:type="spellStart"/>
      <w:r w:rsidRPr="00DB3350">
        <w:rPr>
          <w:rFonts w:ascii="Calibri" w:hAnsi="Calibri" w:cs="Calibri"/>
          <w:i/>
          <w:sz w:val="18"/>
          <w:szCs w:val="18"/>
        </w:rPr>
        <w:t>opinions</w:t>
      </w:r>
      <w:proofErr w:type="spellEnd"/>
      <w:r w:rsidRPr="00DB3350">
        <w:rPr>
          <w:rFonts w:ascii="Calibri" w:hAnsi="Calibri" w:cs="Calibri"/>
          <w:i/>
          <w:sz w:val="18"/>
          <w:szCs w:val="18"/>
        </w:rPr>
        <w:t xml:space="preserve"> (“D”), que son las que proponen una solución diversa al conflicto…”</w:t>
      </w:r>
      <w:r w:rsidRPr="00DB3350">
        <w:rPr>
          <w:rFonts w:ascii="Calibri" w:hAnsi="Calibri" w:cs="Calibri"/>
          <w:sz w:val="18"/>
          <w:szCs w:val="18"/>
        </w:rPr>
        <w:t xml:space="preserve">(RIZZI, FRANCISCO T. y CAMUSSO, FEDERICO M. </w:t>
      </w:r>
      <w:r w:rsidRPr="00DB3350">
        <w:rPr>
          <w:rFonts w:ascii="Calibri" w:hAnsi="Calibri" w:cs="Calibri"/>
          <w:i/>
          <w:sz w:val="18"/>
          <w:szCs w:val="18"/>
        </w:rPr>
        <w:t xml:space="preserve">La Corte Suprema y la doctrina de la mayoría aparente, </w:t>
      </w:r>
      <w:r w:rsidRPr="00DB3350">
        <w:rPr>
          <w:rFonts w:ascii="Calibri" w:hAnsi="Calibri" w:cs="Calibri"/>
          <w:sz w:val="18"/>
          <w:szCs w:val="18"/>
        </w:rPr>
        <w:t>Ad-Hoc, Bs As, 2023, p 133/134)</w:t>
      </w:r>
    </w:p>
  </w:footnote>
  <w:footnote w:id="3">
    <w:p w:rsidR="00F3523F" w:rsidRPr="00DB3350" w:rsidRDefault="00F3523F" w:rsidP="00EB58DB">
      <w:pPr>
        <w:pStyle w:val="Textonotapie"/>
        <w:jc w:val="both"/>
        <w:rPr>
          <w:rFonts w:ascii="Calibri" w:hAnsi="Calibri" w:cs="Calibri"/>
          <w:sz w:val="18"/>
          <w:szCs w:val="18"/>
        </w:rPr>
      </w:pPr>
      <w:r w:rsidRPr="00DB3350">
        <w:rPr>
          <w:rStyle w:val="Refdenotaalpie"/>
          <w:rFonts w:ascii="Calibri" w:hAnsi="Calibri" w:cs="Calibri"/>
          <w:sz w:val="18"/>
          <w:szCs w:val="18"/>
        </w:rPr>
        <w:footnoteRef/>
      </w:r>
      <w:r w:rsidRPr="00DB3350">
        <w:rPr>
          <w:rFonts w:ascii="Calibri" w:hAnsi="Calibri" w:cs="Calibri"/>
          <w:sz w:val="18"/>
          <w:szCs w:val="18"/>
        </w:rPr>
        <w:t xml:space="preserve"> Confr. RIZZI, FRANCISCO T y CAMUSSO, FEDERICO M. </w:t>
      </w:r>
      <w:r w:rsidRPr="00DB3350">
        <w:rPr>
          <w:rFonts w:ascii="Calibri" w:hAnsi="Calibri" w:cs="Calibri"/>
          <w:i/>
          <w:sz w:val="18"/>
          <w:szCs w:val="18"/>
        </w:rPr>
        <w:t xml:space="preserve">La Corte Suprema y la doctrina de la mayoría aparente, </w:t>
      </w:r>
      <w:r w:rsidRPr="00DB3350">
        <w:rPr>
          <w:rFonts w:ascii="Calibri" w:hAnsi="Calibri" w:cs="Calibri"/>
          <w:sz w:val="18"/>
          <w:szCs w:val="18"/>
        </w:rPr>
        <w:t>Ad-Hoc, Bs As, 2023, p 28</w:t>
      </w:r>
    </w:p>
  </w:footnote>
  <w:footnote w:id="4">
    <w:p w:rsidR="00F3523F" w:rsidRPr="00DB3350" w:rsidRDefault="00F3523F" w:rsidP="005C6293">
      <w:pPr>
        <w:pStyle w:val="Textonotapie"/>
        <w:rPr>
          <w:sz w:val="18"/>
          <w:szCs w:val="18"/>
        </w:rPr>
      </w:pPr>
      <w:r w:rsidRPr="00DB3350">
        <w:rPr>
          <w:rStyle w:val="Refdenotaalpie"/>
          <w:sz w:val="18"/>
          <w:szCs w:val="18"/>
        </w:rPr>
        <w:footnoteRef/>
      </w:r>
      <w:r w:rsidRPr="00DB3350">
        <w:rPr>
          <w:sz w:val="18"/>
          <w:szCs w:val="18"/>
        </w:rPr>
        <w:t xml:space="preserve"> </w:t>
      </w:r>
      <w:r w:rsidR="00913BEC">
        <w:rPr>
          <w:sz w:val="18"/>
          <w:szCs w:val="18"/>
        </w:rPr>
        <w:t xml:space="preserve">Decimos “en principio” pues, </w:t>
      </w:r>
      <w:r w:rsidRPr="00DB3350">
        <w:rPr>
          <w:sz w:val="18"/>
          <w:szCs w:val="18"/>
        </w:rPr>
        <w:t xml:space="preserve"> como se verá más adelante,  la exigencia de mayoría argumentativa rige para todos los tribunales colegiados inferiores, más no siempre la respeta la propia Corte Suprema Nacional.-</w:t>
      </w:r>
    </w:p>
  </w:footnote>
  <w:footnote w:id="5">
    <w:p w:rsidR="00F3523F" w:rsidRPr="00DB3350" w:rsidRDefault="00F3523F" w:rsidP="00DB437F">
      <w:pPr>
        <w:pStyle w:val="Textonotapie"/>
        <w:jc w:val="both"/>
        <w:rPr>
          <w:sz w:val="18"/>
          <w:szCs w:val="18"/>
        </w:rPr>
      </w:pPr>
      <w:r w:rsidRPr="00DB3350">
        <w:rPr>
          <w:rStyle w:val="Refdenotaalpie"/>
          <w:sz w:val="18"/>
          <w:szCs w:val="18"/>
        </w:rPr>
        <w:footnoteRef/>
      </w:r>
      <w:r w:rsidRPr="00DB3350">
        <w:rPr>
          <w:sz w:val="18"/>
          <w:szCs w:val="18"/>
        </w:rPr>
        <w:t xml:space="preserve"> Anota LOPEZ MESA, al comentar el art. 3 CCC que </w:t>
      </w:r>
      <w:r w:rsidRPr="00DB3350">
        <w:rPr>
          <w:i/>
          <w:sz w:val="18"/>
          <w:szCs w:val="18"/>
        </w:rPr>
        <w:t>“…el juez, en primer lugar, debe resolver todos los asuntos que sean sometidos a su jurisdicción; es decir, no puede no resolver pretextando que la ley no es clara o que existe un vacío normativo. En este aspecto, es esta una norma de cierre del sistema legislativo, que evita que el juez se excuse de fallar algún caso, lo que sería profundamente perturbador, ya que implicaría que el magistrado podría escoger qué causas juzga y cuáles no, buscando pretextos en la insuficiencia normativa…</w:t>
      </w:r>
      <w:proofErr w:type="gramStart"/>
      <w:r w:rsidRPr="00DB3350">
        <w:rPr>
          <w:i/>
          <w:sz w:val="18"/>
          <w:szCs w:val="18"/>
        </w:rPr>
        <w:t>”</w:t>
      </w:r>
      <w:r w:rsidRPr="00DB3350">
        <w:rPr>
          <w:sz w:val="18"/>
          <w:szCs w:val="18"/>
        </w:rPr>
        <w:t>(</w:t>
      </w:r>
      <w:proofErr w:type="gramEnd"/>
      <w:r w:rsidRPr="00DB3350">
        <w:rPr>
          <w:sz w:val="18"/>
          <w:szCs w:val="18"/>
        </w:rPr>
        <w:t xml:space="preserve">LOPEZ MESA, MARCELO en LÓPEZ MESA, MARCELO y BARREIRA DELFINO, EDUARDO, </w:t>
      </w:r>
      <w:r w:rsidRPr="00DB3350">
        <w:rPr>
          <w:i/>
          <w:sz w:val="18"/>
          <w:szCs w:val="18"/>
        </w:rPr>
        <w:t xml:space="preserve">Código Civil y Comercial comentado. Anotado, </w:t>
      </w:r>
      <w:r w:rsidRPr="00DB3350">
        <w:rPr>
          <w:sz w:val="18"/>
          <w:szCs w:val="18"/>
        </w:rPr>
        <w:t>T 1, Hammurabi, Bs As, 2019, p 135)</w:t>
      </w:r>
    </w:p>
  </w:footnote>
  <w:footnote w:id="6">
    <w:p w:rsidR="00F3523F" w:rsidRPr="00DB3350" w:rsidRDefault="00F3523F">
      <w:pPr>
        <w:pStyle w:val="Textonotapie"/>
        <w:rPr>
          <w:sz w:val="18"/>
          <w:szCs w:val="18"/>
        </w:rPr>
      </w:pPr>
      <w:r w:rsidRPr="00DB3350">
        <w:rPr>
          <w:rStyle w:val="Refdenotaalpie"/>
          <w:sz w:val="18"/>
          <w:szCs w:val="18"/>
        </w:rPr>
        <w:footnoteRef/>
      </w:r>
      <w:r w:rsidRPr="00DB3350">
        <w:rPr>
          <w:sz w:val="18"/>
          <w:szCs w:val="18"/>
        </w:rPr>
        <w:t xml:space="preserve"> Art. 3 CCC: Deber de Resolver. </w:t>
      </w:r>
      <w:r w:rsidRPr="00DB3350">
        <w:rPr>
          <w:i/>
          <w:sz w:val="18"/>
          <w:szCs w:val="18"/>
        </w:rPr>
        <w:t>El juez debe resolver los asuntos que sean sometidos a su jurisdicción mediante una decisión razonablemente fundada</w:t>
      </w:r>
    </w:p>
  </w:footnote>
  <w:footnote w:id="7">
    <w:p w:rsidR="00F3523F" w:rsidRPr="00DB3350" w:rsidRDefault="00F3523F">
      <w:pPr>
        <w:pStyle w:val="Textonotapie"/>
        <w:rPr>
          <w:sz w:val="18"/>
          <w:szCs w:val="18"/>
        </w:rPr>
      </w:pPr>
      <w:r w:rsidRPr="00DB3350">
        <w:rPr>
          <w:rStyle w:val="Refdenotaalpie"/>
          <w:sz w:val="18"/>
          <w:szCs w:val="18"/>
        </w:rPr>
        <w:footnoteRef/>
      </w:r>
      <w:r w:rsidRPr="00DB3350">
        <w:rPr>
          <w:sz w:val="18"/>
          <w:szCs w:val="18"/>
        </w:rPr>
        <w:t xml:space="preserve"> FERREIRA RUBIO, DELIA en BUERES, ALBERTO J.,  </w:t>
      </w:r>
      <w:r w:rsidRPr="00DB3350">
        <w:rPr>
          <w:i/>
          <w:sz w:val="18"/>
          <w:szCs w:val="18"/>
        </w:rPr>
        <w:t xml:space="preserve">Código Civil y Comercial de la Nación y normas complementarias, </w:t>
      </w:r>
      <w:r w:rsidRPr="00DB3350">
        <w:rPr>
          <w:sz w:val="18"/>
          <w:szCs w:val="18"/>
        </w:rPr>
        <w:t>T 1 A, Hammurabi, Bs As, 2014, p. 56</w:t>
      </w:r>
    </w:p>
  </w:footnote>
  <w:footnote w:id="8">
    <w:p w:rsidR="00F3523F" w:rsidRPr="00DB3350" w:rsidRDefault="00F3523F" w:rsidP="005349C2">
      <w:pPr>
        <w:spacing w:line="240" w:lineRule="auto"/>
        <w:jc w:val="both"/>
        <w:rPr>
          <w:sz w:val="18"/>
          <w:szCs w:val="18"/>
        </w:rPr>
      </w:pPr>
      <w:r w:rsidRPr="00DB3350">
        <w:rPr>
          <w:rStyle w:val="Refdenotaalpie"/>
          <w:sz w:val="18"/>
          <w:szCs w:val="18"/>
        </w:rPr>
        <w:footnoteRef/>
      </w:r>
      <w:r w:rsidRPr="00DB3350">
        <w:rPr>
          <w:sz w:val="18"/>
          <w:szCs w:val="18"/>
        </w:rPr>
        <w:t xml:space="preserve"> En este mismo sentido, ha entendido la Corte Suprema de la Nación, que en los sistemas judiciales de magistratura profesional, la adecuada prestación del servicio de justicia supone que el justiciable pueda conocer de manera acabada, explícita y sencilla las razones por las cuales se decidió el caso que lo involucra, máxime cuando la sentencia contraría su pretensión (confr. CSJN, Cañete, Fallos: 344:3585 y “Flamenco”, Fallos: 343:506).-</w:t>
      </w:r>
    </w:p>
  </w:footnote>
  <w:footnote w:id="9">
    <w:p w:rsidR="00913BEC" w:rsidRDefault="00F3523F" w:rsidP="001A02FD">
      <w:pPr>
        <w:pStyle w:val="Textonotapie"/>
        <w:jc w:val="both"/>
        <w:rPr>
          <w:sz w:val="18"/>
          <w:szCs w:val="18"/>
        </w:rPr>
      </w:pPr>
      <w:r w:rsidRPr="00DB3350">
        <w:rPr>
          <w:rStyle w:val="Refdenotaalpie"/>
          <w:sz w:val="18"/>
          <w:szCs w:val="18"/>
        </w:rPr>
        <w:footnoteRef/>
      </w:r>
      <w:r w:rsidRPr="00DB3350">
        <w:rPr>
          <w:sz w:val="18"/>
          <w:szCs w:val="18"/>
        </w:rPr>
        <w:t xml:space="preserve"> Explica ALVARADO VELLOSO que </w:t>
      </w:r>
      <w:r w:rsidRPr="00DB3350">
        <w:rPr>
          <w:i/>
          <w:sz w:val="18"/>
          <w:szCs w:val="18"/>
        </w:rPr>
        <w:t>“…en los países que adoptaron el juzgamiento por medio de jurados (legos o de conciencia) el perdedor ignora las razones que individualmente tuvo cada uno de ellos para decidir de tal o cual forma, (…) Pero (…) la paz social no se logra aquí con el conocimiento por parte del perdedor de las razones que lo convencerán de su derrota sino con la aceptación de otra pauta cultural que conoce y admite desde siempre. La razón es compartida por un gran número de personas –pares de la propia parte afectada- pues el juzgamiento se hace, por ejemplo, por unanimidad. De tal forma, si doce personas se han puesto de acuerdo en una solución cualquiera, ello es aceptado como cosa buena por la cultura media del lugar donde se practica tal tipo de juzgamiento…”(</w:t>
      </w:r>
      <w:r w:rsidRPr="00DB3350">
        <w:rPr>
          <w:sz w:val="18"/>
          <w:szCs w:val="18"/>
        </w:rPr>
        <w:t xml:space="preserve">ALVARADO VELLOSO, ADOLFO, </w:t>
      </w:r>
      <w:r w:rsidRPr="00DB3350">
        <w:rPr>
          <w:i/>
          <w:sz w:val="18"/>
          <w:szCs w:val="18"/>
        </w:rPr>
        <w:t xml:space="preserve">Formación de las mayorías en los tribunales colegiados, </w:t>
      </w:r>
      <w:proofErr w:type="spellStart"/>
      <w:r w:rsidRPr="00DB3350">
        <w:rPr>
          <w:sz w:val="18"/>
          <w:szCs w:val="18"/>
        </w:rPr>
        <w:t>Ius</w:t>
      </w:r>
      <w:proofErr w:type="spellEnd"/>
      <w:r w:rsidRPr="00DB3350">
        <w:rPr>
          <w:sz w:val="18"/>
          <w:szCs w:val="18"/>
        </w:rPr>
        <w:t xml:space="preserve"> et Praxis, </w:t>
      </w:r>
      <w:proofErr w:type="spellStart"/>
      <w:r w:rsidRPr="00DB3350">
        <w:rPr>
          <w:sz w:val="18"/>
          <w:szCs w:val="18"/>
        </w:rPr>
        <w:t>Vol</w:t>
      </w:r>
      <w:proofErr w:type="spellEnd"/>
      <w:r w:rsidRPr="00DB3350">
        <w:rPr>
          <w:sz w:val="18"/>
          <w:szCs w:val="18"/>
        </w:rPr>
        <w:t xml:space="preserve"> 17, Nº1, Talca, 2011, véase en </w:t>
      </w:r>
      <w:hyperlink r:id="rId1" w:history="1">
        <w:r w:rsidR="0035058B" w:rsidRPr="00DB3350">
          <w:rPr>
            <w:rStyle w:val="Hipervnculo"/>
            <w:sz w:val="18"/>
            <w:szCs w:val="18"/>
          </w:rPr>
          <w:t>https://www.scielo.cl/Scielo.php?script=sci_arttext&amp;pid=S078-00122011000100013</w:t>
        </w:r>
      </w:hyperlink>
      <w:r w:rsidRPr="00DB3350">
        <w:rPr>
          <w:sz w:val="18"/>
          <w:szCs w:val="18"/>
        </w:rPr>
        <w:t>)</w:t>
      </w:r>
      <w:r w:rsidR="0035058B" w:rsidRPr="00DB3350">
        <w:rPr>
          <w:sz w:val="18"/>
          <w:szCs w:val="18"/>
        </w:rPr>
        <w:t xml:space="preserve">. </w:t>
      </w:r>
    </w:p>
    <w:p w:rsidR="00F3523F" w:rsidRPr="00DB3350" w:rsidRDefault="0035058B" w:rsidP="00913BEC">
      <w:pPr>
        <w:pStyle w:val="Textonotapie"/>
        <w:ind w:firstLine="708"/>
        <w:jc w:val="both"/>
        <w:rPr>
          <w:sz w:val="18"/>
          <w:szCs w:val="18"/>
        </w:rPr>
      </w:pPr>
      <w:r w:rsidRPr="00DB3350">
        <w:rPr>
          <w:sz w:val="18"/>
          <w:szCs w:val="18"/>
        </w:rPr>
        <w:t xml:space="preserve">Amén de ello, y aun no siendo exigible la unanimidad para la sentencia de jurados populares, tal como afirma la Corte Suprema nacional in re: “CANALES”, </w:t>
      </w:r>
      <w:r w:rsidRPr="00DB3350">
        <w:rPr>
          <w:i/>
          <w:sz w:val="18"/>
          <w:szCs w:val="18"/>
        </w:rPr>
        <w:t>“…la exigencia de motivación de la sentencia de los jueces profesionales fue concebida originalmente como un modo de compensar la debilidad institucional y la falta de garantías políticas de estos magistrados respecto de los jurados populares. Así, la fundamentación explícita encuentra su razón de ser en la obligación de los jueces, como representantes del pueblo -no electivos- en el ejercicio de un poder del Estado, de rendir cuentas de sus decisiones. Es distinto cuando el mismo pueblo, representando por algunos de sus miembros, ejerce en forma directa la potestad de juzgar, siempre que estén garantizados el derecho a la defensa del acusado y el debido proceso legal por parte de un juez profesional. Esta diferencia fue adecuadamente explicada por la Corte Interamericana de Derechos Humanos cuando sostuvo que "...la motivación de las decisiones adoptadas por los órganos encargados de impartir justicia no es sólo relevante para el inculpado del delito, sino que permite también el control ciudadano de los actos de gobierno, en este caso de la administración de la justicia y los expone a su escrutinio. En el caso de los jurados, dicha vertiente se entiende cubierta en razón de la participación directa de la ciudadanía" (Corte Interamericana de Derechos Humanos. caso "V.R.P., V.P.C. y otros vs. Nicaragua", sentencia del 8 de marzo de 2018, Excepciones Preliminares, Fondo, Reparaciones y Costas, párrafo 257)…”</w:t>
      </w:r>
      <w:r w:rsidRPr="00DB3350">
        <w:rPr>
          <w:sz w:val="18"/>
          <w:szCs w:val="18"/>
        </w:rPr>
        <w:t xml:space="preserve">(CSJN, "Recurso de hecho deducido por la defensa de Alex Mauricio </w:t>
      </w:r>
      <w:proofErr w:type="spellStart"/>
      <w:r w:rsidRPr="00DB3350">
        <w:rPr>
          <w:sz w:val="18"/>
          <w:szCs w:val="18"/>
        </w:rPr>
        <w:t>Obreque</w:t>
      </w:r>
      <w:proofErr w:type="spellEnd"/>
      <w:r w:rsidRPr="00DB3350">
        <w:rPr>
          <w:sz w:val="18"/>
          <w:szCs w:val="18"/>
        </w:rPr>
        <w:t xml:space="preserve"> Varas y Alexis Gabriel Castillo en la causa Canales, Mariano Eduardo y </w:t>
      </w:r>
      <w:proofErr w:type="spellStart"/>
      <w:r w:rsidRPr="00DB3350">
        <w:rPr>
          <w:sz w:val="18"/>
          <w:szCs w:val="18"/>
        </w:rPr>
        <w:t>otro s</w:t>
      </w:r>
      <w:proofErr w:type="spellEnd"/>
      <w:r w:rsidRPr="00DB3350">
        <w:rPr>
          <w:sz w:val="18"/>
          <w:szCs w:val="18"/>
        </w:rPr>
        <w:t>/ homicidio agravado - impugnación extraordinaria", 02/05/19, Fallos 342:697)</w:t>
      </w:r>
    </w:p>
  </w:footnote>
  <w:footnote w:id="10">
    <w:p w:rsidR="00F3523F" w:rsidRPr="00DB3350" w:rsidRDefault="00F3523F" w:rsidP="00D86276">
      <w:pPr>
        <w:pStyle w:val="Textonotapie"/>
        <w:jc w:val="both"/>
        <w:rPr>
          <w:sz w:val="18"/>
          <w:szCs w:val="18"/>
        </w:rPr>
      </w:pPr>
      <w:r w:rsidRPr="00DB3350">
        <w:rPr>
          <w:rStyle w:val="Refdenotaalpie"/>
          <w:sz w:val="18"/>
          <w:szCs w:val="18"/>
        </w:rPr>
        <w:footnoteRef/>
      </w:r>
      <w:r w:rsidRPr="00DB3350">
        <w:rPr>
          <w:sz w:val="18"/>
          <w:szCs w:val="18"/>
        </w:rPr>
        <w:t xml:space="preserve"> CSJN, Cañete, Carlos Eusebio y </w:t>
      </w:r>
      <w:proofErr w:type="spellStart"/>
      <w:r w:rsidRPr="00DB3350">
        <w:rPr>
          <w:sz w:val="18"/>
          <w:szCs w:val="18"/>
        </w:rPr>
        <w:t>otro s</w:t>
      </w:r>
      <w:proofErr w:type="spellEnd"/>
      <w:r w:rsidRPr="00DB3350">
        <w:rPr>
          <w:sz w:val="18"/>
          <w:szCs w:val="18"/>
        </w:rPr>
        <w:t xml:space="preserve">/ incidente de recurso extraordinario, causa”, Fallos: 344:3585; “Canales”, Fallos: 342:697, voto de los jueces </w:t>
      </w:r>
      <w:proofErr w:type="spellStart"/>
      <w:r w:rsidRPr="00DB3350">
        <w:rPr>
          <w:sz w:val="18"/>
          <w:szCs w:val="18"/>
        </w:rPr>
        <w:t>Maqueda</w:t>
      </w:r>
      <w:proofErr w:type="spellEnd"/>
      <w:r w:rsidRPr="00DB3350">
        <w:rPr>
          <w:sz w:val="18"/>
          <w:szCs w:val="18"/>
        </w:rPr>
        <w:t xml:space="preserve"> y </w:t>
      </w:r>
      <w:proofErr w:type="spellStart"/>
      <w:r w:rsidRPr="00DB3350">
        <w:rPr>
          <w:sz w:val="18"/>
          <w:szCs w:val="18"/>
        </w:rPr>
        <w:t>Lorenzetti</w:t>
      </w:r>
      <w:proofErr w:type="spellEnd"/>
      <w:r w:rsidRPr="00DB3350">
        <w:rPr>
          <w:sz w:val="18"/>
          <w:szCs w:val="18"/>
        </w:rPr>
        <w:t xml:space="preserve">, considerando 19 y voto del juez </w:t>
      </w:r>
      <w:proofErr w:type="spellStart"/>
      <w:r w:rsidRPr="00DB3350">
        <w:rPr>
          <w:sz w:val="18"/>
          <w:szCs w:val="18"/>
        </w:rPr>
        <w:t>Rosatti</w:t>
      </w:r>
      <w:proofErr w:type="spellEnd"/>
      <w:r w:rsidRPr="00DB3350">
        <w:rPr>
          <w:sz w:val="18"/>
          <w:szCs w:val="18"/>
        </w:rPr>
        <w:t xml:space="preserve">, considerando 12, entre otros.- </w:t>
      </w:r>
    </w:p>
  </w:footnote>
  <w:footnote w:id="11">
    <w:p w:rsidR="00F3523F" w:rsidRPr="00DB3350" w:rsidRDefault="00F3523F" w:rsidP="001A02FD">
      <w:pPr>
        <w:spacing w:line="240" w:lineRule="auto"/>
        <w:jc w:val="both"/>
        <w:rPr>
          <w:sz w:val="18"/>
          <w:szCs w:val="18"/>
        </w:rPr>
      </w:pPr>
      <w:r w:rsidRPr="00DB3350">
        <w:rPr>
          <w:rStyle w:val="Refdenotaalpie"/>
          <w:sz w:val="18"/>
          <w:szCs w:val="18"/>
        </w:rPr>
        <w:footnoteRef/>
      </w:r>
      <w:r w:rsidRPr="00DB3350">
        <w:rPr>
          <w:sz w:val="18"/>
          <w:szCs w:val="18"/>
        </w:rPr>
        <w:t xml:space="preserve"> Confr. CSJN “Flamenco”, Fallos: 343:506; “Cañete, Carlos Eusebio y otro” Fallos: 344:3585, entre otros. Anota PICCARDO que </w:t>
      </w:r>
      <w:r w:rsidRPr="00DB3350">
        <w:rPr>
          <w:rFonts w:ascii="Calibri" w:hAnsi="Calibri" w:cs="Calibri"/>
          <w:color w:val="000000"/>
          <w:sz w:val="18"/>
          <w:szCs w:val="18"/>
          <w:shd w:val="clear" w:color="auto" w:fill="FFFFFF"/>
        </w:rPr>
        <w:t xml:space="preserve">como contracara de los poderes tan intensos que se les confiere a los jueces, es su obligación primaria y fundamental de  fundar sus sentencias debiendo justificar jurídicamente sus decisiones. La fundamentación de las decisiones judiciales constituye un requisito de validez, legalidad y legitimidad de estas (Confr. PICCARDO, IVANA, </w:t>
      </w:r>
      <w:r w:rsidRPr="00DB3350">
        <w:rPr>
          <w:rFonts w:ascii="Calibri" w:hAnsi="Calibri" w:cs="Calibri"/>
          <w:i/>
          <w:color w:val="000000"/>
          <w:sz w:val="18"/>
          <w:szCs w:val="18"/>
          <w:shd w:val="clear" w:color="auto" w:fill="FFFFFF"/>
        </w:rPr>
        <w:t>Como fallan los jueces…</w:t>
      </w:r>
      <w:proofErr w:type="spellStart"/>
      <w:r w:rsidRPr="00DB3350">
        <w:rPr>
          <w:rFonts w:ascii="Calibri" w:hAnsi="Calibri" w:cs="Calibri"/>
          <w:color w:val="000000"/>
          <w:sz w:val="18"/>
          <w:szCs w:val="18"/>
          <w:shd w:val="clear" w:color="auto" w:fill="FFFFFF"/>
        </w:rPr>
        <w:t>op</w:t>
      </w:r>
      <w:proofErr w:type="spellEnd"/>
      <w:r w:rsidRPr="00DB3350">
        <w:rPr>
          <w:rFonts w:ascii="Calibri" w:hAnsi="Calibri" w:cs="Calibri"/>
          <w:color w:val="000000"/>
          <w:sz w:val="18"/>
          <w:szCs w:val="18"/>
          <w:shd w:val="clear" w:color="auto" w:fill="FFFFFF"/>
        </w:rPr>
        <w:t xml:space="preserve"> </w:t>
      </w:r>
      <w:proofErr w:type="spellStart"/>
      <w:r w:rsidRPr="00DB3350">
        <w:rPr>
          <w:rFonts w:ascii="Calibri" w:hAnsi="Calibri" w:cs="Calibri"/>
          <w:color w:val="000000"/>
          <w:sz w:val="18"/>
          <w:szCs w:val="18"/>
          <w:shd w:val="clear" w:color="auto" w:fill="FFFFFF"/>
        </w:rPr>
        <w:t>cit</w:t>
      </w:r>
      <w:proofErr w:type="spellEnd"/>
      <w:r w:rsidRPr="00DB3350">
        <w:rPr>
          <w:rFonts w:ascii="Calibri" w:hAnsi="Calibri" w:cs="Calibri"/>
          <w:color w:val="000000"/>
          <w:sz w:val="18"/>
          <w:szCs w:val="18"/>
          <w:shd w:val="clear" w:color="auto" w:fill="FFFFFF"/>
        </w:rPr>
        <w:t xml:space="preserve"> p 190).</w:t>
      </w:r>
    </w:p>
  </w:footnote>
  <w:footnote w:id="12">
    <w:p w:rsidR="00F3523F" w:rsidRPr="00DB3350" w:rsidRDefault="00F3523F">
      <w:pPr>
        <w:pStyle w:val="Textonotapie"/>
        <w:rPr>
          <w:sz w:val="18"/>
          <w:szCs w:val="18"/>
        </w:rPr>
      </w:pPr>
      <w:r w:rsidRPr="00DB3350">
        <w:rPr>
          <w:rStyle w:val="Refdenotaalpie"/>
          <w:sz w:val="18"/>
          <w:szCs w:val="18"/>
        </w:rPr>
        <w:footnoteRef/>
      </w:r>
      <w:r w:rsidRPr="00DB3350">
        <w:rPr>
          <w:sz w:val="18"/>
          <w:szCs w:val="18"/>
        </w:rPr>
        <w:t xml:space="preserve"> FARRELL, MARTÍN D. </w:t>
      </w:r>
      <w:r w:rsidRPr="00DB3350">
        <w:rPr>
          <w:i/>
          <w:sz w:val="18"/>
          <w:szCs w:val="18"/>
        </w:rPr>
        <w:t xml:space="preserve">La argumentación de las decisiones en los tribunales colectivos, </w:t>
      </w:r>
      <w:r w:rsidRPr="00DB3350">
        <w:rPr>
          <w:sz w:val="18"/>
          <w:szCs w:val="18"/>
        </w:rPr>
        <w:t xml:space="preserve">La Ley 2003-F-1161, TR LALEY AR/DOC/10953/2003. Al respecto </w:t>
      </w:r>
    </w:p>
  </w:footnote>
  <w:footnote w:id="13">
    <w:p w:rsidR="00F3523F" w:rsidRPr="00DB3350" w:rsidRDefault="00F3523F">
      <w:pPr>
        <w:pStyle w:val="Textonotapie"/>
        <w:rPr>
          <w:sz w:val="18"/>
          <w:szCs w:val="18"/>
        </w:rPr>
      </w:pPr>
      <w:r w:rsidRPr="00DB3350">
        <w:rPr>
          <w:rStyle w:val="Refdenotaalpie"/>
          <w:sz w:val="18"/>
          <w:szCs w:val="18"/>
        </w:rPr>
        <w:footnoteRef/>
      </w:r>
      <w:r w:rsidRPr="00DB3350">
        <w:rPr>
          <w:sz w:val="18"/>
          <w:szCs w:val="18"/>
        </w:rPr>
        <w:t xml:space="preserve"> CSJN “Canales”, Fallos: 342:697, voto de los jueces </w:t>
      </w:r>
      <w:proofErr w:type="spellStart"/>
      <w:r w:rsidRPr="00DB3350">
        <w:rPr>
          <w:sz w:val="18"/>
          <w:szCs w:val="18"/>
        </w:rPr>
        <w:t>Maqueda</w:t>
      </w:r>
      <w:proofErr w:type="spellEnd"/>
      <w:r w:rsidRPr="00DB3350">
        <w:rPr>
          <w:sz w:val="18"/>
          <w:szCs w:val="18"/>
        </w:rPr>
        <w:t xml:space="preserve"> y </w:t>
      </w:r>
      <w:proofErr w:type="spellStart"/>
      <w:r w:rsidRPr="00DB3350">
        <w:rPr>
          <w:sz w:val="18"/>
          <w:szCs w:val="18"/>
        </w:rPr>
        <w:t>Lorenzetti</w:t>
      </w:r>
      <w:proofErr w:type="spellEnd"/>
      <w:r w:rsidRPr="00DB3350">
        <w:rPr>
          <w:sz w:val="18"/>
          <w:szCs w:val="18"/>
        </w:rPr>
        <w:t xml:space="preserve">, considerando 19 y voto del juez </w:t>
      </w:r>
      <w:proofErr w:type="spellStart"/>
      <w:r w:rsidRPr="00DB3350">
        <w:rPr>
          <w:sz w:val="18"/>
          <w:szCs w:val="18"/>
        </w:rPr>
        <w:t>Rosatti</w:t>
      </w:r>
      <w:proofErr w:type="spellEnd"/>
      <w:r w:rsidRPr="00DB3350">
        <w:rPr>
          <w:sz w:val="18"/>
          <w:szCs w:val="18"/>
        </w:rPr>
        <w:t xml:space="preserve">, considerando 12 y “Flamenco”, Fallos: 343:506, entre otros.-  </w:t>
      </w:r>
    </w:p>
  </w:footnote>
  <w:footnote w:id="14">
    <w:p w:rsidR="00F3523F" w:rsidRPr="00DB3350" w:rsidRDefault="00F3523F" w:rsidP="00120060">
      <w:pPr>
        <w:spacing w:line="240" w:lineRule="auto"/>
        <w:jc w:val="both"/>
        <w:rPr>
          <w:sz w:val="18"/>
          <w:szCs w:val="18"/>
        </w:rPr>
      </w:pPr>
      <w:r w:rsidRPr="00DB3350">
        <w:rPr>
          <w:rStyle w:val="Refdenotaalpie"/>
          <w:sz w:val="18"/>
          <w:szCs w:val="18"/>
        </w:rPr>
        <w:footnoteRef/>
      </w:r>
      <w:r w:rsidRPr="00DB3350">
        <w:rPr>
          <w:sz w:val="18"/>
          <w:szCs w:val="18"/>
        </w:rPr>
        <w:t xml:space="preserve"> Toda sentencia constituye una operación lógica, con razonamientos que se encadenan para formar una unidad en su estructura. Cuando no se sigue ese razonamiento, es decir,  cuando se produce un corte en el encadenamiento de premisas y conclusiones, la sentencia es arbitraria, y por lo tanto, siguiendo el criterio del cimero tribunal nacional, es inconstitucional, en tanto, sólo fundada en la voluntad de los Jueces y no en la ley. Esta arbitrariedad de la sentencia implica violación de la garantía constitucional del derecho de defensa y del orden republicano de gobierno, que se funda en la división de poderes, pues el juzgador al resolver de esa manera se está arrogando funciones propias del legislador, pues no funda su resolución en la ley sino en su propia voluntad.-</w:t>
      </w:r>
    </w:p>
  </w:footnote>
  <w:footnote w:id="15">
    <w:p w:rsidR="00F3523F" w:rsidRPr="00DB3350" w:rsidRDefault="00F3523F">
      <w:pPr>
        <w:pStyle w:val="Textonotapie"/>
        <w:rPr>
          <w:sz w:val="18"/>
          <w:szCs w:val="18"/>
        </w:rPr>
      </w:pPr>
      <w:r w:rsidRPr="00DB3350">
        <w:rPr>
          <w:rStyle w:val="Refdenotaalpie"/>
          <w:sz w:val="18"/>
          <w:szCs w:val="18"/>
        </w:rPr>
        <w:footnoteRef/>
      </w:r>
      <w:r w:rsidRPr="00DB3350">
        <w:rPr>
          <w:sz w:val="18"/>
          <w:szCs w:val="18"/>
        </w:rPr>
        <w:t xml:space="preserve"> CSJN Fallos: 318:871; 331:1090; 341:98; 343:506;  entre muchos otros</w:t>
      </w:r>
    </w:p>
  </w:footnote>
  <w:footnote w:id="16">
    <w:p w:rsidR="00F3523F" w:rsidRPr="00DB3350" w:rsidRDefault="00F3523F">
      <w:pPr>
        <w:pStyle w:val="Textonotapie"/>
        <w:rPr>
          <w:sz w:val="18"/>
          <w:szCs w:val="18"/>
        </w:rPr>
      </w:pPr>
      <w:r w:rsidRPr="00DB3350">
        <w:rPr>
          <w:rStyle w:val="Refdenotaalpie"/>
          <w:sz w:val="18"/>
          <w:szCs w:val="18"/>
        </w:rPr>
        <w:footnoteRef/>
      </w:r>
      <w:r w:rsidRPr="00DB3350">
        <w:rPr>
          <w:sz w:val="18"/>
          <w:szCs w:val="18"/>
        </w:rPr>
        <w:t xml:space="preserve"> </w:t>
      </w:r>
      <w:r w:rsidRPr="00DB3350">
        <w:rPr>
          <w:i/>
          <w:sz w:val="18"/>
          <w:szCs w:val="18"/>
        </w:rPr>
        <w:t>“El juez debe resolver (…) mediante una decisión razonablemente fundada”</w:t>
      </w:r>
      <w:r w:rsidRPr="00DB3350">
        <w:rPr>
          <w:sz w:val="18"/>
          <w:szCs w:val="18"/>
        </w:rPr>
        <w:t>(art. 3 CCC)</w:t>
      </w:r>
    </w:p>
  </w:footnote>
  <w:footnote w:id="17">
    <w:p w:rsidR="00F3523F" w:rsidRPr="00DB3350" w:rsidRDefault="00F3523F">
      <w:pPr>
        <w:pStyle w:val="Textonotapie"/>
        <w:rPr>
          <w:sz w:val="18"/>
          <w:szCs w:val="18"/>
        </w:rPr>
      </w:pPr>
      <w:r w:rsidRPr="00DB3350">
        <w:rPr>
          <w:rStyle w:val="Refdenotaalpie"/>
          <w:sz w:val="18"/>
          <w:szCs w:val="18"/>
        </w:rPr>
        <w:footnoteRef/>
      </w:r>
      <w:r w:rsidRPr="00DB3350">
        <w:rPr>
          <w:sz w:val="18"/>
          <w:szCs w:val="18"/>
        </w:rPr>
        <w:t xml:space="preserve"> GOMEZ, CLAUDIO D. </w:t>
      </w:r>
      <w:r w:rsidRPr="00DB3350">
        <w:rPr>
          <w:i/>
          <w:sz w:val="18"/>
          <w:szCs w:val="18"/>
        </w:rPr>
        <w:t xml:space="preserve">Derecho a la Motivación de las Sentencias, </w:t>
      </w:r>
      <w:proofErr w:type="spellStart"/>
      <w:r w:rsidRPr="00DB3350">
        <w:rPr>
          <w:sz w:val="18"/>
          <w:szCs w:val="18"/>
        </w:rPr>
        <w:t>Advocatus</w:t>
      </w:r>
      <w:proofErr w:type="spellEnd"/>
      <w:r w:rsidRPr="00DB3350">
        <w:rPr>
          <w:sz w:val="18"/>
          <w:szCs w:val="18"/>
        </w:rPr>
        <w:t xml:space="preserve">, </w:t>
      </w:r>
      <w:proofErr w:type="spellStart"/>
      <w:r w:rsidRPr="00DB3350">
        <w:rPr>
          <w:sz w:val="18"/>
          <w:szCs w:val="18"/>
        </w:rPr>
        <w:t>Cba</w:t>
      </w:r>
      <w:proofErr w:type="spellEnd"/>
      <w:r w:rsidRPr="00DB3350">
        <w:rPr>
          <w:sz w:val="18"/>
          <w:szCs w:val="18"/>
        </w:rPr>
        <w:t>, 2015, p 113</w:t>
      </w:r>
    </w:p>
  </w:footnote>
  <w:footnote w:id="18">
    <w:p w:rsidR="00F3523F" w:rsidRPr="00DB3350" w:rsidRDefault="00F3523F" w:rsidP="00580562">
      <w:pPr>
        <w:pStyle w:val="Textonotapie"/>
        <w:rPr>
          <w:sz w:val="18"/>
          <w:szCs w:val="18"/>
        </w:rPr>
      </w:pPr>
      <w:r w:rsidRPr="00DB3350">
        <w:rPr>
          <w:rStyle w:val="Refdenotaalpie"/>
          <w:sz w:val="18"/>
          <w:szCs w:val="18"/>
        </w:rPr>
        <w:footnoteRef/>
      </w:r>
      <w:r w:rsidRPr="00DB3350">
        <w:rPr>
          <w:sz w:val="18"/>
          <w:szCs w:val="18"/>
        </w:rPr>
        <w:t xml:space="preserve"> Confr. </w:t>
      </w:r>
      <w:r w:rsidRPr="00DB3350">
        <w:rPr>
          <w:rFonts w:ascii="Calibri" w:hAnsi="Calibri" w:cs="Calibri"/>
          <w:color w:val="000000"/>
          <w:sz w:val="18"/>
          <w:szCs w:val="18"/>
          <w:shd w:val="clear" w:color="auto" w:fill="FFFFFF"/>
        </w:rPr>
        <w:t xml:space="preserve">AHUMADA RUIZ, MARÍA A. </w:t>
      </w:r>
      <w:r w:rsidRPr="00DB3350">
        <w:rPr>
          <w:rFonts w:ascii="Calibri" w:hAnsi="Calibri" w:cs="Calibri"/>
          <w:i/>
          <w:color w:val="000000"/>
          <w:sz w:val="18"/>
          <w:szCs w:val="18"/>
          <w:shd w:val="clear" w:color="auto" w:fill="FFFFFF"/>
        </w:rPr>
        <w:t xml:space="preserve">La regla de la mayoría y la formulación de la doctrina constitucional, </w:t>
      </w:r>
      <w:r w:rsidRPr="00DB3350">
        <w:rPr>
          <w:rFonts w:ascii="Calibri" w:hAnsi="Calibri" w:cs="Calibri"/>
          <w:color w:val="000000"/>
          <w:sz w:val="18"/>
          <w:szCs w:val="18"/>
          <w:shd w:val="clear" w:color="auto" w:fill="FFFFFF"/>
        </w:rPr>
        <w:t xml:space="preserve">Revista Española de Derecho Constitucional, Año 20, </w:t>
      </w:r>
      <w:proofErr w:type="spellStart"/>
      <w:r w:rsidRPr="00DB3350">
        <w:rPr>
          <w:rFonts w:ascii="Calibri" w:hAnsi="Calibri" w:cs="Calibri"/>
          <w:color w:val="000000"/>
          <w:sz w:val="18"/>
          <w:szCs w:val="18"/>
          <w:shd w:val="clear" w:color="auto" w:fill="FFFFFF"/>
        </w:rPr>
        <w:t>Nro</w:t>
      </w:r>
      <w:proofErr w:type="spellEnd"/>
      <w:r w:rsidRPr="00DB3350">
        <w:rPr>
          <w:rFonts w:ascii="Calibri" w:hAnsi="Calibri" w:cs="Calibri"/>
          <w:color w:val="000000"/>
          <w:sz w:val="18"/>
          <w:szCs w:val="18"/>
          <w:shd w:val="clear" w:color="auto" w:fill="FFFFFF"/>
        </w:rPr>
        <w:t xml:space="preserve"> 58, enero-abril, 2000, p. 156/161)</w:t>
      </w:r>
      <w:r w:rsidRPr="00DB3350">
        <w:rPr>
          <w:rFonts w:ascii="Calibri" w:hAnsi="Calibri" w:cs="Calibri"/>
          <w:sz w:val="18"/>
          <w:szCs w:val="18"/>
        </w:rPr>
        <w:t>.</w:t>
      </w:r>
    </w:p>
  </w:footnote>
  <w:footnote w:id="19">
    <w:p w:rsidR="00F3523F" w:rsidRPr="00DB3350" w:rsidRDefault="00F3523F">
      <w:pPr>
        <w:pStyle w:val="Textonotapie"/>
        <w:rPr>
          <w:sz w:val="18"/>
          <w:szCs w:val="18"/>
        </w:rPr>
      </w:pPr>
      <w:r w:rsidRPr="00DB3350">
        <w:rPr>
          <w:rStyle w:val="Refdenotaalpie"/>
          <w:sz w:val="18"/>
          <w:szCs w:val="18"/>
        </w:rPr>
        <w:footnoteRef/>
      </w:r>
      <w:r w:rsidRPr="00DB3350">
        <w:rPr>
          <w:sz w:val="18"/>
          <w:szCs w:val="18"/>
        </w:rPr>
        <w:t xml:space="preserve"> </w:t>
      </w:r>
      <w:r w:rsidRPr="00DB3350">
        <w:rPr>
          <w:rFonts w:ascii="Calibri" w:hAnsi="Calibri" w:cs="Calibri"/>
          <w:color w:val="000000"/>
          <w:sz w:val="18"/>
          <w:szCs w:val="18"/>
          <w:shd w:val="clear" w:color="auto" w:fill="FFFFFF"/>
        </w:rPr>
        <w:t>Del Latín  “</w:t>
      </w:r>
      <w:r w:rsidRPr="00DB3350">
        <w:rPr>
          <w:rFonts w:ascii="Calibri" w:hAnsi="Calibri" w:cs="Calibri"/>
          <w:i/>
          <w:color w:val="000000"/>
          <w:sz w:val="18"/>
          <w:szCs w:val="18"/>
          <w:shd w:val="clear" w:color="auto" w:fill="FFFFFF"/>
        </w:rPr>
        <w:t xml:space="preserve">per </w:t>
      </w:r>
      <w:proofErr w:type="spellStart"/>
      <w:r w:rsidRPr="00DB3350">
        <w:rPr>
          <w:rFonts w:ascii="Calibri" w:hAnsi="Calibri" w:cs="Calibri"/>
          <w:i/>
          <w:color w:val="000000"/>
          <w:sz w:val="18"/>
          <w:szCs w:val="18"/>
          <w:shd w:val="clear" w:color="auto" w:fill="FFFFFF"/>
        </w:rPr>
        <w:t>curiam</w:t>
      </w:r>
      <w:proofErr w:type="spellEnd"/>
      <w:r w:rsidRPr="00DB3350">
        <w:rPr>
          <w:rFonts w:ascii="Calibri" w:hAnsi="Calibri" w:cs="Calibri"/>
          <w:color w:val="000000"/>
          <w:sz w:val="18"/>
          <w:szCs w:val="18"/>
          <w:shd w:val="clear" w:color="auto" w:fill="FFFFFF"/>
        </w:rPr>
        <w:t>” que significa “por la corte”</w:t>
      </w:r>
    </w:p>
  </w:footnote>
  <w:footnote w:id="20">
    <w:p w:rsidR="00F3523F" w:rsidRPr="00DB3350" w:rsidRDefault="00F3523F" w:rsidP="0027126D">
      <w:pPr>
        <w:pStyle w:val="Textonotapie"/>
        <w:jc w:val="both"/>
        <w:rPr>
          <w:sz w:val="18"/>
          <w:szCs w:val="18"/>
        </w:rPr>
      </w:pPr>
      <w:r w:rsidRPr="00DB3350">
        <w:rPr>
          <w:rStyle w:val="Refdenotaalpie"/>
          <w:sz w:val="18"/>
          <w:szCs w:val="18"/>
        </w:rPr>
        <w:footnoteRef/>
      </w:r>
      <w:r w:rsidRPr="00DB3350">
        <w:rPr>
          <w:sz w:val="18"/>
          <w:szCs w:val="18"/>
        </w:rPr>
        <w:t xml:space="preserve"> </w:t>
      </w:r>
      <w:proofErr w:type="spellStart"/>
      <w:r w:rsidRPr="00DB3350">
        <w:rPr>
          <w:i/>
          <w:sz w:val="18"/>
          <w:szCs w:val="18"/>
        </w:rPr>
        <w:t>Seriatim</w:t>
      </w:r>
      <w:proofErr w:type="spellEnd"/>
      <w:r w:rsidRPr="00DB3350">
        <w:rPr>
          <w:sz w:val="18"/>
          <w:szCs w:val="18"/>
        </w:rPr>
        <w:t>: “…</w:t>
      </w:r>
      <w:r w:rsidRPr="00DB3350">
        <w:rPr>
          <w:i/>
          <w:sz w:val="18"/>
          <w:szCs w:val="18"/>
        </w:rPr>
        <w:t>viene a significar “separadamente”, “por separado”, “individualmente” y  “uno a uno”…</w:t>
      </w:r>
      <w:proofErr w:type="gramStart"/>
      <w:r w:rsidRPr="00DB3350">
        <w:rPr>
          <w:i/>
          <w:sz w:val="18"/>
          <w:szCs w:val="18"/>
        </w:rPr>
        <w:t>”</w:t>
      </w:r>
      <w:r w:rsidRPr="00DB3350">
        <w:rPr>
          <w:sz w:val="18"/>
          <w:szCs w:val="18"/>
        </w:rPr>
        <w:t>(</w:t>
      </w:r>
      <w:proofErr w:type="gramEnd"/>
      <w:r w:rsidRPr="00DB3350">
        <w:rPr>
          <w:sz w:val="18"/>
          <w:szCs w:val="18"/>
        </w:rPr>
        <w:t xml:space="preserve">RIZZI, FRANCISCO T y CAMUSSO, FEDERICO M. </w:t>
      </w:r>
      <w:r w:rsidRPr="00DB3350">
        <w:rPr>
          <w:i/>
          <w:sz w:val="18"/>
          <w:szCs w:val="18"/>
        </w:rPr>
        <w:t>La Corte Suprema y la doctrina de la mayoría aparente…</w:t>
      </w:r>
      <w:proofErr w:type="spellStart"/>
      <w:r w:rsidRPr="00DB3350">
        <w:rPr>
          <w:sz w:val="18"/>
          <w:szCs w:val="18"/>
        </w:rPr>
        <w:t>op</w:t>
      </w:r>
      <w:proofErr w:type="spellEnd"/>
      <w:r w:rsidRPr="00DB3350">
        <w:rPr>
          <w:sz w:val="18"/>
          <w:szCs w:val="18"/>
        </w:rPr>
        <w:t xml:space="preserve"> </w:t>
      </w:r>
      <w:proofErr w:type="spellStart"/>
      <w:r w:rsidRPr="00DB3350">
        <w:rPr>
          <w:sz w:val="18"/>
          <w:szCs w:val="18"/>
        </w:rPr>
        <w:t>cit</w:t>
      </w:r>
      <w:proofErr w:type="spellEnd"/>
      <w:r w:rsidRPr="00DB3350">
        <w:rPr>
          <w:sz w:val="18"/>
          <w:szCs w:val="18"/>
        </w:rPr>
        <w:t xml:space="preserve"> p. 90)</w:t>
      </w:r>
    </w:p>
  </w:footnote>
  <w:footnote w:id="21">
    <w:p w:rsidR="00F3523F" w:rsidRPr="00DB3350" w:rsidRDefault="00F3523F" w:rsidP="005C6293">
      <w:pPr>
        <w:spacing w:line="240" w:lineRule="auto"/>
        <w:jc w:val="both"/>
        <w:rPr>
          <w:rFonts w:ascii="Calibri" w:hAnsi="Calibri" w:cs="Calibri"/>
          <w:color w:val="000000"/>
          <w:sz w:val="18"/>
          <w:szCs w:val="18"/>
          <w:shd w:val="clear" w:color="auto" w:fill="FFFFFF"/>
        </w:rPr>
      </w:pPr>
      <w:r w:rsidRPr="00DB3350">
        <w:rPr>
          <w:rStyle w:val="Refdenotaalpie"/>
          <w:sz w:val="18"/>
          <w:szCs w:val="18"/>
        </w:rPr>
        <w:footnoteRef/>
      </w:r>
      <w:r w:rsidRPr="00DB3350">
        <w:rPr>
          <w:sz w:val="18"/>
          <w:szCs w:val="18"/>
        </w:rPr>
        <w:t xml:space="preserve"> Este, cabe resaltar, es el modelo que se sigue en la representación ideada por Carlos S. Nino que diera el puntapié inicial a la presente exposición.-</w:t>
      </w:r>
    </w:p>
    <w:p w:rsidR="00F3523F" w:rsidRPr="00DB3350" w:rsidRDefault="00F3523F">
      <w:pPr>
        <w:pStyle w:val="Textonotapie"/>
        <w:rPr>
          <w:sz w:val="18"/>
          <w:szCs w:val="18"/>
        </w:rPr>
      </w:pPr>
    </w:p>
  </w:footnote>
  <w:footnote w:id="22">
    <w:p w:rsidR="00F3523F" w:rsidRPr="00DB3350" w:rsidRDefault="00F3523F">
      <w:pPr>
        <w:pStyle w:val="Textonotapie"/>
        <w:rPr>
          <w:sz w:val="18"/>
          <w:szCs w:val="18"/>
        </w:rPr>
      </w:pPr>
      <w:r w:rsidRPr="00DB3350">
        <w:rPr>
          <w:rStyle w:val="Refdenotaalpie"/>
          <w:sz w:val="18"/>
          <w:szCs w:val="18"/>
        </w:rPr>
        <w:footnoteRef/>
      </w:r>
      <w:r w:rsidRPr="00DB3350">
        <w:rPr>
          <w:sz w:val="18"/>
          <w:szCs w:val="18"/>
        </w:rPr>
        <w:t xml:space="preserve"> GOMEZ, CLAUDIO D. </w:t>
      </w:r>
      <w:r w:rsidRPr="00DB3350">
        <w:rPr>
          <w:i/>
          <w:sz w:val="18"/>
          <w:szCs w:val="18"/>
        </w:rPr>
        <w:t xml:space="preserve">Derecho a la Motivación de las Sentencias, </w:t>
      </w:r>
      <w:proofErr w:type="spellStart"/>
      <w:r w:rsidRPr="00DB3350">
        <w:rPr>
          <w:sz w:val="18"/>
          <w:szCs w:val="18"/>
        </w:rPr>
        <w:t>Advocatus</w:t>
      </w:r>
      <w:proofErr w:type="spellEnd"/>
      <w:r w:rsidRPr="00DB3350">
        <w:rPr>
          <w:sz w:val="18"/>
          <w:szCs w:val="18"/>
        </w:rPr>
        <w:t xml:space="preserve">, </w:t>
      </w:r>
      <w:proofErr w:type="spellStart"/>
      <w:r w:rsidRPr="00DB3350">
        <w:rPr>
          <w:sz w:val="18"/>
          <w:szCs w:val="18"/>
        </w:rPr>
        <w:t>Cba</w:t>
      </w:r>
      <w:proofErr w:type="spellEnd"/>
      <w:r w:rsidRPr="00DB3350">
        <w:rPr>
          <w:sz w:val="18"/>
          <w:szCs w:val="18"/>
        </w:rPr>
        <w:t>, 2015, p 113.</w:t>
      </w:r>
    </w:p>
  </w:footnote>
  <w:footnote w:id="23">
    <w:p w:rsidR="00F3523F" w:rsidRPr="00DB3350" w:rsidRDefault="00F3523F" w:rsidP="0027126D">
      <w:pPr>
        <w:pStyle w:val="Textonotapie"/>
        <w:rPr>
          <w:sz w:val="18"/>
          <w:szCs w:val="18"/>
        </w:rPr>
      </w:pPr>
      <w:r w:rsidRPr="00DB3350">
        <w:rPr>
          <w:rStyle w:val="Refdenotaalpie"/>
          <w:sz w:val="18"/>
          <w:szCs w:val="18"/>
        </w:rPr>
        <w:footnoteRef/>
      </w:r>
      <w:r w:rsidRPr="00DB3350">
        <w:rPr>
          <w:sz w:val="18"/>
          <w:szCs w:val="18"/>
        </w:rPr>
        <w:t xml:space="preserve"> RIZZI, FRANCISCO T. y CAMUSSO, FEDERICO M. </w:t>
      </w:r>
      <w:r w:rsidRPr="00DB3350">
        <w:rPr>
          <w:i/>
          <w:sz w:val="18"/>
          <w:szCs w:val="18"/>
        </w:rPr>
        <w:t>La Corte  Suprema y la doctrina…</w:t>
      </w:r>
      <w:proofErr w:type="spellStart"/>
      <w:r w:rsidRPr="00DB3350">
        <w:rPr>
          <w:sz w:val="18"/>
          <w:szCs w:val="18"/>
        </w:rPr>
        <w:t>op</w:t>
      </w:r>
      <w:proofErr w:type="spellEnd"/>
      <w:r w:rsidRPr="00DB3350">
        <w:rPr>
          <w:sz w:val="18"/>
          <w:szCs w:val="18"/>
        </w:rPr>
        <w:t xml:space="preserve"> </w:t>
      </w:r>
      <w:proofErr w:type="spellStart"/>
      <w:r w:rsidRPr="00DB3350">
        <w:rPr>
          <w:sz w:val="18"/>
          <w:szCs w:val="18"/>
        </w:rPr>
        <w:t>cit</w:t>
      </w:r>
      <w:proofErr w:type="spellEnd"/>
      <w:r w:rsidRPr="00DB3350">
        <w:rPr>
          <w:sz w:val="18"/>
          <w:szCs w:val="18"/>
        </w:rPr>
        <w:t xml:space="preserve"> p 34</w:t>
      </w:r>
    </w:p>
  </w:footnote>
  <w:footnote w:id="24">
    <w:p w:rsidR="00F3523F" w:rsidRPr="00DB3350" w:rsidRDefault="00F3523F" w:rsidP="0027126D">
      <w:pPr>
        <w:spacing w:line="240" w:lineRule="auto"/>
        <w:jc w:val="both"/>
        <w:rPr>
          <w:sz w:val="18"/>
          <w:szCs w:val="18"/>
        </w:rPr>
      </w:pPr>
      <w:r w:rsidRPr="00DB3350">
        <w:rPr>
          <w:rStyle w:val="Refdenotaalpie"/>
          <w:sz w:val="18"/>
          <w:szCs w:val="18"/>
        </w:rPr>
        <w:footnoteRef/>
      </w:r>
      <w:r w:rsidRPr="00DB3350">
        <w:rPr>
          <w:sz w:val="18"/>
          <w:szCs w:val="18"/>
        </w:rPr>
        <w:t xml:space="preserve"> ALVARADO VELLOSO, ADOLFO, </w:t>
      </w:r>
      <w:proofErr w:type="spellStart"/>
      <w:r w:rsidR="00DB3350" w:rsidRPr="00DB3350">
        <w:rPr>
          <w:sz w:val="18"/>
          <w:szCs w:val="18"/>
        </w:rPr>
        <w:t>Ius</w:t>
      </w:r>
      <w:proofErr w:type="spellEnd"/>
      <w:r w:rsidR="00DB3350" w:rsidRPr="00DB3350">
        <w:rPr>
          <w:sz w:val="18"/>
          <w:szCs w:val="18"/>
        </w:rPr>
        <w:t xml:space="preserve"> et Praxis, </w:t>
      </w:r>
      <w:proofErr w:type="spellStart"/>
      <w:r w:rsidR="00DB3350" w:rsidRPr="00DB3350">
        <w:rPr>
          <w:sz w:val="18"/>
          <w:szCs w:val="18"/>
        </w:rPr>
        <w:t>Vol</w:t>
      </w:r>
      <w:proofErr w:type="spellEnd"/>
      <w:r w:rsidR="00DB3350" w:rsidRPr="00DB3350">
        <w:rPr>
          <w:sz w:val="18"/>
          <w:szCs w:val="18"/>
        </w:rPr>
        <w:t xml:space="preserve"> 17, Nº1, Talca, 2011, véase en </w:t>
      </w:r>
      <w:hyperlink r:id="rId2" w:history="1">
        <w:r w:rsidR="00DB3350" w:rsidRPr="00DB3350">
          <w:rPr>
            <w:rStyle w:val="Hipervnculo"/>
            <w:sz w:val="18"/>
            <w:szCs w:val="18"/>
          </w:rPr>
          <w:t>https://www.scielo.cl/Scielo.php?script=sci_arttext&amp;pid=S078-00122011000100013</w:t>
        </w:r>
      </w:hyperlink>
      <w:r w:rsidR="00DB3350">
        <w:rPr>
          <w:rStyle w:val="Hipervnculo"/>
          <w:sz w:val="18"/>
          <w:szCs w:val="18"/>
        </w:rPr>
        <w:t xml:space="preserve">. </w:t>
      </w:r>
      <w:r w:rsidRPr="00DB3350">
        <w:rPr>
          <w:sz w:val="18"/>
          <w:szCs w:val="18"/>
        </w:rPr>
        <w:t xml:space="preserve">Es que, al decir de ALMEYRA,  </w:t>
      </w:r>
      <w:r w:rsidRPr="00DB3350">
        <w:rPr>
          <w:i/>
          <w:sz w:val="18"/>
          <w:szCs w:val="18"/>
        </w:rPr>
        <w:t>“…</w:t>
      </w:r>
      <w:r w:rsidRPr="00DB3350">
        <w:rPr>
          <w:rFonts w:ascii="Calibri" w:hAnsi="Calibri" w:cs="Calibri"/>
          <w:sz w:val="18"/>
          <w:szCs w:val="18"/>
        </w:rPr>
        <w:t xml:space="preserve">Una de las vicisitudes más frecuentes que debe afrontar la llamada sentencia colegiada, es la discordia que, como ya enseñaba Aguilera de Paz, no es sino la disconformidad o contradicción de opiniones que cuando se vuelcan en una resolución judicial, determinan que ella no cuente con la conformidad absoluta en cuanto a los votos necesarios para la misma y que, por lo tanto, no pueda tomarse acuerdo por dicha causa. Ocurre, en efecto, que es exigencia propia de ese tipo de sentencias que se adopten por mayoría, extremo que no siempre ha sido entendido ni reglado de la misma manera por las leyes y los reglamentos…”(ALMEYRA, MIGUEL A. </w:t>
      </w:r>
      <w:r w:rsidRPr="00DB3350">
        <w:rPr>
          <w:rFonts w:ascii="Calibri" w:hAnsi="Calibri" w:cs="Calibri"/>
          <w:i/>
          <w:sz w:val="18"/>
          <w:szCs w:val="18"/>
        </w:rPr>
        <w:t>Discordias y mayorías, o sobre los recaudos propios de las sentencias colegiadas</w:t>
      </w:r>
      <w:r w:rsidRPr="00DB3350">
        <w:rPr>
          <w:rFonts w:ascii="Calibri" w:hAnsi="Calibri" w:cs="Calibri"/>
          <w:sz w:val="18"/>
          <w:szCs w:val="18"/>
        </w:rPr>
        <w:t xml:space="preserve">, </w:t>
      </w:r>
      <w:proofErr w:type="spellStart"/>
      <w:r w:rsidRPr="00DB3350">
        <w:rPr>
          <w:rFonts w:ascii="Calibri" w:hAnsi="Calibri" w:cs="Calibri"/>
          <w:sz w:val="18"/>
          <w:szCs w:val="18"/>
        </w:rPr>
        <w:t>Sup</w:t>
      </w:r>
      <w:proofErr w:type="spellEnd"/>
      <w:r w:rsidRPr="00DB3350">
        <w:rPr>
          <w:rFonts w:ascii="Calibri" w:hAnsi="Calibri" w:cs="Calibri"/>
          <w:sz w:val="18"/>
          <w:szCs w:val="18"/>
        </w:rPr>
        <w:t>. Penal09/11/2001, 1- LA LEY2001-F, 604 Cita: TR LALEY AR/DOC/5837/2001)</w:t>
      </w:r>
    </w:p>
    <w:p w:rsidR="00F3523F" w:rsidRPr="00DB3350" w:rsidRDefault="00F3523F" w:rsidP="0027126D">
      <w:pPr>
        <w:pStyle w:val="Textonotapie"/>
        <w:rPr>
          <w:sz w:val="18"/>
          <w:szCs w:val="18"/>
        </w:rPr>
      </w:pPr>
    </w:p>
  </w:footnote>
  <w:footnote w:id="25">
    <w:p w:rsidR="00023A8F" w:rsidRPr="006E67A5" w:rsidRDefault="00023A8F" w:rsidP="00023A8F">
      <w:pPr>
        <w:pStyle w:val="Textonotapie"/>
        <w:jc w:val="both"/>
        <w:rPr>
          <w:sz w:val="18"/>
          <w:szCs w:val="18"/>
        </w:rPr>
      </w:pPr>
      <w:r w:rsidRPr="006E67A5">
        <w:rPr>
          <w:rStyle w:val="Refdenotaalpie"/>
          <w:sz w:val="18"/>
          <w:szCs w:val="18"/>
        </w:rPr>
        <w:footnoteRef/>
      </w:r>
      <w:r w:rsidRPr="006E67A5">
        <w:rPr>
          <w:sz w:val="18"/>
          <w:szCs w:val="18"/>
        </w:rPr>
        <w:t xml:space="preserve"> Se entiende por tal aquella mayoría en que </w:t>
      </w:r>
      <w:r w:rsidRPr="006E67A5">
        <w:rPr>
          <w:i/>
          <w:sz w:val="18"/>
          <w:szCs w:val="18"/>
        </w:rPr>
        <w:t>“…se toma exclusivamente en consideración (y se identifica con) la parte resolutiva o parte dispositiva de la sentencia (decisión-resultado)…”</w:t>
      </w:r>
      <w:r w:rsidRPr="006E67A5">
        <w:rPr>
          <w:sz w:val="18"/>
          <w:szCs w:val="18"/>
        </w:rPr>
        <w:t xml:space="preserve">(PICCARDO, IVANA, </w:t>
      </w:r>
      <w:r w:rsidRPr="006E67A5">
        <w:rPr>
          <w:i/>
          <w:sz w:val="18"/>
          <w:szCs w:val="18"/>
        </w:rPr>
        <w:t xml:space="preserve">Como fallan los jueces, </w:t>
      </w:r>
      <w:r w:rsidRPr="006E67A5">
        <w:rPr>
          <w:sz w:val="18"/>
          <w:szCs w:val="18"/>
        </w:rPr>
        <w:t xml:space="preserve">Editorial de la UNC, </w:t>
      </w:r>
      <w:proofErr w:type="spellStart"/>
      <w:r w:rsidRPr="006E67A5">
        <w:rPr>
          <w:sz w:val="18"/>
          <w:szCs w:val="18"/>
        </w:rPr>
        <w:t>Cba</w:t>
      </w:r>
      <w:proofErr w:type="spellEnd"/>
      <w:r w:rsidRPr="006E67A5">
        <w:rPr>
          <w:sz w:val="18"/>
          <w:szCs w:val="18"/>
        </w:rPr>
        <w:t>, 2020, p. 89)</w:t>
      </w:r>
    </w:p>
  </w:footnote>
  <w:footnote w:id="26">
    <w:p w:rsidR="00023A8F" w:rsidRPr="006E67A5" w:rsidRDefault="00023A8F" w:rsidP="00023A8F">
      <w:pPr>
        <w:pStyle w:val="Textonotapie"/>
        <w:jc w:val="both"/>
        <w:rPr>
          <w:sz w:val="18"/>
          <w:szCs w:val="18"/>
        </w:rPr>
      </w:pPr>
      <w:r w:rsidRPr="006E67A5">
        <w:rPr>
          <w:rStyle w:val="Refdenotaalpie"/>
          <w:sz w:val="18"/>
          <w:szCs w:val="18"/>
        </w:rPr>
        <w:footnoteRef/>
      </w:r>
      <w:r w:rsidRPr="006E67A5">
        <w:rPr>
          <w:sz w:val="18"/>
          <w:szCs w:val="18"/>
        </w:rPr>
        <w:t xml:space="preserve"> </w:t>
      </w:r>
      <w:r w:rsidRPr="006E67A5">
        <w:rPr>
          <w:i/>
          <w:sz w:val="18"/>
          <w:szCs w:val="18"/>
        </w:rPr>
        <w:t xml:space="preserve">“…La noción de mayoría argumentativa (…) ubica en el centro de la escena la cuestión acerca de las razones que integran el cuerpo de fundamentación de la decisión colectiva, adquiriendo centralidad la construcción argumentativa de cada voto (…) No cuenta aquí la mayoría de “carne y hueso” –utilizando la gráfica expresión de </w:t>
      </w:r>
      <w:proofErr w:type="spellStart"/>
      <w:r w:rsidRPr="006E67A5">
        <w:rPr>
          <w:i/>
          <w:sz w:val="18"/>
          <w:szCs w:val="18"/>
        </w:rPr>
        <w:t>Carrió</w:t>
      </w:r>
      <w:proofErr w:type="spellEnd"/>
      <w:r w:rsidRPr="006E67A5">
        <w:rPr>
          <w:i/>
          <w:sz w:val="18"/>
          <w:szCs w:val="18"/>
        </w:rPr>
        <w:t xml:space="preserve"> (1971)- como sucede con el cómputo de la mayoría resolutiva (mayoría de jueces tras una decisión-resultado común). En la mayoría argumentativa, por el contrario, lo que se “cuantifica” es la coincidencia mayoritaria de las decisiones –acto/proceso”…”</w:t>
      </w:r>
      <w:r w:rsidRPr="006E67A5">
        <w:rPr>
          <w:sz w:val="18"/>
          <w:szCs w:val="18"/>
        </w:rPr>
        <w:t xml:space="preserve">(PICCARDO, IVANA, </w:t>
      </w:r>
      <w:r w:rsidRPr="006E67A5">
        <w:rPr>
          <w:i/>
          <w:sz w:val="18"/>
          <w:szCs w:val="18"/>
        </w:rPr>
        <w:t>Cómo fallan los jueces…</w:t>
      </w:r>
      <w:proofErr w:type="spellStart"/>
      <w:r w:rsidRPr="006E67A5">
        <w:rPr>
          <w:sz w:val="18"/>
          <w:szCs w:val="18"/>
        </w:rPr>
        <w:t>op</w:t>
      </w:r>
      <w:proofErr w:type="spellEnd"/>
      <w:r w:rsidRPr="006E67A5">
        <w:rPr>
          <w:sz w:val="18"/>
          <w:szCs w:val="18"/>
        </w:rPr>
        <w:t xml:space="preserve"> </w:t>
      </w:r>
      <w:proofErr w:type="spellStart"/>
      <w:r w:rsidRPr="006E67A5">
        <w:rPr>
          <w:sz w:val="18"/>
          <w:szCs w:val="18"/>
        </w:rPr>
        <w:t>cit</w:t>
      </w:r>
      <w:proofErr w:type="spellEnd"/>
      <w:r w:rsidRPr="006E67A5">
        <w:rPr>
          <w:sz w:val="18"/>
          <w:szCs w:val="18"/>
        </w:rPr>
        <w:t xml:space="preserve"> p. 90)</w:t>
      </w:r>
    </w:p>
  </w:footnote>
  <w:footnote w:id="27">
    <w:p w:rsidR="00F3523F" w:rsidRPr="00DB3350" w:rsidRDefault="00F3523F" w:rsidP="00023A8F">
      <w:pPr>
        <w:pStyle w:val="Textonotapie"/>
        <w:jc w:val="both"/>
        <w:rPr>
          <w:sz w:val="18"/>
          <w:szCs w:val="18"/>
        </w:rPr>
      </w:pPr>
      <w:r w:rsidRPr="00DB3350">
        <w:rPr>
          <w:rStyle w:val="Refdenotaalpie"/>
          <w:sz w:val="18"/>
          <w:szCs w:val="18"/>
        </w:rPr>
        <w:footnoteRef/>
      </w:r>
      <w:r w:rsidRPr="00DB3350">
        <w:rPr>
          <w:sz w:val="18"/>
          <w:szCs w:val="18"/>
        </w:rPr>
        <w:t xml:space="preserve"> LOUTAYF RANEA, ROBERTO G y SOLÁ ERNESTO, </w:t>
      </w:r>
      <w:r w:rsidRPr="00DB3350">
        <w:rPr>
          <w:i/>
          <w:sz w:val="18"/>
          <w:szCs w:val="18"/>
        </w:rPr>
        <w:t>La Sentencia de Segunda Instancia</w:t>
      </w:r>
      <w:r w:rsidR="00023A8F">
        <w:rPr>
          <w:i/>
          <w:sz w:val="18"/>
          <w:szCs w:val="18"/>
        </w:rPr>
        <w:t xml:space="preserve"> </w:t>
      </w:r>
      <w:r w:rsidR="00023A8F">
        <w:rPr>
          <w:sz w:val="18"/>
          <w:szCs w:val="18"/>
        </w:rPr>
        <w:t xml:space="preserve">véase en   </w:t>
      </w:r>
      <w:hyperlink r:id="rId3" w:history="1">
        <w:r w:rsidR="00023A8F" w:rsidRPr="00023A8F">
          <w:rPr>
            <w:rStyle w:val="Hipervnculo"/>
            <w:color w:val="auto"/>
            <w:sz w:val="18"/>
            <w:szCs w:val="18"/>
            <w:u w:val="none"/>
          </w:rPr>
          <w:t>https://www.acaderc.org.ar/wp-content/blogs.dir/55/files/sites/55/2020/02/LA-SENTENCIA-DE-SEGUNDA-INSTANCIA.pdf</w:t>
        </w:r>
      </w:hyperlink>
      <w:r w:rsidR="00023A8F">
        <w:rPr>
          <w:sz w:val="18"/>
          <w:szCs w:val="18"/>
        </w:rPr>
        <w:t xml:space="preserve">.   </w:t>
      </w:r>
      <w:r w:rsidR="00D53417" w:rsidRPr="00DB3350">
        <w:rPr>
          <w:sz w:val="18"/>
          <w:szCs w:val="18"/>
        </w:rPr>
        <w:t xml:space="preserve">No está de más resaltar que tal argumento ya lo había afirmado la Corte Suprema in re “ECHEVERE” (CSJN, Arturo R. </w:t>
      </w:r>
      <w:proofErr w:type="spellStart"/>
      <w:r w:rsidR="00D53417" w:rsidRPr="00DB3350">
        <w:rPr>
          <w:sz w:val="18"/>
          <w:szCs w:val="18"/>
        </w:rPr>
        <w:t>Etchevehere</w:t>
      </w:r>
      <w:proofErr w:type="spellEnd"/>
      <w:r w:rsidR="00D53417" w:rsidRPr="00DB3350">
        <w:rPr>
          <w:sz w:val="18"/>
          <w:szCs w:val="18"/>
        </w:rPr>
        <w:t xml:space="preserve"> y otro v. Gilberto Izaguirre, 04/05/82, Fallos 304:590</w:t>
      </w:r>
      <w:r w:rsidR="00023A8F">
        <w:rPr>
          <w:sz w:val="18"/>
          <w:szCs w:val="18"/>
        </w:rPr>
        <w:t>)</w:t>
      </w:r>
    </w:p>
  </w:footnote>
  <w:footnote w:id="28">
    <w:p w:rsidR="00F3523F" w:rsidRPr="00DB3350" w:rsidRDefault="00F3523F" w:rsidP="00120060">
      <w:pPr>
        <w:spacing w:line="240" w:lineRule="auto"/>
        <w:jc w:val="both"/>
        <w:rPr>
          <w:sz w:val="18"/>
          <w:szCs w:val="18"/>
        </w:rPr>
      </w:pPr>
      <w:r w:rsidRPr="00DB3350">
        <w:rPr>
          <w:rStyle w:val="Refdenotaalpie"/>
          <w:sz w:val="18"/>
          <w:szCs w:val="18"/>
        </w:rPr>
        <w:footnoteRef/>
      </w:r>
      <w:r w:rsidRPr="00DB3350">
        <w:rPr>
          <w:sz w:val="18"/>
          <w:szCs w:val="18"/>
        </w:rPr>
        <w:t xml:space="preserve"> </w:t>
      </w:r>
      <w:r w:rsidRPr="00DB3350">
        <w:rPr>
          <w:i/>
          <w:sz w:val="18"/>
          <w:szCs w:val="18"/>
        </w:rPr>
        <w:t xml:space="preserve">“…Es doctrina de la Corte Suprema que las sentencias de los tribunales pluripersonales deben contener pronunciamientos expresos y positivos adoptados por mayorías absolutas de opiniones concordantes de sus integrantes. Ello presenta dos aspectos: el cuantitativo y el cualitativo. El primero de ellos aborda la cantidad de jueces que tienen que concurrir al dictado una sentencia para que sea válida, mientras que el punto de vista cualitativo analiza la concordancia de opiniones, </w:t>
      </w:r>
      <w:r w:rsidRPr="00DB3350">
        <w:rPr>
          <w:sz w:val="18"/>
          <w:szCs w:val="18"/>
        </w:rPr>
        <w:t xml:space="preserve">siendo causal de arbitrariedad la ausencia de dicha mayoría argumentativa. (MORGENSTERN, FEDERICO </w:t>
      </w:r>
      <w:r w:rsidRPr="00DB3350">
        <w:rPr>
          <w:i/>
          <w:sz w:val="18"/>
          <w:szCs w:val="18"/>
        </w:rPr>
        <w:t>Sentencias de tribunales colegiados: problemas relacionados con la formación de mayorías</w:t>
      </w:r>
      <w:r w:rsidRPr="00DB3350">
        <w:rPr>
          <w:sz w:val="18"/>
          <w:szCs w:val="18"/>
        </w:rPr>
        <w:t>, TR LALEY AR/DOC/9620/2012)</w:t>
      </w:r>
    </w:p>
  </w:footnote>
  <w:footnote w:id="29">
    <w:p w:rsidR="00F3523F" w:rsidRPr="00DB3350" w:rsidRDefault="00F3523F" w:rsidP="005E0A9F">
      <w:pPr>
        <w:pStyle w:val="Textonotapie"/>
        <w:jc w:val="both"/>
        <w:rPr>
          <w:sz w:val="18"/>
          <w:szCs w:val="18"/>
        </w:rPr>
      </w:pPr>
      <w:r w:rsidRPr="00DB3350">
        <w:rPr>
          <w:rStyle w:val="Refdenotaalpie"/>
          <w:sz w:val="18"/>
          <w:szCs w:val="18"/>
        </w:rPr>
        <w:footnoteRef/>
      </w:r>
      <w:r w:rsidRPr="00DB3350">
        <w:rPr>
          <w:sz w:val="18"/>
          <w:szCs w:val="18"/>
        </w:rPr>
        <w:t xml:space="preserve"> </w:t>
      </w:r>
      <w:r w:rsidRPr="00DB3350">
        <w:rPr>
          <w:rFonts w:ascii="Calibri" w:hAnsi="Calibri" w:cs="Calibri"/>
          <w:sz w:val="18"/>
          <w:szCs w:val="18"/>
        </w:rPr>
        <w:t xml:space="preserve">SARRABAYROUSE, EUGENIO C. </w:t>
      </w:r>
      <w:r w:rsidRPr="00DB3350">
        <w:rPr>
          <w:rFonts w:ascii="Calibri" w:hAnsi="Calibri" w:cs="Calibri"/>
          <w:i/>
          <w:sz w:val="18"/>
          <w:szCs w:val="18"/>
        </w:rPr>
        <w:t xml:space="preserve">Las Sentencias de los tribunales colegiados, La Falta de mayorías Argumentativas y la Jurisprudencia de la Corte Suprema Argentina: ¿Un falso problema en materia penal? </w:t>
      </w:r>
      <w:r w:rsidRPr="00DB3350">
        <w:rPr>
          <w:rFonts w:ascii="Calibri" w:hAnsi="Calibri" w:cs="Calibri"/>
          <w:sz w:val="18"/>
          <w:szCs w:val="18"/>
        </w:rPr>
        <w:t>En ARENA, FEDERICO J., CUAUTLE RODRÍGUEZ, EDITH; NAVARRO PABLO E. y PUPPO, ALBERTO –</w:t>
      </w:r>
      <w:proofErr w:type="spellStart"/>
      <w:r w:rsidRPr="00DB3350">
        <w:rPr>
          <w:rFonts w:ascii="Calibri" w:hAnsi="Calibri" w:cs="Calibri"/>
          <w:sz w:val="18"/>
          <w:szCs w:val="18"/>
        </w:rPr>
        <w:t>Edit</w:t>
      </w:r>
      <w:proofErr w:type="spellEnd"/>
      <w:r w:rsidRPr="00DB3350">
        <w:rPr>
          <w:rFonts w:ascii="Calibri" w:hAnsi="Calibri" w:cs="Calibri"/>
          <w:sz w:val="18"/>
          <w:szCs w:val="18"/>
        </w:rPr>
        <w:t xml:space="preserve">, Universidad Nacional Autónoma de </w:t>
      </w:r>
      <w:proofErr w:type="spellStart"/>
      <w:r w:rsidRPr="00DB3350">
        <w:rPr>
          <w:rFonts w:ascii="Calibri" w:hAnsi="Calibri" w:cs="Calibri"/>
          <w:sz w:val="18"/>
          <w:szCs w:val="18"/>
        </w:rPr>
        <w:t>Mexico</w:t>
      </w:r>
      <w:proofErr w:type="spellEnd"/>
      <w:r w:rsidRPr="00DB3350">
        <w:rPr>
          <w:rFonts w:ascii="Calibri" w:hAnsi="Calibri" w:cs="Calibri"/>
          <w:sz w:val="18"/>
          <w:szCs w:val="18"/>
        </w:rPr>
        <w:t>. Instituto de Investigaciones  Jurídicas, México, 2022, p. 295</w:t>
      </w:r>
    </w:p>
  </w:footnote>
  <w:footnote w:id="30">
    <w:p w:rsidR="00F3523F" w:rsidRPr="00DB3350" w:rsidRDefault="00F3523F" w:rsidP="005E0A9F">
      <w:pPr>
        <w:pStyle w:val="Textonotapie"/>
        <w:jc w:val="both"/>
        <w:rPr>
          <w:sz w:val="18"/>
          <w:szCs w:val="18"/>
        </w:rPr>
      </w:pPr>
      <w:r w:rsidRPr="00DB3350">
        <w:rPr>
          <w:rStyle w:val="Refdenotaalpie"/>
          <w:sz w:val="18"/>
          <w:szCs w:val="18"/>
        </w:rPr>
        <w:footnoteRef/>
      </w:r>
      <w:r w:rsidRPr="00DB3350">
        <w:rPr>
          <w:sz w:val="18"/>
          <w:szCs w:val="18"/>
        </w:rPr>
        <w:t xml:space="preserve"> Confr. CSJN, Juan Santos </w:t>
      </w:r>
      <w:proofErr w:type="spellStart"/>
      <w:r w:rsidRPr="00DB3350">
        <w:rPr>
          <w:sz w:val="18"/>
          <w:szCs w:val="18"/>
        </w:rPr>
        <w:t>Feliciani</w:t>
      </w:r>
      <w:proofErr w:type="spellEnd"/>
      <w:r w:rsidRPr="00DB3350">
        <w:rPr>
          <w:sz w:val="18"/>
          <w:szCs w:val="18"/>
        </w:rPr>
        <w:t xml:space="preserve"> c/ Digna Lorenzo de Chávez (Fallos 273:289).</w:t>
      </w:r>
      <w:r w:rsidRPr="00DB3350">
        <w:rPr>
          <w:i/>
          <w:sz w:val="18"/>
          <w:szCs w:val="18"/>
        </w:rPr>
        <w:t xml:space="preserve"> </w:t>
      </w:r>
    </w:p>
  </w:footnote>
  <w:footnote w:id="31">
    <w:p w:rsidR="00F3523F" w:rsidRPr="00DB3350" w:rsidRDefault="00F3523F">
      <w:pPr>
        <w:pStyle w:val="Textonotapie"/>
        <w:rPr>
          <w:sz w:val="18"/>
          <w:szCs w:val="18"/>
        </w:rPr>
      </w:pPr>
      <w:r w:rsidRPr="00DB3350">
        <w:rPr>
          <w:rStyle w:val="Refdenotaalpie"/>
          <w:sz w:val="18"/>
          <w:szCs w:val="18"/>
        </w:rPr>
        <w:footnoteRef/>
      </w:r>
      <w:r w:rsidRPr="00DB3350">
        <w:rPr>
          <w:sz w:val="18"/>
          <w:szCs w:val="18"/>
        </w:rPr>
        <w:t xml:space="preserve"> Confr. FARRELL, MARTÍN D. </w:t>
      </w:r>
      <w:r w:rsidRPr="00DB3350">
        <w:rPr>
          <w:i/>
          <w:sz w:val="18"/>
          <w:szCs w:val="18"/>
        </w:rPr>
        <w:t xml:space="preserve">La argumentación de las decisiones en los tribunales colectivos, </w:t>
      </w:r>
      <w:r w:rsidRPr="00DB3350">
        <w:rPr>
          <w:sz w:val="18"/>
          <w:szCs w:val="18"/>
        </w:rPr>
        <w:t>La Ley 2003-F-1161, TR LALEY AR/DOC/10953/2003</w:t>
      </w:r>
    </w:p>
  </w:footnote>
  <w:footnote w:id="32">
    <w:p w:rsidR="00F3523F" w:rsidRPr="00DB3350" w:rsidRDefault="00F3523F" w:rsidP="005E0A9F">
      <w:pPr>
        <w:pStyle w:val="Textonotapie"/>
        <w:jc w:val="both"/>
        <w:rPr>
          <w:sz w:val="18"/>
          <w:szCs w:val="18"/>
        </w:rPr>
      </w:pPr>
      <w:r w:rsidRPr="00DB3350">
        <w:rPr>
          <w:rStyle w:val="Refdenotaalpie"/>
          <w:sz w:val="18"/>
          <w:szCs w:val="18"/>
        </w:rPr>
        <w:footnoteRef/>
      </w:r>
      <w:r w:rsidRPr="00DB3350">
        <w:rPr>
          <w:sz w:val="18"/>
          <w:szCs w:val="18"/>
        </w:rPr>
        <w:t xml:space="preserve"> </w:t>
      </w:r>
      <w:r w:rsidRPr="00DB3350">
        <w:rPr>
          <w:i/>
          <w:sz w:val="18"/>
          <w:szCs w:val="18"/>
        </w:rPr>
        <w:t>“…si bien es cierto que la jurisprudencia de esta Corte ha declarado que lo referente a la constitución y composición de los tribunales de la causa, al igual que las cuestiones vinculadas con las formalidades de la sentencia y el modo de emitir el voto en dichos tribunales cuando son colegiados, constituyen materias ajenas al recurso extraordinario (Fallos: 265:300; 273:289; 274:227; 281: 306; 304:154 у 1639), ello no es óbice para que la Corte considere el caso, cuando, como en el presente, las irregularidades observadas en el procedimiento por el cual se dictó el acto impugnado, importan un grave quebrantamiento de las normas legales que determinan el modo en que deben emitirse las sentencias definitivas de las cámaras nacionales de apelaciones y causen, por consiguiente, agravio en la defensa en juicio (…) Es descalificable el fallo que -al declarar la nulidad del acto del Consejo Nacional del Partido Justicialista que había separado de sus cargos en aquel cuerpo a dos de sus miembros y ordenar su reposición en ellos- no sólo carece de deliberación y voto individual, sino tampoco aparece dictada en acuerdo alguno. ”</w:t>
      </w:r>
      <w:r w:rsidRPr="00DB3350">
        <w:rPr>
          <w:sz w:val="18"/>
          <w:szCs w:val="18"/>
        </w:rPr>
        <w:t>(CSJN, 18/11/86, "Recurso de hecho deducido por el representante del Partido, Justicialista en la causa Iglesias, Herminio y Corti, Osvaldo s/nulidad de resolución del Consejo Nacional del Partido Justicialista", Fallos: 308:2188)</w:t>
      </w:r>
    </w:p>
    <w:p w:rsidR="00F3523F" w:rsidRPr="00DB3350" w:rsidRDefault="00F3523F">
      <w:pPr>
        <w:pStyle w:val="Textonotapie"/>
        <w:rPr>
          <w:sz w:val="18"/>
          <w:szCs w:val="18"/>
        </w:rPr>
      </w:pPr>
    </w:p>
  </w:footnote>
  <w:footnote w:id="33">
    <w:p w:rsidR="00EE4719" w:rsidRPr="00DB3350" w:rsidRDefault="00EE4719">
      <w:pPr>
        <w:pStyle w:val="Textonotapie"/>
        <w:rPr>
          <w:sz w:val="18"/>
          <w:szCs w:val="18"/>
        </w:rPr>
      </w:pPr>
      <w:r w:rsidRPr="00DB3350">
        <w:rPr>
          <w:rStyle w:val="Refdenotaalpie"/>
          <w:sz w:val="18"/>
          <w:szCs w:val="18"/>
        </w:rPr>
        <w:footnoteRef/>
      </w:r>
      <w:r w:rsidRPr="00DB3350">
        <w:rPr>
          <w:sz w:val="18"/>
          <w:szCs w:val="18"/>
        </w:rPr>
        <w:t xml:space="preserve"> CSJN, Arturo R. </w:t>
      </w:r>
      <w:proofErr w:type="spellStart"/>
      <w:r w:rsidRPr="00DB3350">
        <w:rPr>
          <w:sz w:val="18"/>
          <w:szCs w:val="18"/>
        </w:rPr>
        <w:t>Etchevehere</w:t>
      </w:r>
      <w:proofErr w:type="spellEnd"/>
      <w:r w:rsidRPr="00DB3350">
        <w:rPr>
          <w:sz w:val="18"/>
          <w:szCs w:val="18"/>
        </w:rPr>
        <w:t xml:space="preserve"> y otro v. Gilberto Izaguirre, 04/05/82, Fallos 304:590. E </w:t>
      </w:r>
    </w:p>
  </w:footnote>
  <w:footnote w:id="34">
    <w:p w:rsidR="00EE4719" w:rsidRPr="00DB3350" w:rsidRDefault="00EE4719" w:rsidP="00EE4719">
      <w:pPr>
        <w:pStyle w:val="Textonotapie"/>
        <w:rPr>
          <w:sz w:val="18"/>
          <w:szCs w:val="18"/>
        </w:rPr>
      </w:pPr>
      <w:r w:rsidRPr="00DB3350">
        <w:rPr>
          <w:rStyle w:val="Refdenotaalpie"/>
          <w:sz w:val="18"/>
          <w:szCs w:val="18"/>
        </w:rPr>
        <w:footnoteRef/>
      </w:r>
      <w:r w:rsidRPr="00DB3350">
        <w:rPr>
          <w:sz w:val="18"/>
          <w:szCs w:val="18"/>
        </w:rPr>
        <w:t xml:space="preserve"> CSJN, “Francisco Marcelo Araujo   vs Municipalidad de la ciudad de Buenos Aires, Fallos 305:2218. </w:t>
      </w:r>
    </w:p>
  </w:footnote>
  <w:footnote w:id="35">
    <w:p w:rsidR="00023A8F" w:rsidRDefault="00023A8F" w:rsidP="00C876D9">
      <w:pPr>
        <w:pStyle w:val="Textonotapie"/>
        <w:jc w:val="both"/>
      </w:pPr>
      <w:r>
        <w:rPr>
          <w:rStyle w:val="Refdenotaalpie"/>
        </w:rPr>
        <w:footnoteRef/>
      </w:r>
      <w:r>
        <w:t xml:space="preserve"> En tal sentido, </w:t>
      </w:r>
      <w:r w:rsidR="00C876D9">
        <w:t xml:space="preserve">RIZZI, FRANCISCO T. y  CAMUSSO, FEDERICO M. </w:t>
      </w:r>
      <w:r w:rsidR="00C876D9">
        <w:rPr>
          <w:i/>
        </w:rPr>
        <w:t>La Corte suprema y la doctrina…</w:t>
      </w:r>
      <w:proofErr w:type="spellStart"/>
      <w:r w:rsidR="00C876D9">
        <w:t>op</w:t>
      </w:r>
      <w:proofErr w:type="spellEnd"/>
      <w:r w:rsidR="00C876D9">
        <w:t xml:space="preserve"> </w:t>
      </w:r>
      <w:proofErr w:type="spellStart"/>
      <w:r w:rsidR="00C876D9">
        <w:t>cit</w:t>
      </w:r>
      <w:proofErr w:type="spellEnd"/>
      <w:r w:rsidR="00C876D9">
        <w:t xml:space="preserve"> p. 53; PICCARDO, </w:t>
      </w:r>
      <w:r w:rsidR="00C876D9">
        <w:rPr>
          <w:i/>
        </w:rPr>
        <w:t>Como fallan los jueces, …</w:t>
      </w:r>
      <w:proofErr w:type="spellStart"/>
      <w:r w:rsidR="00C876D9">
        <w:t>op</w:t>
      </w:r>
      <w:proofErr w:type="spellEnd"/>
      <w:r w:rsidR="00C876D9">
        <w:t xml:space="preserve"> </w:t>
      </w:r>
      <w:proofErr w:type="spellStart"/>
      <w:r w:rsidR="00C876D9">
        <w:t>cit</w:t>
      </w:r>
      <w:proofErr w:type="spellEnd"/>
      <w:r w:rsidR="00C876D9">
        <w:t xml:space="preserve"> p 239, entre otros.- </w:t>
      </w:r>
    </w:p>
  </w:footnote>
  <w:footnote w:id="36">
    <w:p w:rsidR="00F3523F" w:rsidRPr="00DB3350" w:rsidRDefault="00F3523F" w:rsidP="00D71577">
      <w:pPr>
        <w:pStyle w:val="Textonotapie"/>
        <w:jc w:val="both"/>
        <w:rPr>
          <w:rFonts w:ascii="Calibri" w:hAnsi="Calibri" w:cs="Calibri"/>
          <w:i/>
          <w:sz w:val="18"/>
          <w:szCs w:val="18"/>
        </w:rPr>
      </w:pPr>
      <w:r w:rsidRPr="00DB3350">
        <w:rPr>
          <w:rStyle w:val="Refdenotaalpie"/>
          <w:rFonts w:ascii="Calibri" w:hAnsi="Calibri" w:cs="Calibri"/>
          <w:sz w:val="18"/>
          <w:szCs w:val="18"/>
        </w:rPr>
        <w:footnoteRef/>
      </w:r>
      <w:r w:rsidRPr="00DB3350">
        <w:rPr>
          <w:rFonts w:ascii="Calibri" w:hAnsi="Calibri" w:cs="Calibri"/>
          <w:sz w:val="18"/>
          <w:szCs w:val="18"/>
        </w:rPr>
        <w:t xml:space="preserve"> SARRABAYROUSE, EUGENIO C. </w:t>
      </w:r>
      <w:r w:rsidRPr="00DB3350">
        <w:rPr>
          <w:rFonts w:ascii="Calibri" w:hAnsi="Calibri" w:cs="Calibri"/>
          <w:i/>
          <w:sz w:val="18"/>
          <w:szCs w:val="18"/>
        </w:rPr>
        <w:t>Las Sentencias de los tribunales colegiados, La Falta de mayorías Argumentativas …</w:t>
      </w:r>
      <w:proofErr w:type="spellStart"/>
      <w:r w:rsidRPr="00DB3350">
        <w:rPr>
          <w:rFonts w:ascii="Calibri" w:hAnsi="Calibri" w:cs="Calibri"/>
          <w:i/>
          <w:sz w:val="18"/>
          <w:szCs w:val="18"/>
        </w:rPr>
        <w:t>op</w:t>
      </w:r>
      <w:proofErr w:type="spellEnd"/>
      <w:r w:rsidRPr="00DB3350">
        <w:rPr>
          <w:rFonts w:ascii="Calibri" w:hAnsi="Calibri" w:cs="Calibri"/>
          <w:i/>
          <w:sz w:val="18"/>
          <w:szCs w:val="18"/>
        </w:rPr>
        <w:t xml:space="preserve"> </w:t>
      </w:r>
      <w:proofErr w:type="spellStart"/>
      <w:r w:rsidRPr="00DB3350">
        <w:rPr>
          <w:rFonts w:ascii="Calibri" w:hAnsi="Calibri" w:cs="Calibri"/>
          <w:i/>
          <w:sz w:val="18"/>
          <w:szCs w:val="18"/>
        </w:rPr>
        <w:t>cit</w:t>
      </w:r>
      <w:proofErr w:type="spellEnd"/>
      <w:r w:rsidRPr="00DB3350">
        <w:rPr>
          <w:rFonts w:ascii="Calibri" w:hAnsi="Calibri" w:cs="Calibri"/>
          <w:i/>
          <w:sz w:val="18"/>
          <w:szCs w:val="18"/>
        </w:rPr>
        <w:t xml:space="preserve"> </w:t>
      </w:r>
      <w:r w:rsidRPr="00DB3350">
        <w:rPr>
          <w:rFonts w:ascii="Calibri" w:hAnsi="Calibri" w:cs="Calibri"/>
          <w:sz w:val="18"/>
          <w:szCs w:val="18"/>
        </w:rPr>
        <w:t>, p. 290)</w:t>
      </w:r>
    </w:p>
  </w:footnote>
  <w:footnote w:id="37">
    <w:p w:rsidR="00F3523F" w:rsidRPr="00DB3350" w:rsidRDefault="00F3523F">
      <w:pPr>
        <w:pStyle w:val="Textonotapie"/>
        <w:rPr>
          <w:sz w:val="18"/>
          <w:szCs w:val="18"/>
        </w:rPr>
      </w:pPr>
      <w:r w:rsidRPr="00DB3350">
        <w:rPr>
          <w:rStyle w:val="Refdenotaalpie"/>
          <w:sz w:val="18"/>
          <w:szCs w:val="18"/>
        </w:rPr>
        <w:footnoteRef/>
      </w:r>
      <w:r w:rsidR="00EE4719" w:rsidRPr="00DB3350">
        <w:rPr>
          <w:sz w:val="18"/>
          <w:szCs w:val="18"/>
        </w:rPr>
        <w:t xml:space="preserve"> CSJN, “</w:t>
      </w:r>
      <w:proofErr w:type="spellStart"/>
      <w:r w:rsidR="00EE4719" w:rsidRPr="00DB3350">
        <w:rPr>
          <w:sz w:val="18"/>
          <w:szCs w:val="18"/>
        </w:rPr>
        <w:t>La</w:t>
      </w:r>
      <w:r w:rsidRPr="00DB3350">
        <w:rPr>
          <w:sz w:val="18"/>
          <w:szCs w:val="18"/>
        </w:rPr>
        <w:t>coni</w:t>
      </w:r>
      <w:proofErr w:type="spellEnd"/>
      <w:r w:rsidRPr="00DB3350">
        <w:rPr>
          <w:sz w:val="18"/>
          <w:szCs w:val="18"/>
        </w:rPr>
        <w:t xml:space="preserve">” Fallos: 312:1058. </w:t>
      </w:r>
    </w:p>
  </w:footnote>
  <w:footnote w:id="38">
    <w:p w:rsidR="000922F8" w:rsidRPr="00DB3350" w:rsidRDefault="000922F8">
      <w:pPr>
        <w:pStyle w:val="Textonotapie"/>
        <w:rPr>
          <w:sz w:val="18"/>
          <w:szCs w:val="18"/>
        </w:rPr>
      </w:pPr>
      <w:r w:rsidRPr="00DB3350">
        <w:rPr>
          <w:rStyle w:val="Refdenotaalpie"/>
          <w:sz w:val="18"/>
          <w:szCs w:val="18"/>
        </w:rPr>
        <w:footnoteRef/>
      </w:r>
      <w:r w:rsidRPr="00DB3350">
        <w:rPr>
          <w:sz w:val="18"/>
          <w:szCs w:val="18"/>
        </w:rPr>
        <w:t xml:space="preserve"> CSJN "</w:t>
      </w:r>
      <w:proofErr w:type="spellStart"/>
      <w:r w:rsidRPr="00DB3350">
        <w:rPr>
          <w:sz w:val="18"/>
          <w:szCs w:val="18"/>
        </w:rPr>
        <w:t>Oblak</w:t>
      </w:r>
      <w:proofErr w:type="spellEnd"/>
      <w:r w:rsidRPr="00DB3350">
        <w:rPr>
          <w:sz w:val="18"/>
          <w:szCs w:val="18"/>
        </w:rPr>
        <w:t xml:space="preserve"> Hnos. (TF 11.681-A) c/ DGA". 05/05/09, Fallos: 332:943</w:t>
      </w:r>
    </w:p>
  </w:footnote>
  <w:footnote w:id="39">
    <w:p w:rsidR="00F3523F" w:rsidRPr="00DB3350" w:rsidRDefault="00F3523F">
      <w:pPr>
        <w:pStyle w:val="Textonotapie"/>
        <w:rPr>
          <w:sz w:val="18"/>
          <w:szCs w:val="18"/>
        </w:rPr>
      </w:pPr>
      <w:r w:rsidRPr="00DB3350">
        <w:rPr>
          <w:rStyle w:val="Refdenotaalpie"/>
          <w:sz w:val="18"/>
          <w:szCs w:val="18"/>
        </w:rPr>
        <w:footnoteRef/>
      </w:r>
      <w:r w:rsidRPr="00DB3350">
        <w:rPr>
          <w:sz w:val="18"/>
          <w:szCs w:val="18"/>
        </w:rPr>
        <w:t xml:space="preserve"> CSJN </w:t>
      </w:r>
      <w:proofErr w:type="spellStart"/>
      <w:r w:rsidRPr="00DB3350">
        <w:rPr>
          <w:sz w:val="18"/>
          <w:szCs w:val="18"/>
        </w:rPr>
        <w:t>Eraso</w:t>
      </w:r>
      <w:proofErr w:type="spellEnd"/>
      <w:r w:rsidRPr="00DB3350">
        <w:rPr>
          <w:sz w:val="18"/>
          <w:szCs w:val="18"/>
        </w:rPr>
        <w:t>, Raúl Alfredo y otros s/ Causa, E 141.XLVI.RHE.</w:t>
      </w:r>
      <w:r w:rsidR="00EE4719" w:rsidRPr="00DB3350">
        <w:rPr>
          <w:sz w:val="18"/>
          <w:szCs w:val="18"/>
        </w:rPr>
        <w:t xml:space="preserve"> </w:t>
      </w:r>
    </w:p>
  </w:footnote>
  <w:footnote w:id="40">
    <w:p w:rsidR="00F3523F" w:rsidRPr="00DB3350" w:rsidRDefault="00F3523F">
      <w:pPr>
        <w:pStyle w:val="Textonotapie"/>
        <w:rPr>
          <w:sz w:val="18"/>
          <w:szCs w:val="18"/>
        </w:rPr>
      </w:pPr>
      <w:r w:rsidRPr="00DB3350">
        <w:rPr>
          <w:rStyle w:val="Refdenotaalpie"/>
          <w:sz w:val="18"/>
          <w:szCs w:val="18"/>
        </w:rPr>
        <w:footnoteRef/>
      </w:r>
      <w:r w:rsidRPr="00DB3350">
        <w:rPr>
          <w:sz w:val="18"/>
          <w:szCs w:val="18"/>
        </w:rPr>
        <w:t xml:space="preserve"> CSJN, Di Rocco </w:t>
      </w:r>
      <w:proofErr w:type="spellStart"/>
      <w:r w:rsidRPr="00DB3350">
        <w:rPr>
          <w:sz w:val="18"/>
          <w:szCs w:val="18"/>
        </w:rPr>
        <w:t>Vanella</w:t>
      </w:r>
      <w:proofErr w:type="spellEnd"/>
      <w:r w:rsidRPr="00DB3350">
        <w:rPr>
          <w:sz w:val="18"/>
          <w:szCs w:val="18"/>
        </w:rPr>
        <w:t xml:space="preserve">, Daniel Federico y </w:t>
      </w:r>
      <w:proofErr w:type="spellStart"/>
      <w:r w:rsidRPr="00DB3350">
        <w:rPr>
          <w:sz w:val="18"/>
          <w:szCs w:val="18"/>
        </w:rPr>
        <w:t>otro s</w:t>
      </w:r>
      <w:proofErr w:type="spellEnd"/>
      <w:r w:rsidRPr="00DB3350">
        <w:rPr>
          <w:sz w:val="18"/>
          <w:szCs w:val="18"/>
        </w:rPr>
        <w:t>/causa Nº 16.256 (04/11/14</w:t>
      </w:r>
      <w:r w:rsidR="000B547A" w:rsidRPr="00DB3350">
        <w:rPr>
          <w:sz w:val="18"/>
          <w:szCs w:val="18"/>
        </w:rPr>
        <w:t xml:space="preserve">). </w:t>
      </w:r>
    </w:p>
  </w:footnote>
  <w:footnote w:id="41">
    <w:p w:rsidR="00F3523F" w:rsidRPr="00DB3350" w:rsidRDefault="00F3523F">
      <w:pPr>
        <w:pStyle w:val="Textonotapie"/>
        <w:rPr>
          <w:sz w:val="18"/>
          <w:szCs w:val="18"/>
        </w:rPr>
      </w:pPr>
      <w:r w:rsidRPr="00DB3350">
        <w:rPr>
          <w:rStyle w:val="Refdenotaalpie"/>
          <w:sz w:val="18"/>
          <w:szCs w:val="18"/>
        </w:rPr>
        <w:footnoteRef/>
      </w:r>
      <w:r w:rsidRPr="00DB3350">
        <w:rPr>
          <w:sz w:val="18"/>
          <w:szCs w:val="18"/>
        </w:rPr>
        <w:t xml:space="preserve"> CSJN </w:t>
      </w:r>
      <w:proofErr w:type="spellStart"/>
      <w:r w:rsidRPr="00DB3350">
        <w:rPr>
          <w:sz w:val="18"/>
          <w:szCs w:val="18"/>
        </w:rPr>
        <w:t>Petty</w:t>
      </w:r>
      <w:proofErr w:type="spellEnd"/>
      <w:r w:rsidRPr="00DB3350">
        <w:rPr>
          <w:sz w:val="18"/>
          <w:szCs w:val="18"/>
        </w:rPr>
        <w:t xml:space="preserve">, Luis G. y </w:t>
      </w:r>
      <w:proofErr w:type="spellStart"/>
      <w:r w:rsidRPr="00DB3350">
        <w:rPr>
          <w:sz w:val="18"/>
          <w:szCs w:val="18"/>
        </w:rPr>
        <w:t>otro s</w:t>
      </w:r>
      <w:proofErr w:type="spellEnd"/>
      <w:r w:rsidRPr="00DB3350">
        <w:rPr>
          <w:sz w:val="18"/>
          <w:szCs w:val="18"/>
        </w:rPr>
        <w:t xml:space="preserve">/falsificación de documentos públicos, CSJ 004359/2014/CS001, 02/06/15 </w:t>
      </w:r>
    </w:p>
  </w:footnote>
  <w:footnote w:id="42">
    <w:p w:rsidR="00F3523F" w:rsidRPr="00DB3350" w:rsidRDefault="00F3523F">
      <w:pPr>
        <w:pStyle w:val="Textonotapie"/>
        <w:rPr>
          <w:sz w:val="18"/>
          <w:szCs w:val="18"/>
        </w:rPr>
      </w:pPr>
      <w:r w:rsidRPr="00DB3350">
        <w:rPr>
          <w:rStyle w:val="Refdenotaalpie"/>
          <w:sz w:val="18"/>
          <w:szCs w:val="18"/>
        </w:rPr>
        <w:footnoteRef/>
      </w:r>
      <w:r w:rsidRPr="00DB3350">
        <w:rPr>
          <w:sz w:val="18"/>
          <w:szCs w:val="18"/>
        </w:rPr>
        <w:t xml:space="preserve"> CSJN Villalba Martínez María G. y </w:t>
      </w:r>
      <w:proofErr w:type="spellStart"/>
      <w:r w:rsidRPr="00DB3350">
        <w:rPr>
          <w:sz w:val="18"/>
          <w:szCs w:val="18"/>
        </w:rPr>
        <w:t>otro s</w:t>
      </w:r>
      <w:proofErr w:type="spellEnd"/>
      <w:r w:rsidRPr="00DB3350">
        <w:rPr>
          <w:sz w:val="18"/>
          <w:szCs w:val="18"/>
        </w:rPr>
        <w:t>/infracción ley 23.737 (art 29)</w:t>
      </w:r>
    </w:p>
  </w:footnote>
  <w:footnote w:id="43">
    <w:p w:rsidR="00D342DD" w:rsidRPr="00DB3350" w:rsidRDefault="00D342DD">
      <w:pPr>
        <w:pStyle w:val="Textonotapie"/>
        <w:rPr>
          <w:sz w:val="18"/>
          <w:szCs w:val="18"/>
        </w:rPr>
      </w:pPr>
      <w:r w:rsidRPr="00DB3350">
        <w:rPr>
          <w:rStyle w:val="Refdenotaalpie"/>
          <w:sz w:val="18"/>
          <w:szCs w:val="18"/>
        </w:rPr>
        <w:footnoteRef/>
      </w:r>
      <w:r w:rsidRPr="00DB3350">
        <w:rPr>
          <w:sz w:val="18"/>
          <w:szCs w:val="18"/>
        </w:rPr>
        <w:t xml:space="preserve"> CSJN "Recurso de hecho deducido por la defensa de Alberto </w:t>
      </w:r>
      <w:proofErr w:type="spellStart"/>
      <w:r w:rsidRPr="00DB3350">
        <w:rPr>
          <w:sz w:val="18"/>
          <w:szCs w:val="18"/>
        </w:rPr>
        <w:t>Minazzoli</w:t>
      </w:r>
      <w:proofErr w:type="spellEnd"/>
      <w:r w:rsidRPr="00DB3350">
        <w:rPr>
          <w:sz w:val="18"/>
          <w:szCs w:val="18"/>
        </w:rPr>
        <w:t xml:space="preserve"> en la causa </w:t>
      </w:r>
      <w:proofErr w:type="spellStart"/>
      <w:r w:rsidRPr="00DB3350">
        <w:rPr>
          <w:sz w:val="18"/>
          <w:szCs w:val="18"/>
        </w:rPr>
        <w:t>Cossio</w:t>
      </w:r>
      <w:proofErr w:type="spellEnd"/>
      <w:r w:rsidRPr="00DB3350">
        <w:rPr>
          <w:sz w:val="18"/>
          <w:szCs w:val="18"/>
        </w:rPr>
        <w:t xml:space="preserve">, Ricardo Juan Alfredo y otros s/ defraudación contra la administración pública, malversación de caudales públicos (art.' 260) Y abuso de autoridad y </w:t>
      </w:r>
      <w:proofErr w:type="spellStart"/>
      <w:r w:rsidRPr="00DB3350">
        <w:rPr>
          <w:sz w:val="18"/>
          <w:szCs w:val="18"/>
        </w:rPr>
        <w:t>viol</w:t>
      </w:r>
      <w:proofErr w:type="spellEnd"/>
      <w:r w:rsidRPr="00DB3350">
        <w:rPr>
          <w:sz w:val="18"/>
          <w:szCs w:val="18"/>
        </w:rPr>
        <w:t xml:space="preserve"> </w:t>
      </w:r>
      <w:proofErr w:type="spellStart"/>
      <w:r w:rsidRPr="00DB3350">
        <w:rPr>
          <w:sz w:val="18"/>
          <w:szCs w:val="18"/>
        </w:rPr>
        <w:t>deb</w:t>
      </w:r>
      <w:proofErr w:type="spellEnd"/>
      <w:r w:rsidRPr="00DB3350">
        <w:rPr>
          <w:sz w:val="18"/>
          <w:szCs w:val="18"/>
        </w:rPr>
        <w:t xml:space="preserve">. </w:t>
      </w:r>
      <w:proofErr w:type="spellStart"/>
      <w:r w:rsidRPr="00DB3350">
        <w:rPr>
          <w:sz w:val="18"/>
          <w:szCs w:val="18"/>
        </w:rPr>
        <w:t>func</w:t>
      </w:r>
      <w:proofErr w:type="spellEnd"/>
      <w:r w:rsidRPr="00DB3350">
        <w:rPr>
          <w:sz w:val="18"/>
          <w:szCs w:val="18"/>
        </w:rPr>
        <w:t xml:space="preserve">. </w:t>
      </w:r>
      <w:proofErr w:type="spellStart"/>
      <w:r w:rsidRPr="00DB3350">
        <w:rPr>
          <w:sz w:val="18"/>
          <w:szCs w:val="18"/>
        </w:rPr>
        <w:t>publ</w:t>
      </w:r>
      <w:proofErr w:type="spellEnd"/>
      <w:r w:rsidRPr="00DB3350">
        <w:rPr>
          <w:sz w:val="18"/>
          <w:szCs w:val="18"/>
        </w:rPr>
        <w:t>. (art. 248)", 12/06/18, en el que se resuelve por simple remisión a la doctrina sentada in re: ERASO</w:t>
      </w:r>
    </w:p>
  </w:footnote>
  <w:footnote w:id="44">
    <w:p w:rsidR="000B547A" w:rsidRPr="00DB3350" w:rsidRDefault="000B547A">
      <w:pPr>
        <w:pStyle w:val="Textonotapie"/>
        <w:rPr>
          <w:sz w:val="18"/>
          <w:szCs w:val="18"/>
        </w:rPr>
      </w:pPr>
      <w:r w:rsidRPr="00DB3350">
        <w:rPr>
          <w:rStyle w:val="Refdenotaalpie"/>
          <w:sz w:val="18"/>
          <w:szCs w:val="18"/>
        </w:rPr>
        <w:footnoteRef/>
      </w:r>
      <w:r w:rsidRPr="00DB3350">
        <w:rPr>
          <w:sz w:val="18"/>
          <w:szCs w:val="18"/>
        </w:rPr>
        <w:t xml:space="preserve"> Como ocurre en la Sentencia dictada in re  ERASO</w:t>
      </w:r>
      <w:r w:rsidR="006D35E8" w:rsidRPr="00DB3350">
        <w:rPr>
          <w:sz w:val="18"/>
          <w:szCs w:val="18"/>
        </w:rPr>
        <w:t>. Resolución ésta en la que la Corte remite al dictamen del Procurador, y éste, a su vez, remite a “LACONI”</w:t>
      </w:r>
      <w:r w:rsidRPr="00DB3350">
        <w:rPr>
          <w:sz w:val="18"/>
          <w:szCs w:val="18"/>
        </w:rPr>
        <w:t xml:space="preserve">. </w:t>
      </w:r>
    </w:p>
  </w:footnote>
  <w:footnote w:id="45">
    <w:p w:rsidR="000B547A" w:rsidRPr="00DB3350" w:rsidRDefault="000B547A">
      <w:pPr>
        <w:pStyle w:val="Textonotapie"/>
        <w:rPr>
          <w:sz w:val="18"/>
          <w:szCs w:val="18"/>
        </w:rPr>
      </w:pPr>
      <w:r w:rsidRPr="00DB3350">
        <w:rPr>
          <w:rStyle w:val="Refdenotaalpie"/>
          <w:sz w:val="18"/>
          <w:szCs w:val="18"/>
        </w:rPr>
        <w:footnoteRef/>
      </w:r>
      <w:r w:rsidRPr="00DB3350">
        <w:rPr>
          <w:sz w:val="18"/>
          <w:szCs w:val="18"/>
        </w:rPr>
        <w:t xml:space="preserve"> Como ocurre en la resolución dictada in re DI ROCCO</w:t>
      </w:r>
      <w:r w:rsidR="006D35E8" w:rsidRPr="00DB3350">
        <w:rPr>
          <w:sz w:val="18"/>
          <w:szCs w:val="18"/>
        </w:rPr>
        <w:t xml:space="preserve"> VANELLA, en PETTY y VILLALBA, donde la Corte por unanimidad remite a “ERASO”</w:t>
      </w:r>
    </w:p>
  </w:footnote>
  <w:footnote w:id="46">
    <w:p w:rsidR="00F3523F" w:rsidRPr="00DB3350" w:rsidRDefault="00F3523F" w:rsidP="00033CBF">
      <w:pPr>
        <w:spacing w:line="240" w:lineRule="auto"/>
        <w:jc w:val="both"/>
        <w:rPr>
          <w:sz w:val="18"/>
          <w:szCs w:val="18"/>
        </w:rPr>
      </w:pPr>
      <w:r w:rsidRPr="00DB3350">
        <w:rPr>
          <w:rStyle w:val="Refdenotaalpie"/>
          <w:sz w:val="18"/>
          <w:szCs w:val="18"/>
        </w:rPr>
        <w:footnoteRef/>
      </w:r>
      <w:r w:rsidRPr="00DB3350">
        <w:rPr>
          <w:sz w:val="18"/>
          <w:szCs w:val="18"/>
        </w:rPr>
        <w:t xml:space="preserve"> CSJN “Olivera </w:t>
      </w:r>
      <w:proofErr w:type="spellStart"/>
      <w:r w:rsidRPr="00DB3350">
        <w:rPr>
          <w:sz w:val="18"/>
          <w:szCs w:val="18"/>
        </w:rPr>
        <w:t>Róvere</w:t>
      </w:r>
      <w:proofErr w:type="spellEnd"/>
      <w:r w:rsidRPr="00DB3350">
        <w:rPr>
          <w:sz w:val="18"/>
          <w:szCs w:val="18"/>
        </w:rPr>
        <w:t xml:space="preserve">, Jorge Carlos y otros s/ incidente de recurso extraordinario” CFP 14216/2003/TO1/1/1/1/CS4, 15/10/20. </w:t>
      </w:r>
    </w:p>
  </w:footnote>
  <w:footnote w:id="47">
    <w:p w:rsidR="00F3523F" w:rsidRPr="00DB3350" w:rsidRDefault="00F3523F">
      <w:pPr>
        <w:pStyle w:val="Textonotapie"/>
        <w:rPr>
          <w:sz w:val="18"/>
          <w:szCs w:val="18"/>
        </w:rPr>
      </w:pPr>
      <w:r w:rsidRPr="00DB3350">
        <w:rPr>
          <w:rStyle w:val="Refdenotaalpie"/>
          <w:sz w:val="18"/>
          <w:szCs w:val="18"/>
        </w:rPr>
        <w:footnoteRef/>
      </w:r>
      <w:r w:rsidRPr="00DB3350">
        <w:rPr>
          <w:sz w:val="18"/>
          <w:szCs w:val="18"/>
        </w:rPr>
        <w:t xml:space="preserve"> RIZZI, FRANCISCO T y CAMUSSO, FEDERICO M </w:t>
      </w:r>
      <w:r w:rsidRPr="00DB3350">
        <w:rPr>
          <w:i/>
          <w:sz w:val="18"/>
          <w:szCs w:val="18"/>
        </w:rPr>
        <w:t>La Corte Suprema y la doctrina…</w:t>
      </w:r>
      <w:proofErr w:type="spellStart"/>
      <w:r w:rsidRPr="00DB3350">
        <w:rPr>
          <w:sz w:val="18"/>
          <w:szCs w:val="18"/>
        </w:rPr>
        <w:t>op</w:t>
      </w:r>
      <w:proofErr w:type="spellEnd"/>
      <w:r w:rsidRPr="00DB3350">
        <w:rPr>
          <w:sz w:val="18"/>
          <w:szCs w:val="18"/>
        </w:rPr>
        <w:t xml:space="preserve"> </w:t>
      </w:r>
      <w:proofErr w:type="spellStart"/>
      <w:r w:rsidRPr="00DB3350">
        <w:rPr>
          <w:sz w:val="18"/>
          <w:szCs w:val="18"/>
        </w:rPr>
        <w:t>cit</w:t>
      </w:r>
      <w:proofErr w:type="spellEnd"/>
      <w:r w:rsidRPr="00DB3350">
        <w:rPr>
          <w:sz w:val="18"/>
          <w:szCs w:val="18"/>
        </w:rPr>
        <w:t xml:space="preserve"> p. 64</w:t>
      </w:r>
      <w:r w:rsidR="000B547A" w:rsidRPr="00DB3350">
        <w:rPr>
          <w:sz w:val="18"/>
          <w:szCs w:val="18"/>
        </w:rPr>
        <w:t xml:space="preserve">. No está de más resaltar que ya en ANSELMI, el voto del Dr. </w:t>
      </w:r>
      <w:proofErr w:type="spellStart"/>
      <w:r w:rsidR="000B547A" w:rsidRPr="00DB3350">
        <w:rPr>
          <w:sz w:val="18"/>
          <w:szCs w:val="18"/>
        </w:rPr>
        <w:t>Rosatti</w:t>
      </w:r>
      <w:proofErr w:type="spellEnd"/>
      <w:r w:rsidR="000B547A" w:rsidRPr="00DB3350">
        <w:rPr>
          <w:sz w:val="18"/>
          <w:szCs w:val="18"/>
        </w:rPr>
        <w:t xml:space="preserve"> ya argumentaba en forma similar a la expuesta in re: OLIVERA ROVERE. </w:t>
      </w:r>
    </w:p>
  </w:footnote>
  <w:footnote w:id="48">
    <w:p w:rsidR="00D342DD" w:rsidRPr="00DB3350" w:rsidRDefault="00D342DD" w:rsidP="00D342DD">
      <w:pPr>
        <w:pStyle w:val="Textonotapie"/>
        <w:jc w:val="both"/>
        <w:rPr>
          <w:sz w:val="18"/>
          <w:szCs w:val="18"/>
        </w:rPr>
      </w:pPr>
      <w:r w:rsidRPr="00DB3350">
        <w:rPr>
          <w:rStyle w:val="Refdenotaalpie"/>
          <w:sz w:val="18"/>
          <w:szCs w:val="18"/>
        </w:rPr>
        <w:footnoteRef/>
      </w:r>
      <w:r w:rsidRPr="00DB3350">
        <w:rPr>
          <w:sz w:val="18"/>
          <w:szCs w:val="18"/>
        </w:rPr>
        <w:t xml:space="preserve"> Cabe hacer notar  que  han existido algunos precedentes en los que en lugar de transcribir los argumentos de OLIVERA </w:t>
      </w:r>
      <w:proofErr w:type="gramStart"/>
      <w:r w:rsidRPr="00DB3350">
        <w:rPr>
          <w:sz w:val="18"/>
          <w:szCs w:val="18"/>
        </w:rPr>
        <w:t>ROVERE ,</w:t>
      </w:r>
      <w:proofErr w:type="gramEnd"/>
      <w:r w:rsidRPr="00DB3350">
        <w:rPr>
          <w:sz w:val="18"/>
          <w:szCs w:val="18"/>
        </w:rPr>
        <w:t xml:space="preserve"> la Corte para declarar arbitraria la sentencia y admitir el recurso extraordinario federal, remitió a lo dictaminado por el procurador, y en dichos dictámenes, éste último  transcribió solo algunos de los argumentos esgrimidos en el precedente de la Corte “ut supra” aludido, y que al igual que en este, entre otros precedentes, cita  a LACONI y ERASO. Véase en tal sentido “Recurso de hecho deducido por la defensa de Félix de Barrio y Carlos Gustavo </w:t>
      </w:r>
      <w:proofErr w:type="spellStart"/>
      <w:r w:rsidRPr="00DB3350">
        <w:rPr>
          <w:sz w:val="18"/>
          <w:szCs w:val="18"/>
        </w:rPr>
        <w:t>Krieger</w:t>
      </w:r>
      <w:proofErr w:type="spellEnd"/>
      <w:r w:rsidRPr="00DB3350">
        <w:rPr>
          <w:sz w:val="18"/>
          <w:szCs w:val="18"/>
        </w:rPr>
        <w:t xml:space="preserve"> en la causa </w:t>
      </w:r>
      <w:proofErr w:type="spellStart"/>
      <w:r w:rsidRPr="00DB3350">
        <w:rPr>
          <w:sz w:val="18"/>
          <w:szCs w:val="18"/>
        </w:rPr>
        <w:t>Cossio</w:t>
      </w:r>
      <w:proofErr w:type="spellEnd"/>
      <w:r w:rsidRPr="00DB3350">
        <w:rPr>
          <w:sz w:val="18"/>
          <w:szCs w:val="18"/>
        </w:rPr>
        <w:t xml:space="preserve">, Ricardo Juan Alfredo y otros s/ incidente de recurso extraordinario" </w:t>
      </w:r>
      <w:proofErr w:type="gramStart"/>
      <w:r w:rsidRPr="00DB3350">
        <w:rPr>
          <w:sz w:val="18"/>
          <w:szCs w:val="18"/>
        </w:rPr>
        <w:t>CSJN ,</w:t>
      </w:r>
      <w:proofErr w:type="gramEnd"/>
      <w:r w:rsidRPr="00DB3350">
        <w:rPr>
          <w:sz w:val="18"/>
          <w:szCs w:val="18"/>
        </w:rPr>
        <w:t xml:space="preserve"> 17/07/25, Fallos: 348:782,  y “ROGGENBAU” (CSJN </w:t>
      </w:r>
      <w:proofErr w:type="spellStart"/>
      <w:r w:rsidRPr="00DB3350">
        <w:rPr>
          <w:sz w:val="18"/>
          <w:szCs w:val="18"/>
        </w:rPr>
        <w:t>Roggenbau</w:t>
      </w:r>
      <w:proofErr w:type="spellEnd"/>
      <w:r w:rsidRPr="00DB3350">
        <w:rPr>
          <w:sz w:val="18"/>
          <w:szCs w:val="18"/>
        </w:rPr>
        <w:t>, Edgardo Enrique y otros s/ legajo de casación”, 24/05/22, Fallos: 345:338)</w:t>
      </w:r>
      <w:r w:rsidR="005277F9" w:rsidRPr="00DB3350">
        <w:rPr>
          <w:sz w:val="18"/>
          <w:szCs w:val="18"/>
        </w:rPr>
        <w:t xml:space="preserve">. Algo similar ocurre con la causa C., J.M. c. </w:t>
      </w:r>
      <w:proofErr w:type="spellStart"/>
      <w:r w:rsidR="005277F9" w:rsidRPr="00DB3350">
        <w:rPr>
          <w:sz w:val="18"/>
          <w:szCs w:val="18"/>
        </w:rPr>
        <w:t>Swiss</w:t>
      </w:r>
      <w:proofErr w:type="spellEnd"/>
      <w:r w:rsidR="005277F9" w:rsidRPr="00DB3350">
        <w:rPr>
          <w:sz w:val="18"/>
          <w:szCs w:val="18"/>
        </w:rPr>
        <w:t xml:space="preserve"> Medical s/ley de discapacidad, 24/10/2023, TR LALEY AR/JUR/139603/2023</w:t>
      </w:r>
    </w:p>
  </w:footnote>
  <w:footnote w:id="49">
    <w:p w:rsidR="000B547A" w:rsidRPr="00DB3350" w:rsidRDefault="000B547A">
      <w:pPr>
        <w:pStyle w:val="Textonotapie"/>
        <w:rPr>
          <w:rFonts w:ascii="Calibri" w:hAnsi="Calibri" w:cs="Calibri"/>
          <w:sz w:val="18"/>
          <w:szCs w:val="18"/>
        </w:rPr>
      </w:pPr>
      <w:r w:rsidRPr="00DB3350">
        <w:rPr>
          <w:rStyle w:val="Refdenotaalpie"/>
          <w:rFonts w:ascii="Calibri" w:hAnsi="Calibri" w:cs="Calibri"/>
          <w:sz w:val="18"/>
          <w:szCs w:val="18"/>
        </w:rPr>
        <w:footnoteRef/>
      </w:r>
      <w:r w:rsidRPr="00DB3350">
        <w:rPr>
          <w:rFonts w:ascii="Calibri" w:hAnsi="Calibri" w:cs="Calibri"/>
          <w:sz w:val="18"/>
          <w:szCs w:val="18"/>
        </w:rPr>
        <w:t xml:space="preserve"> CSJN, </w:t>
      </w:r>
      <w:r w:rsidRPr="00DB3350">
        <w:rPr>
          <w:rFonts w:ascii="Calibri" w:hAnsi="Calibri" w:cs="Calibri"/>
          <w:bCs/>
          <w:color w:val="000000"/>
          <w:sz w:val="18"/>
          <w:szCs w:val="18"/>
        </w:rPr>
        <w:t>“</w:t>
      </w:r>
      <w:proofErr w:type="spellStart"/>
      <w:r w:rsidRPr="00DB3350">
        <w:rPr>
          <w:rFonts w:ascii="Calibri" w:hAnsi="Calibri" w:cs="Calibri"/>
          <w:bCs/>
          <w:color w:val="000000"/>
          <w:sz w:val="18"/>
          <w:szCs w:val="18"/>
        </w:rPr>
        <w:t>Anselmi</w:t>
      </w:r>
      <w:proofErr w:type="spellEnd"/>
      <w:r w:rsidRPr="00DB3350">
        <w:rPr>
          <w:rFonts w:ascii="Calibri" w:hAnsi="Calibri" w:cs="Calibri"/>
          <w:bCs/>
          <w:color w:val="000000"/>
          <w:sz w:val="18"/>
          <w:szCs w:val="18"/>
        </w:rPr>
        <w:t xml:space="preserve"> y Cía. SRL c/ Administración Federal de Ingresos Públicos –DGI- s/ impugnación de deuda”, </w:t>
      </w:r>
      <w:proofErr w:type="spellStart"/>
      <w:r w:rsidRPr="00DB3350">
        <w:rPr>
          <w:rFonts w:ascii="Calibri" w:hAnsi="Calibri" w:cs="Calibri"/>
          <w:bCs/>
          <w:color w:val="000000"/>
          <w:sz w:val="18"/>
          <w:szCs w:val="18"/>
        </w:rPr>
        <w:t>Expte</w:t>
      </w:r>
      <w:proofErr w:type="spellEnd"/>
      <w:r w:rsidRPr="00DB3350">
        <w:rPr>
          <w:rFonts w:ascii="Calibri" w:hAnsi="Calibri" w:cs="Calibri"/>
          <w:bCs/>
          <w:color w:val="000000"/>
          <w:sz w:val="18"/>
          <w:szCs w:val="18"/>
        </w:rPr>
        <w:t xml:space="preserve">. 72405/12, </w:t>
      </w:r>
      <w:r w:rsidRPr="00DB3350">
        <w:rPr>
          <w:rFonts w:ascii="Calibri" w:hAnsi="Calibri" w:cs="Calibri"/>
          <w:iCs/>
          <w:color w:val="000000"/>
          <w:sz w:val="18"/>
          <w:szCs w:val="18"/>
        </w:rPr>
        <w:t>17/12/20, https://www.rjyp.com.ar/nove/anselmi1.htm</w:t>
      </w:r>
    </w:p>
  </w:footnote>
  <w:footnote w:id="50">
    <w:p w:rsidR="00F3523F" w:rsidRPr="00DB3350" w:rsidRDefault="00F3523F">
      <w:pPr>
        <w:pStyle w:val="Textonotapie"/>
        <w:rPr>
          <w:sz w:val="18"/>
          <w:szCs w:val="18"/>
        </w:rPr>
      </w:pPr>
      <w:r w:rsidRPr="00DB3350">
        <w:rPr>
          <w:rStyle w:val="Refdenotaalpie"/>
          <w:sz w:val="18"/>
          <w:szCs w:val="18"/>
        </w:rPr>
        <w:footnoteRef/>
      </w:r>
      <w:r w:rsidRPr="00DB3350">
        <w:rPr>
          <w:sz w:val="18"/>
          <w:szCs w:val="18"/>
        </w:rPr>
        <w:t xml:space="preserve"> CSJN “Cañete, Carlos Eusebio y </w:t>
      </w:r>
      <w:proofErr w:type="spellStart"/>
      <w:r w:rsidRPr="00DB3350">
        <w:rPr>
          <w:sz w:val="18"/>
          <w:szCs w:val="18"/>
        </w:rPr>
        <w:t>otro s</w:t>
      </w:r>
      <w:proofErr w:type="spellEnd"/>
      <w:r w:rsidRPr="00DB3350">
        <w:rPr>
          <w:sz w:val="18"/>
          <w:szCs w:val="18"/>
        </w:rPr>
        <w:t xml:space="preserve">/ incidente de recurso extraordinario”. CCC 49642/2014/TO1/6/CS1, 07/12/21,  Fallos 344:3585, </w:t>
      </w:r>
    </w:p>
  </w:footnote>
  <w:footnote w:id="51">
    <w:p w:rsidR="001A0FD4" w:rsidRPr="00DB3350" w:rsidRDefault="001A0FD4">
      <w:pPr>
        <w:pStyle w:val="Textonotapie"/>
        <w:rPr>
          <w:sz w:val="18"/>
          <w:szCs w:val="18"/>
        </w:rPr>
      </w:pPr>
      <w:r w:rsidRPr="00DB3350">
        <w:rPr>
          <w:rStyle w:val="Refdenotaalpie"/>
          <w:sz w:val="18"/>
          <w:szCs w:val="18"/>
        </w:rPr>
        <w:footnoteRef/>
      </w:r>
      <w:r w:rsidRPr="00DB3350">
        <w:rPr>
          <w:sz w:val="18"/>
          <w:szCs w:val="18"/>
        </w:rPr>
        <w:t xml:space="preserve"> CSJN  "Recurso de hecho deducido por la Caja de Seguros S.A. en la causa Flamenco, Néstor Atilio c/ Policía Federal Argentina y otros s/ daños y perjuicios (</w:t>
      </w:r>
      <w:proofErr w:type="spellStart"/>
      <w:r w:rsidRPr="00DB3350">
        <w:rPr>
          <w:sz w:val="18"/>
          <w:szCs w:val="18"/>
        </w:rPr>
        <w:t>acc</w:t>
      </w:r>
      <w:proofErr w:type="spellEnd"/>
      <w:r w:rsidRPr="00DB3350">
        <w:rPr>
          <w:sz w:val="18"/>
          <w:szCs w:val="18"/>
        </w:rPr>
        <w:t xml:space="preserve">. </w:t>
      </w:r>
      <w:proofErr w:type="spellStart"/>
      <w:r w:rsidRPr="00DB3350">
        <w:rPr>
          <w:sz w:val="18"/>
          <w:szCs w:val="18"/>
        </w:rPr>
        <w:t>trán</w:t>
      </w:r>
      <w:proofErr w:type="spellEnd"/>
      <w:r w:rsidRPr="00DB3350">
        <w:rPr>
          <w:sz w:val="18"/>
          <w:szCs w:val="18"/>
        </w:rPr>
        <w:t xml:space="preserve">. c/ les. o muerte)", 02/07/20, Fallos: 343:506 </w:t>
      </w:r>
    </w:p>
  </w:footnote>
  <w:footnote w:id="52">
    <w:p w:rsidR="006D35E8" w:rsidRPr="00DB3350" w:rsidRDefault="006D35E8">
      <w:pPr>
        <w:pStyle w:val="Textonotapie"/>
        <w:rPr>
          <w:sz w:val="18"/>
          <w:szCs w:val="18"/>
        </w:rPr>
      </w:pPr>
      <w:r w:rsidRPr="00DB3350">
        <w:rPr>
          <w:rStyle w:val="Refdenotaalpie"/>
          <w:sz w:val="18"/>
          <w:szCs w:val="18"/>
        </w:rPr>
        <w:footnoteRef/>
      </w:r>
      <w:r w:rsidRPr="00DB3350">
        <w:rPr>
          <w:sz w:val="18"/>
          <w:szCs w:val="18"/>
        </w:rPr>
        <w:t xml:space="preserve"> Excepción hecha de la sentencia dictada in re “TAFFAREL” –CSJN “Recurso de hecho deducido por el Fiscal General ante la Cámara Federal de Casación Penal, en la causa </w:t>
      </w:r>
      <w:proofErr w:type="spellStart"/>
      <w:r w:rsidRPr="00DB3350">
        <w:rPr>
          <w:sz w:val="18"/>
          <w:szCs w:val="18"/>
        </w:rPr>
        <w:t>Taffarel</w:t>
      </w:r>
      <w:proofErr w:type="spellEnd"/>
      <w:r w:rsidRPr="00DB3350">
        <w:rPr>
          <w:sz w:val="18"/>
          <w:szCs w:val="18"/>
        </w:rPr>
        <w:t xml:space="preserve">, Carlos Alberto s/ incidente de recurso extraordinario”, 11/03/21, Fallos: 344:303-,  donde la Corte Suprema por mayoría conformada por los </w:t>
      </w:r>
      <w:proofErr w:type="spellStart"/>
      <w:r w:rsidRPr="00DB3350">
        <w:rPr>
          <w:sz w:val="18"/>
          <w:szCs w:val="18"/>
        </w:rPr>
        <w:t>Dres.Highton</w:t>
      </w:r>
      <w:proofErr w:type="spellEnd"/>
      <w:r w:rsidRPr="00DB3350">
        <w:rPr>
          <w:sz w:val="18"/>
          <w:szCs w:val="18"/>
        </w:rPr>
        <w:t xml:space="preserve">, </w:t>
      </w:r>
      <w:proofErr w:type="spellStart"/>
      <w:r w:rsidRPr="00DB3350">
        <w:rPr>
          <w:sz w:val="18"/>
          <w:szCs w:val="18"/>
        </w:rPr>
        <w:t>Maqueda</w:t>
      </w:r>
      <w:proofErr w:type="spellEnd"/>
      <w:r w:rsidRPr="00DB3350">
        <w:rPr>
          <w:sz w:val="18"/>
          <w:szCs w:val="18"/>
        </w:rPr>
        <w:t xml:space="preserve">, </w:t>
      </w:r>
      <w:proofErr w:type="spellStart"/>
      <w:r w:rsidRPr="00DB3350">
        <w:rPr>
          <w:sz w:val="18"/>
          <w:szCs w:val="18"/>
        </w:rPr>
        <w:t>Lorenzetti</w:t>
      </w:r>
      <w:proofErr w:type="spellEnd"/>
      <w:r w:rsidRPr="00DB3350">
        <w:rPr>
          <w:sz w:val="18"/>
          <w:szCs w:val="18"/>
        </w:rPr>
        <w:t xml:space="preserve"> y </w:t>
      </w:r>
      <w:proofErr w:type="spellStart"/>
      <w:r w:rsidRPr="00DB3350">
        <w:rPr>
          <w:sz w:val="18"/>
          <w:szCs w:val="18"/>
        </w:rPr>
        <w:t>Rosatti</w:t>
      </w:r>
      <w:proofErr w:type="spellEnd"/>
      <w:r w:rsidRPr="00DB3350">
        <w:rPr>
          <w:sz w:val="18"/>
          <w:szCs w:val="18"/>
        </w:rPr>
        <w:t xml:space="preserve">, y con la disidencia de </w:t>
      </w:r>
      <w:proofErr w:type="spellStart"/>
      <w:r w:rsidRPr="00DB3350">
        <w:rPr>
          <w:sz w:val="18"/>
          <w:szCs w:val="18"/>
        </w:rPr>
        <w:t>Rosenkrantz</w:t>
      </w:r>
      <w:proofErr w:type="spellEnd"/>
      <w:r w:rsidRPr="00DB3350">
        <w:rPr>
          <w:sz w:val="18"/>
          <w:szCs w:val="18"/>
        </w:rPr>
        <w:t xml:space="preserve">, en lugar de transcribir los argumentos esgrimidos en Olivera </w:t>
      </w:r>
      <w:proofErr w:type="spellStart"/>
      <w:r w:rsidRPr="00DB3350">
        <w:rPr>
          <w:sz w:val="18"/>
          <w:szCs w:val="18"/>
        </w:rPr>
        <w:t>Rovere</w:t>
      </w:r>
      <w:proofErr w:type="spellEnd"/>
      <w:r w:rsidRPr="00DB3350">
        <w:rPr>
          <w:sz w:val="18"/>
          <w:szCs w:val="18"/>
        </w:rPr>
        <w:t xml:space="preserve">, tal como lo había hecho en “Flamenco” se l imita a remitir a los argumentos esgrimidos por el Procurador, quien a su vez, remitió a Olivera </w:t>
      </w:r>
      <w:proofErr w:type="spellStart"/>
      <w:r w:rsidRPr="00DB3350">
        <w:rPr>
          <w:sz w:val="18"/>
          <w:szCs w:val="18"/>
        </w:rPr>
        <w:t>Róvere</w:t>
      </w:r>
      <w:proofErr w:type="spellEnd"/>
      <w:r w:rsidRPr="00DB3350">
        <w:rPr>
          <w:sz w:val="18"/>
          <w:szCs w:val="18"/>
        </w:rPr>
        <w:t xml:space="preserve">. .-  </w:t>
      </w:r>
    </w:p>
  </w:footnote>
  <w:footnote w:id="53">
    <w:p w:rsidR="00F3523F" w:rsidRPr="00DB3350" w:rsidRDefault="00F3523F" w:rsidP="005C440C">
      <w:pPr>
        <w:pStyle w:val="Textonotapie"/>
        <w:jc w:val="both"/>
        <w:rPr>
          <w:sz w:val="18"/>
          <w:szCs w:val="18"/>
        </w:rPr>
      </w:pPr>
      <w:r w:rsidRPr="00DB3350">
        <w:rPr>
          <w:rStyle w:val="Refdenotaalpie"/>
          <w:sz w:val="18"/>
          <w:szCs w:val="18"/>
        </w:rPr>
        <w:footnoteRef/>
      </w:r>
      <w:r w:rsidRPr="00DB3350">
        <w:rPr>
          <w:sz w:val="18"/>
          <w:szCs w:val="18"/>
        </w:rPr>
        <w:t xml:space="preserve"> En la misma línea anota la Corte Suprema que </w:t>
      </w:r>
      <w:r w:rsidRPr="00DB3350">
        <w:rPr>
          <w:i/>
          <w:sz w:val="18"/>
          <w:szCs w:val="18"/>
        </w:rPr>
        <w:t>“…La forma republicana de gobierno, adoptada en el art. 1° de la Constitución Nacional, exige que todo acto, estatal deba tener una, explicación racional y obliga a los magistrados del Poder Judicial a dar a conocer  las razones de sus decisiones…”</w:t>
      </w:r>
      <w:r w:rsidRPr="00DB3350">
        <w:rPr>
          <w:sz w:val="18"/>
          <w:szCs w:val="18"/>
        </w:rPr>
        <w:t>(CSJN, “Flamenco”, Fallos: 343:506)</w:t>
      </w:r>
    </w:p>
  </w:footnote>
  <w:footnote w:id="54">
    <w:p w:rsidR="00F3523F" w:rsidRPr="00DB3350" w:rsidRDefault="00F3523F" w:rsidP="005C440C">
      <w:pPr>
        <w:pStyle w:val="Textonotapie"/>
        <w:jc w:val="both"/>
        <w:rPr>
          <w:sz w:val="18"/>
          <w:szCs w:val="18"/>
        </w:rPr>
      </w:pPr>
      <w:r w:rsidRPr="00DB3350">
        <w:rPr>
          <w:rStyle w:val="Refdenotaalpie"/>
          <w:sz w:val="18"/>
          <w:szCs w:val="18"/>
        </w:rPr>
        <w:footnoteRef/>
      </w:r>
      <w:r w:rsidRPr="00DB3350">
        <w:rPr>
          <w:sz w:val="18"/>
          <w:szCs w:val="18"/>
        </w:rPr>
        <w:t xml:space="preserve"> Coincidentemente afirma la Corte que </w:t>
      </w:r>
      <w:r w:rsidRPr="00DB3350">
        <w:rPr>
          <w:i/>
          <w:sz w:val="18"/>
          <w:szCs w:val="18"/>
        </w:rPr>
        <w:t xml:space="preserve">"...la exigencia de motivación de la sentencia de los jueces profesionales fue concebida originalmente como un modo de compensar la debilidad institucional y la falta de garantías políticas de estos magistrados respecto de los jurados populares. Así, la fundamentación explícita encuentra su razón de ser en la obligación de los jueces, como representantes del pueblo -no electivos- en el ejercicio de un poder del Estado, de rendir cuentas de sus decisiones (causa "Canales", Fallos: 342:697, voto dé los jueces </w:t>
      </w:r>
      <w:proofErr w:type="spellStart"/>
      <w:r w:rsidRPr="00DB3350">
        <w:rPr>
          <w:i/>
          <w:sz w:val="18"/>
          <w:szCs w:val="18"/>
        </w:rPr>
        <w:t>Maqueda</w:t>
      </w:r>
      <w:proofErr w:type="spellEnd"/>
      <w:r w:rsidRPr="00DB3350">
        <w:rPr>
          <w:i/>
          <w:sz w:val="18"/>
          <w:szCs w:val="18"/>
        </w:rPr>
        <w:t xml:space="preserve"> y </w:t>
      </w:r>
      <w:proofErr w:type="spellStart"/>
      <w:r w:rsidRPr="00DB3350">
        <w:rPr>
          <w:i/>
          <w:sz w:val="18"/>
          <w:szCs w:val="18"/>
        </w:rPr>
        <w:t>Lorenzetti</w:t>
      </w:r>
      <w:proofErr w:type="spellEnd"/>
      <w:r w:rsidRPr="00DB3350">
        <w:rPr>
          <w:i/>
          <w:sz w:val="18"/>
          <w:szCs w:val="18"/>
        </w:rPr>
        <w:t xml:space="preserve">, considerando 19 y voto del juez </w:t>
      </w:r>
      <w:proofErr w:type="spellStart"/>
      <w:r w:rsidRPr="00DB3350">
        <w:rPr>
          <w:i/>
          <w:sz w:val="18"/>
          <w:szCs w:val="18"/>
        </w:rPr>
        <w:t>Rosatti</w:t>
      </w:r>
      <w:proofErr w:type="spellEnd"/>
      <w:r w:rsidRPr="00DB3350">
        <w:rPr>
          <w:i/>
          <w:sz w:val="18"/>
          <w:szCs w:val="18"/>
        </w:rPr>
        <w:t>, considerando 12)…”</w:t>
      </w:r>
      <w:r w:rsidRPr="00DB3350">
        <w:rPr>
          <w:sz w:val="18"/>
          <w:szCs w:val="18"/>
        </w:rPr>
        <w:t>( CSJN “Flamenco”, Fallos: 343:506)</w:t>
      </w:r>
    </w:p>
  </w:footnote>
  <w:footnote w:id="55">
    <w:p w:rsidR="00F3523F" w:rsidRPr="00DB3350" w:rsidRDefault="00F3523F" w:rsidP="005C440C">
      <w:pPr>
        <w:pStyle w:val="Textonotapie"/>
        <w:jc w:val="both"/>
        <w:rPr>
          <w:sz w:val="18"/>
          <w:szCs w:val="18"/>
        </w:rPr>
      </w:pPr>
      <w:r w:rsidRPr="00DB3350">
        <w:rPr>
          <w:rStyle w:val="Refdenotaalpie"/>
          <w:sz w:val="18"/>
          <w:szCs w:val="18"/>
        </w:rPr>
        <w:footnoteRef/>
      </w:r>
      <w:r w:rsidRPr="00DB3350">
        <w:rPr>
          <w:sz w:val="18"/>
          <w:szCs w:val="18"/>
        </w:rPr>
        <w:t xml:space="preserve"> </w:t>
      </w:r>
      <w:r w:rsidRPr="00DB3350">
        <w:rPr>
          <w:i/>
          <w:sz w:val="18"/>
          <w:szCs w:val="18"/>
        </w:rPr>
        <w:t>“…En los sistemas judiciales de magistratura profesional, la adecuada prestación del servicio de justicia supone que el justiciable pueda conocer de manera acabada, explícita y sencilla las razones por las cuales se decidió el  caso que lo involucra, máxime cuando la sentencia contraría su pretensión…</w:t>
      </w:r>
      <w:proofErr w:type="gramStart"/>
      <w:r w:rsidRPr="00DB3350">
        <w:rPr>
          <w:i/>
          <w:sz w:val="18"/>
          <w:szCs w:val="18"/>
        </w:rPr>
        <w:t>”(</w:t>
      </w:r>
      <w:proofErr w:type="gramEnd"/>
      <w:r w:rsidRPr="00DB3350">
        <w:rPr>
          <w:sz w:val="18"/>
          <w:szCs w:val="18"/>
        </w:rPr>
        <w:t>CSJN, Cañete, Carlos Eusebio y otro”, Fallos 344:3585; ídem CSJN “Flamenco”, Fallos: 343:506).</w:t>
      </w:r>
    </w:p>
  </w:footnote>
  <w:footnote w:id="56">
    <w:p w:rsidR="00F3523F" w:rsidRPr="00DB3350" w:rsidRDefault="00F3523F" w:rsidP="005C6293">
      <w:pPr>
        <w:pStyle w:val="Textonotapie"/>
        <w:jc w:val="both"/>
        <w:rPr>
          <w:sz w:val="18"/>
          <w:szCs w:val="18"/>
        </w:rPr>
      </w:pPr>
      <w:r w:rsidRPr="00DB3350">
        <w:rPr>
          <w:rStyle w:val="Refdenotaalpie"/>
          <w:sz w:val="18"/>
          <w:szCs w:val="18"/>
        </w:rPr>
        <w:footnoteRef/>
      </w:r>
      <w:r w:rsidRPr="00DB3350">
        <w:rPr>
          <w:sz w:val="18"/>
          <w:szCs w:val="18"/>
        </w:rPr>
        <w:t xml:space="preserve"> </w:t>
      </w:r>
      <w:r w:rsidRPr="00DB3350">
        <w:rPr>
          <w:i/>
          <w:sz w:val="18"/>
          <w:szCs w:val="18"/>
        </w:rPr>
        <w:t>“… En, el caso de los tribunales pluripersonales, este deber general de los *jueces profesionales importa' la necesidad de asegurar una clara y explícita mayoría sustancial de fundamentos en sus decisiones. De lo contrario, se corre el riesgo de incurrir en el absurdo de suponer que, para impugnar, sean las partes del proceso quienes deban escoger cualquiera de los fundamentos dejos votos individuales que confluyeron en la decisión; es decir, que sea el propio recurrente quien le atribuya al pronunciamiento un fundamento que aquel, como tal, no tuvo…”</w:t>
      </w:r>
      <w:r w:rsidRPr="00DB3350">
        <w:rPr>
          <w:sz w:val="18"/>
          <w:szCs w:val="18"/>
        </w:rPr>
        <w:t>( CSJN, “Flamenco”, Fallos: 343:506)</w:t>
      </w:r>
    </w:p>
  </w:footnote>
  <w:footnote w:id="57">
    <w:p w:rsidR="00F3523F" w:rsidRPr="00DB3350" w:rsidRDefault="00F3523F">
      <w:pPr>
        <w:pStyle w:val="Textonotapie"/>
        <w:rPr>
          <w:sz w:val="18"/>
          <w:szCs w:val="18"/>
        </w:rPr>
      </w:pPr>
      <w:r w:rsidRPr="00DB3350">
        <w:rPr>
          <w:rStyle w:val="Refdenotaalpie"/>
          <w:sz w:val="18"/>
          <w:szCs w:val="18"/>
        </w:rPr>
        <w:footnoteRef/>
      </w:r>
      <w:r w:rsidRPr="00DB3350">
        <w:rPr>
          <w:sz w:val="18"/>
          <w:szCs w:val="18"/>
        </w:rPr>
        <w:t xml:space="preserve"> CSJN Fallos: 312:1058; 313:475; 316:609; 326:1885; 332:826, 943; 334:490; 339:873; 343:506; CCC 49642/2014/TO1/6/CS1 “Cañete, Carlos Eusebio y otro” del 7 de diciembre de 2021).</w:t>
      </w:r>
    </w:p>
  </w:footnote>
  <w:footnote w:id="58">
    <w:p w:rsidR="00F3523F" w:rsidRPr="00DB3350" w:rsidRDefault="00F3523F" w:rsidP="005C440C">
      <w:pPr>
        <w:pStyle w:val="Textonotapie"/>
        <w:jc w:val="both"/>
        <w:rPr>
          <w:sz w:val="18"/>
          <w:szCs w:val="18"/>
        </w:rPr>
      </w:pPr>
      <w:r w:rsidRPr="00DB3350">
        <w:rPr>
          <w:rStyle w:val="Refdenotaalpie"/>
          <w:sz w:val="18"/>
          <w:szCs w:val="18"/>
        </w:rPr>
        <w:footnoteRef/>
      </w:r>
      <w:r w:rsidRPr="00DB3350">
        <w:rPr>
          <w:sz w:val="18"/>
          <w:szCs w:val="18"/>
        </w:rPr>
        <w:t xml:space="preserve"> Concretamente argumenta la Corte en el precedente objeto de análisis –Olivera </w:t>
      </w:r>
      <w:proofErr w:type="spellStart"/>
      <w:r w:rsidRPr="00DB3350">
        <w:rPr>
          <w:sz w:val="18"/>
          <w:szCs w:val="18"/>
        </w:rPr>
        <w:t>Rovere</w:t>
      </w:r>
      <w:proofErr w:type="spellEnd"/>
      <w:r w:rsidRPr="00DB3350">
        <w:rPr>
          <w:sz w:val="18"/>
          <w:szCs w:val="18"/>
        </w:rPr>
        <w:t xml:space="preserve">- que </w:t>
      </w:r>
      <w:r w:rsidRPr="00DB3350">
        <w:rPr>
          <w:i/>
          <w:sz w:val="18"/>
          <w:szCs w:val="18"/>
        </w:rPr>
        <w:t xml:space="preserve">“…desde antiguo se ha sostenido en la jurisprudencia del Tribunal que las sentencias judiciales deben constituir –como requisito de validez- una derivación razonada del derecho vigente conforme a las circunstancias comprobadas de la causa (Fallos: 318:871; 341:98; 331:1090; y muchos otros). Luego, esta Corte Suprema ha precisado que toda sentencia constituye una unidad lógico-jurídica, cuya parte dispositiva es la conclusión necesaria, por derivación razonada, del análisis de los presupuestos fácticos y normativos efectuado en sus fundamentos (Fallos: 312:1058; 313:475; 316:609; 326:1885; 332:826, 943; 334:490; 339:873). Ello así, pues las sentencias de los tribunales colegiados no pueden concebirse como una colección o sumatoria de opiniones individuales y aisladas de sus integrantes, sino como el producto de un intercambio racional de ideas entre ellos (Fallos: 308:2188 voto del juez </w:t>
      </w:r>
      <w:proofErr w:type="spellStart"/>
      <w:r w:rsidRPr="00DB3350">
        <w:rPr>
          <w:i/>
          <w:sz w:val="18"/>
          <w:szCs w:val="18"/>
        </w:rPr>
        <w:t>Petracchi</w:t>
      </w:r>
      <w:proofErr w:type="spellEnd"/>
      <w:r w:rsidRPr="00DB3350">
        <w:rPr>
          <w:i/>
          <w:sz w:val="18"/>
          <w:szCs w:val="18"/>
        </w:rPr>
        <w:t>; 312:1500; 326:1885; 329:4078; 332:826; 334:490; 338:693; CSJ 141/2010 (46-E)/CS1 “</w:t>
      </w:r>
      <w:proofErr w:type="spellStart"/>
      <w:r w:rsidRPr="00DB3350">
        <w:rPr>
          <w:i/>
          <w:sz w:val="18"/>
          <w:szCs w:val="18"/>
        </w:rPr>
        <w:t>Eraso</w:t>
      </w:r>
      <w:proofErr w:type="spellEnd"/>
      <w:r w:rsidRPr="00DB3350">
        <w:rPr>
          <w:i/>
          <w:sz w:val="18"/>
          <w:szCs w:val="18"/>
        </w:rPr>
        <w:t xml:space="preserve">, Raúl Alfredo y </w:t>
      </w:r>
      <w:proofErr w:type="spellStart"/>
      <w:r w:rsidRPr="00DB3350">
        <w:rPr>
          <w:i/>
          <w:sz w:val="18"/>
          <w:szCs w:val="18"/>
        </w:rPr>
        <w:t>otro s</w:t>
      </w:r>
      <w:proofErr w:type="spellEnd"/>
      <w:r w:rsidRPr="00DB3350">
        <w:rPr>
          <w:i/>
          <w:sz w:val="18"/>
          <w:szCs w:val="18"/>
        </w:rPr>
        <w:t xml:space="preserve">/ causa n° 8264”, sentencia del 18 de diciembre de 2012; CSJ 69/2014 (50-D)/CS1 “Di Rocco </w:t>
      </w:r>
      <w:proofErr w:type="spellStart"/>
      <w:r w:rsidRPr="00DB3350">
        <w:rPr>
          <w:i/>
          <w:sz w:val="18"/>
          <w:szCs w:val="18"/>
        </w:rPr>
        <w:t>Vanella</w:t>
      </w:r>
      <w:proofErr w:type="spellEnd"/>
      <w:r w:rsidRPr="00DB3350">
        <w:rPr>
          <w:i/>
          <w:sz w:val="18"/>
          <w:szCs w:val="18"/>
        </w:rPr>
        <w:t xml:space="preserve">, Daniel Federico y </w:t>
      </w:r>
      <w:proofErr w:type="spellStart"/>
      <w:r w:rsidRPr="00DB3350">
        <w:rPr>
          <w:i/>
          <w:sz w:val="18"/>
          <w:szCs w:val="18"/>
        </w:rPr>
        <w:t>otro s</w:t>
      </w:r>
      <w:proofErr w:type="spellEnd"/>
      <w:r w:rsidRPr="00DB3350">
        <w:rPr>
          <w:i/>
          <w:sz w:val="18"/>
          <w:szCs w:val="18"/>
        </w:rPr>
        <w:t>/ causa n° 16.256”, sentencia del 4 de noviembre de 2014; CSJ 4359/2014/CS1 “</w:t>
      </w:r>
      <w:proofErr w:type="spellStart"/>
      <w:r w:rsidRPr="00DB3350">
        <w:rPr>
          <w:i/>
          <w:sz w:val="18"/>
          <w:szCs w:val="18"/>
        </w:rPr>
        <w:t>Petty</w:t>
      </w:r>
      <w:proofErr w:type="spellEnd"/>
      <w:r w:rsidRPr="00DB3350">
        <w:rPr>
          <w:i/>
          <w:sz w:val="18"/>
          <w:szCs w:val="18"/>
        </w:rPr>
        <w:t xml:space="preserve">, Luis Guillermo y </w:t>
      </w:r>
      <w:proofErr w:type="spellStart"/>
      <w:r w:rsidRPr="00DB3350">
        <w:rPr>
          <w:i/>
          <w:sz w:val="18"/>
          <w:szCs w:val="18"/>
        </w:rPr>
        <w:t>otro s</w:t>
      </w:r>
      <w:proofErr w:type="spellEnd"/>
      <w:r w:rsidRPr="00DB3350">
        <w:rPr>
          <w:i/>
          <w:sz w:val="18"/>
          <w:szCs w:val="18"/>
        </w:rPr>
        <w:t xml:space="preserve">/ falsificación de documentos públicos”, sentencia del 2 de junio de 2015; CSJ 4139/2014/RH1 “Villalba Martínez, María Gloria y </w:t>
      </w:r>
      <w:proofErr w:type="spellStart"/>
      <w:r w:rsidRPr="00DB3350">
        <w:rPr>
          <w:i/>
          <w:sz w:val="18"/>
          <w:szCs w:val="18"/>
        </w:rPr>
        <w:t>otro s</w:t>
      </w:r>
      <w:proofErr w:type="spellEnd"/>
      <w:r w:rsidRPr="00DB3350">
        <w:rPr>
          <w:i/>
          <w:sz w:val="18"/>
          <w:szCs w:val="18"/>
        </w:rPr>
        <w:t>/ infracción ley 23.737 (art. 29)”, sentencia del 9 de agosto de 2016; entre otros…</w:t>
      </w:r>
      <w:r w:rsidRPr="00DB3350">
        <w:rPr>
          <w:sz w:val="18"/>
          <w:szCs w:val="18"/>
        </w:rPr>
        <w:t>” En idénticos términos se ha pronunciado la Corte, entre otros posteriores,  in re:  “Flamenco”, Fallos: 343:506</w:t>
      </w:r>
    </w:p>
  </w:footnote>
  <w:footnote w:id="59">
    <w:p w:rsidR="00F3523F" w:rsidRPr="00DB3350" w:rsidRDefault="00F3523F" w:rsidP="005C6293">
      <w:pPr>
        <w:pStyle w:val="Textonotapie"/>
        <w:jc w:val="both"/>
        <w:rPr>
          <w:sz w:val="18"/>
          <w:szCs w:val="18"/>
        </w:rPr>
      </w:pPr>
      <w:r w:rsidRPr="00DB3350">
        <w:rPr>
          <w:rStyle w:val="Refdenotaalpie"/>
          <w:sz w:val="18"/>
          <w:szCs w:val="18"/>
        </w:rPr>
        <w:footnoteRef/>
      </w:r>
      <w:r w:rsidRPr="00DB3350">
        <w:rPr>
          <w:sz w:val="18"/>
          <w:szCs w:val="18"/>
        </w:rPr>
        <w:t xml:space="preserve"> Afirma la Corte en la causa Olivera </w:t>
      </w:r>
      <w:proofErr w:type="spellStart"/>
      <w:r w:rsidRPr="00DB3350">
        <w:rPr>
          <w:sz w:val="18"/>
          <w:szCs w:val="18"/>
        </w:rPr>
        <w:t>Rovere</w:t>
      </w:r>
      <w:proofErr w:type="spellEnd"/>
      <w:r w:rsidRPr="00DB3350">
        <w:rPr>
          <w:sz w:val="18"/>
          <w:szCs w:val="18"/>
        </w:rPr>
        <w:t xml:space="preserve"> que </w:t>
      </w:r>
      <w:r w:rsidRPr="00DB3350">
        <w:rPr>
          <w:i/>
          <w:sz w:val="18"/>
          <w:szCs w:val="18"/>
        </w:rPr>
        <w:t>“... la ausencia de coincidencia sustancial de fundamentos por la mayoría absoluta de las opiniones vacía al decisorio de toda fundamentación, puesto que no habría razón valedera para optar por un voto u otro al momento de apreciar cuál ha sido el presupuesto en que se basó la decisión apelada (Fallos: 312:1058; 326:1885)…”</w:t>
      </w:r>
      <w:r w:rsidRPr="00DB3350">
        <w:rPr>
          <w:sz w:val="18"/>
          <w:szCs w:val="18"/>
        </w:rPr>
        <w:t>. La primera de las causas a las que remite en dicho argumento es “</w:t>
      </w:r>
      <w:proofErr w:type="spellStart"/>
      <w:r w:rsidRPr="00DB3350">
        <w:rPr>
          <w:sz w:val="18"/>
          <w:szCs w:val="18"/>
        </w:rPr>
        <w:t>Lanconi</w:t>
      </w:r>
      <w:proofErr w:type="spellEnd"/>
      <w:r w:rsidRPr="00DB3350">
        <w:rPr>
          <w:sz w:val="18"/>
          <w:szCs w:val="18"/>
        </w:rPr>
        <w:t xml:space="preserve">” en donde sostuvo la Corte </w:t>
      </w:r>
      <w:r w:rsidRPr="00DB3350">
        <w:rPr>
          <w:i/>
          <w:sz w:val="18"/>
          <w:szCs w:val="18"/>
        </w:rPr>
        <w:t>que  “…no se advierte la “mayoría de motivaciones necesaria” que pueda constituir adecuado fundamento de la conclusión a que se arribó (</w:t>
      </w:r>
      <w:proofErr w:type="spellStart"/>
      <w:r w:rsidRPr="00DB3350">
        <w:rPr>
          <w:i/>
          <w:sz w:val="18"/>
          <w:szCs w:val="18"/>
        </w:rPr>
        <w:t>conf</w:t>
      </w:r>
      <w:proofErr w:type="spellEnd"/>
      <w:r w:rsidRPr="00DB3350">
        <w:rPr>
          <w:i/>
          <w:sz w:val="18"/>
          <w:szCs w:val="18"/>
        </w:rPr>
        <w:t xml:space="preserve"> sentencia del 22 de abril de 1980, in re: “</w:t>
      </w:r>
      <w:proofErr w:type="spellStart"/>
      <w:r w:rsidRPr="00DB3350">
        <w:rPr>
          <w:i/>
          <w:sz w:val="18"/>
          <w:szCs w:val="18"/>
        </w:rPr>
        <w:t>Ottoboni</w:t>
      </w:r>
      <w:proofErr w:type="spellEnd"/>
      <w:r w:rsidRPr="00DB3350">
        <w:rPr>
          <w:i/>
          <w:sz w:val="18"/>
          <w:szCs w:val="18"/>
        </w:rPr>
        <w:t xml:space="preserve">, Lauro Argentino c/ Aquila, Pablo José s/rescisión de contrato”, O.36.XVIII, </w:t>
      </w:r>
      <w:proofErr w:type="spellStart"/>
      <w:r w:rsidRPr="00DB3350">
        <w:rPr>
          <w:i/>
          <w:sz w:val="18"/>
          <w:szCs w:val="18"/>
        </w:rPr>
        <w:t>consider</w:t>
      </w:r>
      <w:proofErr w:type="spellEnd"/>
      <w:r w:rsidRPr="00DB3350">
        <w:rPr>
          <w:i/>
          <w:sz w:val="18"/>
          <w:szCs w:val="18"/>
        </w:rPr>
        <w:t xml:space="preserve">. 340 y fallo del 22 de octubre de 1985, in re: “Estudio Aduanero y de Comercio Exterior </w:t>
      </w:r>
      <w:proofErr w:type="spellStart"/>
      <w:r w:rsidRPr="00DB3350">
        <w:rPr>
          <w:i/>
          <w:sz w:val="18"/>
          <w:szCs w:val="18"/>
        </w:rPr>
        <w:t>Ancal</w:t>
      </w:r>
      <w:proofErr w:type="spellEnd"/>
      <w:r w:rsidRPr="00DB3350">
        <w:rPr>
          <w:i/>
          <w:sz w:val="18"/>
          <w:szCs w:val="18"/>
        </w:rPr>
        <w:t xml:space="preserve"> SA c/Banco de Brasil”, E.111.XX</w:t>
      </w:r>
      <w:proofErr w:type="gramStart"/>
      <w:r w:rsidRPr="00DB3350">
        <w:rPr>
          <w:i/>
          <w:sz w:val="18"/>
          <w:szCs w:val="18"/>
        </w:rPr>
        <w:t>,consider</w:t>
      </w:r>
      <w:proofErr w:type="gramEnd"/>
      <w:r w:rsidRPr="00DB3350">
        <w:rPr>
          <w:i/>
          <w:sz w:val="18"/>
          <w:szCs w:val="18"/>
        </w:rPr>
        <w:t xml:space="preserve"> 4to). Los argumentos de los jueces que formaron la mayoría, no sólo difieren entre sí sino que se contraponen, por lo que el decisorio carece –en definitiva- de toda fundamentación, puesto que no habría razón valedera para optar por un voto u otro al momento de apreciar cuál ha sido el presupuesto en que se basó la decisión apelada…</w:t>
      </w:r>
      <w:proofErr w:type="gramStart"/>
      <w:r w:rsidRPr="00DB3350">
        <w:rPr>
          <w:i/>
          <w:sz w:val="18"/>
          <w:szCs w:val="18"/>
        </w:rPr>
        <w:t>”</w:t>
      </w:r>
      <w:r w:rsidRPr="00DB3350">
        <w:rPr>
          <w:sz w:val="18"/>
          <w:szCs w:val="18"/>
        </w:rPr>
        <w:t>(</w:t>
      </w:r>
      <w:proofErr w:type="gramEnd"/>
      <w:r w:rsidRPr="00DB3350">
        <w:rPr>
          <w:sz w:val="18"/>
          <w:szCs w:val="18"/>
        </w:rPr>
        <w:t>CSJN, “</w:t>
      </w:r>
      <w:proofErr w:type="spellStart"/>
      <w:r w:rsidRPr="00DB3350">
        <w:rPr>
          <w:sz w:val="18"/>
          <w:szCs w:val="18"/>
        </w:rPr>
        <w:t>Lanconi</w:t>
      </w:r>
      <w:proofErr w:type="spellEnd"/>
      <w:r w:rsidRPr="00DB3350">
        <w:rPr>
          <w:sz w:val="18"/>
          <w:szCs w:val="18"/>
        </w:rPr>
        <w:t>” Fallos: 312:1058. En la misma línea, Fallos326:1885; 343:506; y Cañete, Carlos Eusebio y otro”, Fallos 344:3585</w:t>
      </w:r>
      <w:proofErr w:type="gramStart"/>
      <w:r w:rsidRPr="00DB3350">
        <w:rPr>
          <w:sz w:val="18"/>
          <w:szCs w:val="18"/>
        </w:rPr>
        <w:t>) .</w:t>
      </w:r>
      <w:proofErr w:type="gramEnd"/>
      <w:r w:rsidRPr="00DB3350">
        <w:rPr>
          <w:sz w:val="18"/>
          <w:szCs w:val="18"/>
        </w:rPr>
        <w:t xml:space="preserve"> </w:t>
      </w:r>
    </w:p>
  </w:footnote>
  <w:footnote w:id="60">
    <w:p w:rsidR="00F3523F" w:rsidRPr="00DB3350" w:rsidRDefault="00F3523F" w:rsidP="005C440C">
      <w:pPr>
        <w:pStyle w:val="Textonotapie"/>
        <w:jc w:val="both"/>
        <w:rPr>
          <w:sz w:val="18"/>
          <w:szCs w:val="18"/>
        </w:rPr>
      </w:pPr>
      <w:r w:rsidRPr="00DB3350">
        <w:rPr>
          <w:rStyle w:val="Refdenotaalpie"/>
          <w:sz w:val="18"/>
          <w:szCs w:val="18"/>
        </w:rPr>
        <w:footnoteRef/>
      </w:r>
      <w:r w:rsidRPr="00DB3350">
        <w:rPr>
          <w:sz w:val="18"/>
          <w:szCs w:val="18"/>
        </w:rPr>
        <w:t xml:space="preserve"> Argumenta la Corte en el resolutorio bajo análisis que </w:t>
      </w:r>
      <w:r w:rsidRPr="00DB3350">
        <w:rPr>
          <w:i/>
          <w:sz w:val="18"/>
          <w:szCs w:val="18"/>
        </w:rPr>
        <w:t xml:space="preserve">“…En esa misma línea, se entendió que una sentencia cuenta con mayoría aparente, si en realidad se sustenta en votos que no guardan entre sí la mínima concordancia lógica y argumental requerida a los fallos judiciales (Fallos: 316:1991) o aquellos con fundamentos normativos discordantes que, además, carecen de un análisis razonado y acorde de los problemas conducentes para la correcta dilucidación del pleito, en tanto ello lesiona el derecho de defensa en juicio (Fallos: 312:1500)…”. </w:t>
      </w:r>
      <w:r w:rsidRPr="00DB3350">
        <w:rPr>
          <w:sz w:val="18"/>
          <w:szCs w:val="18"/>
        </w:rPr>
        <w:t xml:space="preserve">No está de más destacar que el primero de los resolutorios al cual remite la Corte establece que </w:t>
      </w:r>
      <w:r w:rsidRPr="00DB3350">
        <w:rPr>
          <w:i/>
          <w:sz w:val="18"/>
          <w:szCs w:val="18"/>
        </w:rPr>
        <w:t>“…Todo ello convierte a la decisión en arbitraria de conformidad con la doctrina de esta Corte pues, con desmedro de los derechos y garantías de raigambre constitucional –en especial de la de defensa en juicio- el a quo ha sustentado su fallo en argumentos sólo aparentes, lo que conduce a su descalificación  pues carece de la debida fundamentación exigible a las decisiones judiciales…”</w:t>
      </w:r>
      <w:r w:rsidRPr="00DB3350">
        <w:rPr>
          <w:sz w:val="18"/>
          <w:szCs w:val="18"/>
        </w:rPr>
        <w:t>(CSJN, “Fernández de Larrea”, Fallos 316:1991). Cabe resaltar que la Corte Insiste en este argumento, entre otros,  in re   “Flamenco”, Fallos: 343:506).</w:t>
      </w:r>
    </w:p>
  </w:footnote>
  <w:footnote w:id="61">
    <w:p w:rsidR="00F3523F" w:rsidRPr="00DB3350" w:rsidRDefault="00F3523F" w:rsidP="005C440C">
      <w:pPr>
        <w:pStyle w:val="Textonotapie"/>
        <w:jc w:val="both"/>
        <w:rPr>
          <w:sz w:val="18"/>
          <w:szCs w:val="18"/>
        </w:rPr>
      </w:pPr>
      <w:r w:rsidRPr="00DB3350">
        <w:rPr>
          <w:rStyle w:val="Refdenotaalpie"/>
          <w:sz w:val="18"/>
          <w:szCs w:val="18"/>
        </w:rPr>
        <w:footnoteRef/>
      </w:r>
      <w:r w:rsidRPr="00DB3350">
        <w:rPr>
          <w:sz w:val="18"/>
          <w:szCs w:val="18"/>
        </w:rPr>
        <w:t xml:space="preserve"> </w:t>
      </w:r>
      <w:r w:rsidRPr="00DB3350">
        <w:rPr>
          <w:i/>
          <w:sz w:val="18"/>
          <w:szCs w:val="18"/>
        </w:rPr>
        <w:t>“…Recientemente este Tribunal ha reiterado la premisa según la cual la sentencia judicial debe ser un todo indivisible, demostrativo de una unidad lógico-jurídica, en la cual la validez y los alcances de la decisión dependen también de las motivaciones que la fundan…”</w:t>
      </w:r>
      <w:r w:rsidRPr="00DB3350">
        <w:rPr>
          <w:sz w:val="18"/>
          <w:szCs w:val="18"/>
        </w:rPr>
        <w:t>( CSJN, “Flamenco”, Fallos: 343:506); Tal criterio ya había sido sentado por el cimero tribunal nacional in re “</w:t>
      </w:r>
      <w:proofErr w:type="spellStart"/>
      <w:r w:rsidRPr="00DB3350">
        <w:rPr>
          <w:sz w:val="18"/>
          <w:szCs w:val="18"/>
        </w:rPr>
        <w:t>Lanconi</w:t>
      </w:r>
      <w:proofErr w:type="spellEnd"/>
      <w:r w:rsidRPr="00DB3350">
        <w:rPr>
          <w:sz w:val="18"/>
          <w:szCs w:val="18"/>
        </w:rPr>
        <w:t xml:space="preserve">” al afirmar que </w:t>
      </w:r>
      <w:r w:rsidRPr="00DB3350">
        <w:rPr>
          <w:i/>
          <w:sz w:val="18"/>
          <w:szCs w:val="18"/>
        </w:rPr>
        <w:t>“…Constituye la esencia de la sentencia, ser una unidad lógico jurídica, cuya validez depende no solo de que la mayoría convenga en lo atinente a la parte dispositiva, sino que, también, ostente una sustancial coincidencia en los fundamentos que permitan llegar a la conclusión adoptada…”</w:t>
      </w:r>
      <w:r w:rsidRPr="00DB3350">
        <w:rPr>
          <w:sz w:val="18"/>
          <w:szCs w:val="18"/>
        </w:rPr>
        <w:t>(CSJN “</w:t>
      </w:r>
      <w:proofErr w:type="spellStart"/>
      <w:r w:rsidRPr="00DB3350">
        <w:rPr>
          <w:sz w:val="18"/>
          <w:szCs w:val="18"/>
        </w:rPr>
        <w:t>Laconi</w:t>
      </w:r>
      <w:proofErr w:type="spellEnd"/>
      <w:r w:rsidRPr="00DB3350">
        <w:rPr>
          <w:sz w:val="18"/>
          <w:szCs w:val="18"/>
        </w:rPr>
        <w:t>”, Fallos 312:1059)</w:t>
      </w:r>
    </w:p>
  </w:footnote>
  <w:footnote w:id="62">
    <w:p w:rsidR="00F3523F" w:rsidRPr="00DB3350" w:rsidRDefault="00F3523F" w:rsidP="005C440C">
      <w:pPr>
        <w:pStyle w:val="Textonotapie"/>
        <w:jc w:val="both"/>
        <w:rPr>
          <w:sz w:val="18"/>
          <w:szCs w:val="18"/>
        </w:rPr>
      </w:pPr>
      <w:r w:rsidRPr="00DB3350">
        <w:rPr>
          <w:rStyle w:val="Refdenotaalpie"/>
          <w:sz w:val="18"/>
          <w:szCs w:val="18"/>
        </w:rPr>
        <w:footnoteRef/>
      </w:r>
      <w:r w:rsidRPr="00DB3350">
        <w:rPr>
          <w:sz w:val="18"/>
          <w:szCs w:val="18"/>
        </w:rPr>
        <w:t xml:space="preserve"> Afirma el cimero tribunal in re Olivera </w:t>
      </w:r>
      <w:proofErr w:type="spellStart"/>
      <w:r w:rsidRPr="00DB3350">
        <w:rPr>
          <w:sz w:val="18"/>
          <w:szCs w:val="18"/>
        </w:rPr>
        <w:t>Rovere</w:t>
      </w:r>
      <w:proofErr w:type="spellEnd"/>
      <w:r w:rsidRPr="00DB3350">
        <w:rPr>
          <w:sz w:val="18"/>
          <w:szCs w:val="18"/>
        </w:rPr>
        <w:t xml:space="preserve"> que </w:t>
      </w:r>
      <w:r w:rsidRPr="00DB3350">
        <w:rPr>
          <w:i/>
          <w:sz w:val="18"/>
          <w:szCs w:val="18"/>
        </w:rPr>
        <w:t xml:space="preserve">“….recientemente este Tribunal ha reiterado la premisa según la cual la sentencia judicial debe ser un todo indivisible, demostrativo de una unidad lógico-jurídica, en la cual la validez y los alcances de la decisión dependen también de las motivaciones que la fundan. Por su parte, también ha precisado que a la hora de examinar la existencia de una mayoría sustancial de fundamentos que ponga de manifiesto la voluntad de un tribunal colegiado, no cabe atenerse a un criterio puramente formalista que permita tenerla por configurada con opiniones formalmente concurrentes que coinciden en la parte dispositiva. Sin que ello implique adoptar una postura que exija que las opiniones de cada uno de los miembros del tribunal resulten idénticas para poder tener por configurada la mayoría necesaria, toda vez que ello no se condice con la naturaleza plural y deliberativa de esta clase de tribunales (cf. respectivamente “Municipalidad de La Matanza”, Fallos: 342:2183 y sus citas; y Fallos: 341:1466, voto de la mayoría, considerando 3°; voto del juez </w:t>
      </w:r>
      <w:proofErr w:type="spellStart"/>
      <w:r w:rsidRPr="00DB3350">
        <w:rPr>
          <w:i/>
          <w:sz w:val="18"/>
          <w:szCs w:val="18"/>
        </w:rPr>
        <w:t>Rosatti</w:t>
      </w:r>
      <w:proofErr w:type="spellEnd"/>
      <w:r w:rsidRPr="00DB3350">
        <w:rPr>
          <w:i/>
          <w:sz w:val="18"/>
          <w:szCs w:val="18"/>
        </w:rPr>
        <w:t xml:space="preserve">, considerando 6°)...”. </w:t>
      </w:r>
      <w:r w:rsidRPr="00DB3350">
        <w:rPr>
          <w:sz w:val="18"/>
          <w:szCs w:val="18"/>
        </w:rPr>
        <w:t xml:space="preserve"> Argumento éste que ha sido reiterado en otros resolutorios posteriores como por ejemplo, </w:t>
      </w:r>
      <w:r w:rsidR="004738F3" w:rsidRPr="00DB3350">
        <w:rPr>
          <w:sz w:val="18"/>
          <w:szCs w:val="18"/>
        </w:rPr>
        <w:t xml:space="preserve">“Flamenco”, Fallos: 343:506;  "Municipalidad de La Matanza c/ </w:t>
      </w:r>
      <w:proofErr w:type="spellStart"/>
      <w:r w:rsidR="004738F3" w:rsidRPr="00DB3350">
        <w:rPr>
          <w:sz w:val="18"/>
          <w:szCs w:val="18"/>
        </w:rPr>
        <w:t>Cascales</w:t>
      </w:r>
      <w:proofErr w:type="spellEnd"/>
      <w:r w:rsidR="004738F3" w:rsidRPr="00DB3350">
        <w:rPr>
          <w:sz w:val="18"/>
          <w:szCs w:val="18"/>
        </w:rPr>
        <w:t xml:space="preserve">, Amílcar Francisco", Fallos: 342:2183 y sus citas; y Fallos: 341:1466, voto de la mayoría, considerando 30 , voto del juez </w:t>
      </w:r>
      <w:proofErr w:type="spellStart"/>
      <w:r w:rsidR="004738F3" w:rsidRPr="00DB3350">
        <w:rPr>
          <w:sz w:val="18"/>
          <w:szCs w:val="18"/>
        </w:rPr>
        <w:t>Rosatti</w:t>
      </w:r>
      <w:proofErr w:type="spellEnd"/>
      <w:r w:rsidR="004738F3" w:rsidRPr="00DB3350">
        <w:rPr>
          <w:sz w:val="18"/>
          <w:szCs w:val="18"/>
        </w:rPr>
        <w:t>, considerando 6°)</w:t>
      </w:r>
    </w:p>
  </w:footnote>
  <w:footnote w:id="63">
    <w:p w:rsidR="008E1D05" w:rsidRPr="00DB3350" w:rsidRDefault="008E1D05" w:rsidP="008E1D05">
      <w:pPr>
        <w:pStyle w:val="Textonotapie"/>
        <w:jc w:val="both"/>
        <w:rPr>
          <w:sz w:val="18"/>
          <w:szCs w:val="18"/>
        </w:rPr>
      </w:pPr>
      <w:r w:rsidRPr="00DB3350">
        <w:rPr>
          <w:rStyle w:val="Refdenotaalpie"/>
          <w:sz w:val="18"/>
          <w:szCs w:val="18"/>
        </w:rPr>
        <w:footnoteRef/>
      </w:r>
      <w:r w:rsidRPr="00DB3350">
        <w:rPr>
          <w:sz w:val="18"/>
          <w:szCs w:val="18"/>
        </w:rPr>
        <w:t xml:space="preserve"> </w:t>
      </w:r>
      <w:r w:rsidRPr="00DB3350">
        <w:rPr>
          <w:i/>
          <w:sz w:val="18"/>
          <w:szCs w:val="18"/>
        </w:rPr>
        <w:t>“…Es arbitraria la sentencia si ella no exhibe una coincidencia mayoritaria sustancial sobre los fundamentos que dan apoyo a la decisión que el tribunal adopta</w:t>
      </w:r>
      <w:r w:rsidRPr="00DB3350">
        <w:rPr>
          <w:sz w:val="18"/>
          <w:szCs w:val="18"/>
        </w:rPr>
        <w:t>…</w:t>
      </w:r>
      <w:proofErr w:type="gramStart"/>
      <w:r w:rsidRPr="00DB3350">
        <w:rPr>
          <w:sz w:val="18"/>
          <w:szCs w:val="18"/>
        </w:rPr>
        <w:t>”(</w:t>
      </w:r>
      <w:proofErr w:type="gramEnd"/>
      <w:r w:rsidRPr="00DB3350">
        <w:rPr>
          <w:sz w:val="18"/>
          <w:szCs w:val="18"/>
        </w:rPr>
        <w:t xml:space="preserve">Del dictamen de la Procuración General al que la Corte remite)-. (CSJN, </w:t>
      </w:r>
      <w:proofErr w:type="spellStart"/>
      <w:r w:rsidRPr="00DB3350">
        <w:rPr>
          <w:sz w:val="18"/>
          <w:szCs w:val="18"/>
        </w:rPr>
        <w:t>Cossio</w:t>
      </w:r>
      <w:proofErr w:type="spellEnd"/>
      <w:r w:rsidRPr="00DB3350">
        <w:rPr>
          <w:sz w:val="18"/>
          <w:szCs w:val="18"/>
        </w:rPr>
        <w:t>, Ricardo Juan Alfredo y otros S/ Incidente De Recurso Extraordinario (17/7/25) (Fallos 348:782) en la misma línea “</w:t>
      </w:r>
      <w:proofErr w:type="spellStart"/>
      <w:r w:rsidRPr="00DB3350">
        <w:rPr>
          <w:sz w:val="18"/>
          <w:szCs w:val="18"/>
        </w:rPr>
        <w:t>Roggenbau</w:t>
      </w:r>
      <w:proofErr w:type="spellEnd"/>
      <w:r w:rsidRPr="00DB3350">
        <w:rPr>
          <w:sz w:val="18"/>
          <w:szCs w:val="18"/>
        </w:rPr>
        <w:t>” (Fallos: 345:338)</w:t>
      </w:r>
    </w:p>
  </w:footnote>
  <w:footnote w:id="64">
    <w:p w:rsidR="00F3523F" w:rsidRPr="00DB3350" w:rsidRDefault="00F3523F" w:rsidP="005C440C">
      <w:pPr>
        <w:pStyle w:val="Textonotapie"/>
        <w:jc w:val="both"/>
        <w:rPr>
          <w:sz w:val="18"/>
          <w:szCs w:val="18"/>
        </w:rPr>
      </w:pPr>
      <w:r w:rsidRPr="00DB3350">
        <w:rPr>
          <w:rStyle w:val="Refdenotaalpie"/>
          <w:sz w:val="18"/>
          <w:szCs w:val="18"/>
        </w:rPr>
        <w:footnoteRef/>
      </w:r>
      <w:r w:rsidRPr="00DB3350">
        <w:rPr>
          <w:sz w:val="18"/>
          <w:szCs w:val="18"/>
        </w:rPr>
        <w:t xml:space="preserve"> Al respecto, afirma el Tribunal máximo de la Nación en el precedente bajo análisis que </w:t>
      </w:r>
      <w:r w:rsidRPr="00DB3350">
        <w:rPr>
          <w:i/>
          <w:sz w:val="18"/>
          <w:szCs w:val="18"/>
        </w:rPr>
        <w:t>“…allende el respeto por las opiniones individuales y las disidencias, los magistrados que conforman los tribunales colegiados deben asegurar que su deliberación arribe –cuanto menos- a un acuerdo mayoritario sobre un mínimo de razones comunes que constituyan el fundamento lógico y jurídico del fallo. Sobre esa comunidad sustancial de razones se erige la sentencia, que representa la voluntad del tribunal como órgano colectivo, la cual debe identificarse con la voluntad de la mayoría de sus miembros, en ausencia de unanimidad. Dicho de otro modo: no basta con el nudo imperio del tribunal ejercido concretamente en la parte dispositiva para dar validez y fijar los alcances de un pronunciamiento si este se asienta en motivaciones lógicamente desconectadas y/o sustantivamente inconciliables…“</w:t>
      </w:r>
      <w:r w:rsidRPr="00DB3350">
        <w:rPr>
          <w:sz w:val="18"/>
          <w:szCs w:val="18"/>
        </w:rPr>
        <w:t>. Reitera la Corte tal argumento en otras resoluciones posteriores tales como “Flamenco”, Fallos: 343:506</w:t>
      </w:r>
    </w:p>
  </w:footnote>
  <w:footnote w:id="65">
    <w:p w:rsidR="00F3523F" w:rsidRPr="00DB3350" w:rsidRDefault="00F3523F" w:rsidP="00F3523F">
      <w:pPr>
        <w:spacing w:line="240" w:lineRule="auto"/>
        <w:jc w:val="both"/>
        <w:rPr>
          <w:sz w:val="18"/>
          <w:szCs w:val="18"/>
        </w:rPr>
      </w:pPr>
      <w:r w:rsidRPr="00DB3350">
        <w:rPr>
          <w:rStyle w:val="Refdenotaalpie"/>
          <w:sz w:val="18"/>
          <w:szCs w:val="18"/>
        </w:rPr>
        <w:footnoteRef/>
      </w:r>
      <w:r w:rsidRPr="00DB3350">
        <w:rPr>
          <w:sz w:val="18"/>
          <w:szCs w:val="18"/>
        </w:rPr>
        <w:t xml:space="preserve"> </w:t>
      </w:r>
      <w:r w:rsidRPr="00DB3350">
        <w:rPr>
          <w:i/>
          <w:sz w:val="18"/>
          <w:szCs w:val="18"/>
        </w:rPr>
        <w:t>“…Que la responsabilidad de juzgar las cuestiones sometidas a su conocimiento impone a los magistrados la obligación de pronunciarse sobre todos aquellos puntos comprendidos en el pleito que resulten conducentes a su decisión, es decir, aquellas cuestiones que se estimen necesarias para el dictado de la sentencia (Fallos: 339:1530, 635, entre muchos otros)….”</w:t>
      </w:r>
      <w:r w:rsidRPr="00DB3350">
        <w:rPr>
          <w:sz w:val="18"/>
          <w:szCs w:val="18"/>
        </w:rPr>
        <w:t xml:space="preserve">(CSJN “Olivera </w:t>
      </w:r>
      <w:proofErr w:type="spellStart"/>
      <w:r w:rsidRPr="00DB3350">
        <w:rPr>
          <w:sz w:val="18"/>
          <w:szCs w:val="18"/>
        </w:rPr>
        <w:t>Róvere</w:t>
      </w:r>
      <w:proofErr w:type="spellEnd"/>
      <w:r w:rsidRPr="00DB3350">
        <w:rPr>
          <w:sz w:val="18"/>
          <w:szCs w:val="18"/>
        </w:rPr>
        <w:t xml:space="preserve">, Jorge Carlos y otros s/ incidente de recurso extraordinario” CFP 14216/2003/TO1/1/1/1/CS4, 15/10/20). </w:t>
      </w:r>
    </w:p>
  </w:footnote>
  <w:footnote w:id="66">
    <w:p w:rsidR="00F3523F" w:rsidRPr="00DB3350" w:rsidRDefault="00F3523F" w:rsidP="00F3523F">
      <w:pPr>
        <w:pStyle w:val="Textonotapie"/>
        <w:jc w:val="both"/>
        <w:rPr>
          <w:sz w:val="18"/>
          <w:szCs w:val="18"/>
        </w:rPr>
      </w:pPr>
      <w:r w:rsidRPr="00DB3350">
        <w:rPr>
          <w:rStyle w:val="Refdenotaalpie"/>
          <w:sz w:val="18"/>
          <w:szCs w:val="18"/>
        </w:rPr>
        <w:footnoteRef/>
      </w:r>
      <w:r w:rsidRPr="00DB3350">
        <w:rPr>
          <w:sz w:val="18"/>
          <w:szCs w:val="18"/>
        </w:rPr>
        <w:t xml:space="preserve"> Así, afirma la Corte en el resolutorio bajo análisis que </w:t>
      </w:r>
      <w:r w:rsidRPr="00DB3350">
        <w:rPr>
          <w:i/>
          <w:sz w:val="18"/>
          <w:szCs w:val="18"/>
        </w:rPr>
        <w:t>“… la responsabilidad de juzgar las cuestiones sometidas a su conocimiento impone a los magistrados la obligación de pronunciarse sobre todos aquellos puntos comprendidos en el pleito que resulten conducentes a su decisión, es decir, aquellas cuestiones que se estimen necesarias para el dictado de la sentencia (Fallos: 339:1530, 635, entre muchos otros). En definitiva, la conformación de un acuerdo mayoritario que idóneamente exprese el razonamiento lógico seguido para arribar a la solución del caso, constituye un deber propio de los magistrados que componen este tipo de tribunales colegiados, dirigido a cumplir con la obligación genérica de resolver, en forma válida, las cuestiones sometidas a su conocimiento…”</w:t>
      </w:r>
      <w:r w:rsidRPr="00DB3350">
        <w:rPr>
          <w:sz w:val="18"/>
          <w:szCs w:val="18"/>
        </w:rPr>
        <w:t xml:space="preserve">(CSJN, Olivera </w:t>
      </w:r>
      <w:proofErr w:type="spellStart"/>
      <w:r w:rsidRPr="00DB3350">
        <w:rPr>
          <w:sz w:val="18"/>
          <w:szCs w:val="18"/>
        </w:rPr>
        <w:t>Rovere</w:t>
      </w:r>
      <w:proofErr w:type="spellEnd"/>
      <w:r w:rsidRPr="00DB3350">
        <w:rPr>
          <w:sz w:val="18"/>
          <w:szCs w:val="18"/>
        </w:rPr>
        <w:t>)</w:t>
      </w:r>
    </w:p>
  </w:footnote>
  <w:footnote w:id="67">
    <w:p w:rsidR="00F3523F" w:rsidRPr="00DB3350" w:rsidRDefault="00F3523F" w:rsidP="00F3523F">
      <w:pPr>
        <w:pStyle w:val="Textonotapie"/>
        <w:jc w:val="both"/>
        <w:rPr>
          <w:sz w:val="18"/>
          <w:szCs w:val="18"/>
        </w:rPr>
      </w:pPr>
      <w:r w:rsidRPr="00DB3350">
        <w:rPr>
          <w:rStyle w:val="Refdenotaalpie"/>
          <w:sz w:val="18"/>
          <w:szCs w:val="18"/>
        </w:rPr>
        <w:footnoteRef/>
      </w:r>
      <w:r w:rsidRPr="00DB3350">
        <w:rPr>
          <w:sz w:val="18"/>
          <w:szCs w:val="18"/>
        </w:rPr>
        <w:t xml:space="preserve"> </w:t>
      </w:r>
      <w:r w:rsidRPr="00DB3350">
        <w:rPr>
          <w:i/>
          <w:sz w:val="18"/>
          <w:szCs w:val="18"/>
        </w:rPr>
        <w:t>“…de todo lo expuesto se deduce que la sentencia recurrida no ha sido adoptada con mayoría sustancial de argumentos, requisito indispensable para su validez, por lo que resulta admisible la tacha de arbitrariedad y corresponde hacer lugar a su descalificación…</w:t>
      </w:r>
      <w:proofErr w:type="gramStart"/>
      <w:r w:rsidRPr="00DB3350">
        <w:rPr>
          <w:i/>
          <w:sz w:val="18"/>
          <w:szCs w:val="18"/>
        </w:rPr>
        <w:t>”</w:t>
      </w:r>
      <w:r w:rsidRPr="00DB3350">
        <w:rPr>
          <w:sz w:val="18"/>
          <w:szCs w:val="18"/>
        </w:rPr>
        <w:t>(</w:t>
      </w:r>
      <w:proofErr w:type="gramEnd"/>
      <w:r w:rsidRPr="00DB3350">
        <w:rPr>
          <w:sz w:val="18"/>
          <w:szCs w:val="18"/>
        </w:rPr>
        <w:t xml:space="preserve">CSJN, “Olivera </w:t>
      </w:r>
      <w:proofErr w:type="spellStart"/>
      <w:r w:rsidRPr="00DB3350">
        <w:rPr>
          <w:sz w:val="18"/>
          <w:szCs w:val="18"/>
        </w:rPr>
        <w:t>Róvere</w:t>
      </w:r>
      <w:proofErr w:type="spellEnd"/>
      <w:r w:rsidRPr="00DB3350">
        <w:rPr>
          <w:sz w:val="18"/>
          <w:szCs w:val="18"/>
        </w:rPr>
        <w:t>, Jorge Carlos y otros s/ incidente de recurso extraordinario” CFP 14216/2003/TO1/1/1/1/CS4, 15/10/20).</w:t>
      </w:r>
    </w:p>
  </w:footnote>
  <w:footnote w:id="68">
    <w:p w:rsidR="00C609C4" w:rsidRPr="00DB3350" w:rsidRDefault="00C609C4" w:rsidP="000922F8">
      <w:pPr>
        <w:pStyle w:val="Textonotapie"/>
        <w:jc w:val="both"/>
        <w:rPr>
          <w:sz w:val="18"/>
          <w:szCs w:val="18"/>
        </w:rPr>
      </w:pPr>
      <w:r w:rsidRPr="00DB3350">
        <w:rPr>
          <w:rStyle w:val="Refdenotaalpie"/>
          <w:sz w:val="18"/>
          <w:szCs w:val="18"/>
        </w:rPr>
        <w:footnoteRef/>
      </w:r>
      <w:r w:rsidRPr="00DB3350">
        <w:rPr>
          <w:sz w:val="18"/>
          <w:szCs w:val="18"/>
        </w:rPr>
        <w:t xml:space="preserve"> </w:t>
      </w:r>
      <w:r w:rsidRPr="00DB3350">
        <w:rPr>
          <w:i/>
          <w:sz w:val="18"/>
          <w:szCs w:val="18"/>
        </w:rPr>
        <w:t>“…el apelante se agravió de que la resolución de la cámara --en cuanto adoptó el plazo de cinco años como término aplicable para la prescripción de la acción- había resultado de la agregación de las opiniones individuales de dos magistrados, y no exhibía la coincidencia mayoritaria sustancial sobre los fundamentos que dan apoyo a la decisión adoptada que es exigida, como condición de validez, por la doctrina de V.E. en materia de sentencias de tribunales colegiados (cf., entre otros, Fallos: 326: 1885). En aplicación de ese criterio, correspondía al a qua evaluar si la divergencia de motivaciones entre los magistrados que conformaron la mayoría que dispuso la revocación de la condena dictada en estas actuaciones, afectaba la unidad de fundamentos que requiere toda respuesta jurisdiccional a la que las partes tienen derecho, en cuyo caso debía descalificar la sentencia impugnada y ordenar el dictado de una nueva (cf., por ejemplo, doctrina de Fallos: 312:1058 y sentencia in re E.l41.XLVI "</w:t>
      </w:r>
      <w:proofErr w:type="spellStart"/>
      <w:r w:rsidRPr="00DB3350">
        <w:rPr>
          <w:i/>
          <w:sz w:val="18"/>
          <w:szCs w:val="18"/>
        </w:rPr>
        <w:t>Eraso</w:t>
      </w:r>
      <w:proofErr w:type="spellEnd"/>
      <w:r w:rsidRPr="00DB3350">
        <w:rPr>
          <w:i/>
          <w:sz w:val="18"/>
          <w:szCs w:val="18"/>
        </w:rPr>
        <w:t>, Raúl Alfredo", del 18 de diciembre de 2012)….”</w:t>
      </w:r>
      <w:r w:rsidRPr="00DB3350">
        <w:rPr>
          <w:sz w:val="18"/>
          <w:szCs w:val="18"/>
        </w:rPr>
        <w:t>(Dictamen del Procurador, al que adhiere la mayoría de la Corte Suprema in re: ATAMAÑUK</w:t>
      </w:r>
      <w:r w:rsidR="000922F8" w:rsidRPr="00DB3350">
        <w:rPr>
          <w:sz w:val="18"/>
          <w:szCs w:val="18"/>
        </w:rPr>
        <w:t xml:space="preserve"> -CSJN: "Recurso de hecho deducido por el Fiscal de Cámara en la causa </w:t>
      </w:r>
      <w:proofErr w:type="spellStart"/>
      <w:r w:rsidR="000922F8" w:rsidRPr="00DB3350">
        <w:rPr>
          <w:sz w:val="18"/>
          <w:szCs w:val="18"/>
        </w:rPr>
        <w:t>Atamañuk</w:t>
      </w:r>
      <w:proofErr w:type="spellEnd"/>
      <w:r w:rsidR="000922F8" w:rsidRPr="00DB3350">
        <w:rPr>
          <w:sz w:val="18"/>
          <w:szCs w:val="18"/>
        </w:rPr>
        <w:t xml:space="preserve">, Oscar Eduardo s/ homicidio culposo (art. 84, 2°párrafo), 11/07/19, </w:t>
      </w:r>
      <w:r w:rsidRPr="00DB3350">
        <w:rPr>
          <w:sz w:val="18"/>
          <w:szCs w:val="18"/>
        </w:rPr>
        <w:t>Fallos: 342:1155</w:t>
      </w:r>
      <w:r w:rsidR="000922F8" w:rsidRPr="00DB3350">
        <w:rPr>
          <w:sz w:val="18"/>
          <w:szCs w:val="18"/>
        </w:rPr>
        <w:t>)</w:t>
      </w:r>
    </w:p>
  </w:footnote>
  <w:footnote w:id="69">
    <w:p w:rsidR="00C876D9" w:rsidRDefault="00C876D9">
      <w:pPr>
        <w:pStyle w:val="Textonotapie"/>
      </w:pPr>
      <w:r>
        <w:rPr>
          <w:rStyle w:val="Refdenotaalpie"/>
        </w:rPr>
        <w:footnoteRef/>
      </w:r>
      <w:r>
        <w:t xml:space="preserve"> Confr. CSJN </w:t>
      </w:r>
      <w:r w:rsidRPr="00D342DD">
        <w:t>Fallos: 334:490</w:t>
      </w:r>
    </w:p>
  </w:footnote>
  <w:footnote w:id="70">
    <w:p w:rsidR="00777D6F" w:rsidRPr="00DB3350" w:rsidRDefault="00777D6F">
      <w:pPr>
        <w:pStyle w:val="Textonotapie"/>
        <w:rPr>
          <w:sz w:val="18"/>
          <w:szCs w:val="18"/>
        </w:rPr>
      </w:pPr>
      <w:r w:rsidRPr="00DB3350">
        <w:rPr>
          <w:rStyle w:val="Refdenotaalpie"/>
          <w:sz w:val="18"/>
          <w:szCs w:val="18"/>
        </w:rPr>
        <w:footnoteRef/>
      </w:r>
      <w:r w:rsidRPr="00DB3350">
        <w:rPr>
          <w:sz w:val="18"/>
          <w:szCs w:val="18"/>
        </w:rPr>
        <w:t xml:space="preserve"> MORGENSTERN, FEDERICO, </w:t>
      </w:r>
      <w:r w:rsidRPr="00DB3350">
        <w:rPr>
          <w:i/>
          <w:sz w:val="18"/>
          <w:szCs w:val="18"/>
        </w:rPr>
        <w:t xml:space="preserve">Sentencias de tribunales colegiados: problemas relacionados con la formación de mayorías, </w:t>
      </w:r>
      <w:r w:rsidRPr="00DB3350">
        <w:rPr>
          <w:sz w:val="18"/>
          <w:szCs w:val="18"/>
        </w:rPr>
        <w:t>TR LALEY AR/DOC/9620/2012.</w:t>
      </w:r>
    </w:p>
  </w:footnote>
  <w:footnote w:id="71">
    <w:p w:rsidR="00191C18" w:rsidRPr="00DB3350" w:rsidRDefault="00191C18">
      <w:pPr>
        <w:pStyle w:val="Textonotapie"/>
        <w:rPr>
          <w:sz w:val="18"/>
          <w:szCs w:val="18"/>
        </w:rPr>
      </w:pPr>
      <w:r w:rsidRPr="00DB3350">
        <w:rPr>
          <w:rStyle w:val="Refdenotaalpie"/>
          <w:sz w:val="18"/>
          <w:szCs w:val="18"/>
        </w:rPr>
        <w:footnoteRef/>
      </w:r>
      <w:r w:rsidRPr="00DB3350">
        <w:rPr>
          <w:sz w:val="18"/>
          <w:szCs w:val="18"/>
        </w:rPr>
        <w:t xml:space="preserve"> CSJN, A. 925. XLIX. Arte </w:t>
      </w:r>
      <w:proofErr w:type="spellStart"/>
      <w:r w:rsidRPr="00DB3350">
        <w:rPr>
          <w:sz w:val="18"/>
          <w:szCs w:val="18"/>
        </w:rPr>
        <w:t>Radiotelevisi</w:t>
      </w:r>
      <w:proofErr w:type="spellEnd"/>
      <w:r w:rsidRPr="00DB3350">
        <w:rPr>
          <w:sz w:val="18"/>
          <w:szCs w:val="18"/>
        </w:rPr>
        <w:t xml:space="preserve"> Nacional </w:t>
      </w:r>
      <w:proofErr w:type="spellStart"/>
      <w:r w:rsidRPr="00DB3350">
        <w:rPr>
          <w:sz w:val="18"/>
          <w:szCs w:val="18"/>
        </w:rPr>
        <w:t>vo</w:t>
      </w:r>
      <w:proofErr w:type="spellEnd"/>
      <w:r w:rsidRPr="00DB3350">
        <w:rPr>
          <w:sz w:val="18"/>
          <w:szCs w:val="18"/>
        </w:rPr>
        <w:t xml:space="preserve">-Argentino-S. A. el Estado- JGM- SMC s/ amparo ley 16.986., 11/2/14, </w:t>
      </w:r>
      <w:r w:rsidRPr="00DB3350">
        <w:rPr>
          <w:color w:val="222222"/>
          <w:sz w:val="18"/>
          <w:szCs w:val="18"/>
          <w:shd w:val="clear" w:color="auto" w:fill="FFFFFF"/>
        </w:rPr>
        <w:t>SAIJ: FA14000004</w:t>
      </w:r>
    </w:p>
  </w:footnote>
  <w:footnote w:id="72">
    <w:p w:rsidR="00F3523F" w:rsidRPr="0091149B" w:rsidRDefault="00F3523F" w:rsidP="00EB58DB">
      <w:pPr>
        <w:pStyle w:val="Textonotapie"/>
        <w:jc w:val="both"/>
        <w:rPr>
          <w:rFonts w:ascii="Calibri" w:hAnsi="Calibri" w:cs="Calibri"/>
          <w:sz w:val="18"/>
          <w:szCs w:val="18"/>
        </w:rPr>
      </w:pPr>
      <w:r w:rsidRPr="00DB3350">
        <w:rPr>
          <w:rStyle w:val="Refdenotaalpie"/>
          <w:rFonts w:ascii="Calibri" w:hAnsi="Calibri" w:cs="Calibri"/>
          <w:sz w:val="18"/>
          <w:szCs w:val="18"/>
        </w:rPr>
        <w:footnoteRef/>
      </w:r>
      <w:r w:rsidRPr="00DB3350">
        <w:rPr>
          <w:rFonts w:ascii="Calibri" w:hAnsi="Calibri" w:cs="Calibri"/>
          <w:sz w:val="18"/>
          <w:szCs w:val="18"/>
        </w:rPr>
        <w:t xml:space="preserve"> CSJN, </w:t>
      </w:r>
      <w:r w:rsidRPr="00DB3350">
        <w:rPr>
          <w:rFonts w:ascii="Calibri" w:hAnsi="Calibri" w:cs="Calibri"/>
          <w:color w:val="000000"/>
          <w:sz w:val="18"/>
          <w:szCs w:val="18"/>
        </w:rPr>
        <w:t xml:space="preserve">05/03/2003, Provincia de San Luis c/ Estado Nacional, </w:t>
      </w:r>
      <w:proofErr w:type="spellStart"/>
      <w:r w:rsidRPr="00DB3350">
        <w:rPr>
          <w:rFonts w:ascii="Calibri" w:hAnsi="Calibri" w:cs="Calibri"/>
          <w:color w:val="000000"/>
          <w:sz w:val="18"/>
          <w:szCs w:val="18"/>
        </w:rPr>
        <w:t>Sup.E.Emerg.Económica</w:t>
      </w:r>
      <w:proofErr w:type="spellEnd"/>
      <w:r w:rsidRPr="00DB3350">
        <w:rPr>
          <w:rFonts w:ascii="Calibri" w:hAnsi="Calibri" w:cs="Calibri"/>
          <w:color w:val="000000"/>
          <w:sz w:val="18"/>
          <w:szCs w:val="18"/>
        </w:rPr>
        <w:t xml:space="preserve"> y </w:t>
      </w:r>
      <w:proofErr w:type="spellStart"/>
      <w:r w:rsidRPr="00DB3350">
        <w:rPr>
          <w:rFonts w:ascii="Calibri" w:hAnsi="Calibri" w:cs="Calibri"/>
          <w:color w:val="000000"/>
          <w:sz w:val="18"/>
          <w:szCs w:val="18"/>
        </w:rPr>
        <w:t>Rec.Extraordinario</w:t>
      </w:r>
      <w:proofErr w:type="spellEnd"/>
      <w:r w:rsidRPr="00DB3350">
        <w:rPr>
          <w:rFonts w:ascii="Calibri" w:hAnsi="Calibri" w:cs="Calibri"/>
          <w:color w:val="000000"/>
          <w:sz w:val="18"/>
          <w:szCs w:val="18"/>
        </w:rPr>
        <w:t xml:space="preserve"> 2003 (diciembre), 178 - LA LEY 2003-E, 472, con nota de Mario A. </w:t>
      </w:r>
      <w:proofErr w:type="spellStart"/>
      <w:r w:rsidRPr="00DB3350">
        <w:rPr>
          <w:rFonts w:ascii="Calibri" w:hAnsi="Calibri" w:cs="Calibri"/>
          <w:color w:val="000000"/>
          <w:sz w:val="18"/>
          <w:szCs w:val="18"/>
        </w:rPr>
        <w:t>Midón</w:t>
      </w:r>
      <w:proofErr w:type="spellEnd"/>
      <w:r w:rsidRPr="00DB3350">
        <w:rPr>
          <w:rFonts w:ascii="Calibri" w:hAnsi="Calibri" w:cs="Calibri"/>
          <w:color w:val="000000"/>
          <w:sz w:val="18"/>
          <w:szCs w:val="18"/>
        </w:rPr>
        <w:t xml:space="preserve"> - </w:t>
      </w:r>
      <w:proofErr w:type="spellStart"/>
      <w:r w:rsidRPr="00DB3350">
        <w:rPr>
          <w:rFonts w:ascii="Calibri" w:hAnsi="Calibri" w:cs="Calibri"/>
          <w:color w:val="000000"/>
          <w:sz w:val="18"/>
          <w:szCs w:val="18"/>
        </w:rPr>
        <w:t>Sup.Emergencia</w:t>
      </w:r>
      <w:proofErr w:type="spellEnd"/>
      <w:r w:rsidRPr="00DB3350">
        <w:rPr>
          <w:rFonts w:ascii="Calibri" w:hAnsi="Calibri" w:cs="Calibri"/>
          <w:color w:val="000000"/>
          <w:sz w:val="18"/>
          <w:szCs w:val="18"/>
        </w:rPr>
        <w:t xml:space="preserve"> Económica y Teoría del Derecho 2003 (agosto), 218 - LA LEY 2003-B, 537, con nota de Walter F. </w:t>
      </w:r>
      <w:proofErr w:type="spellStart"/>
      <w:r w:rsidRPr="00DB3350">
        <w:rPr>
          <w:rFonts w:ascii="Calibri" w:hAnsi="Calibri" w:cs="Calibri"/>
          <w:color w:val="000000"/>
          <w:sz w:val="18"/>
          <w:szCs w:val="18"/>
        </w:rPr>
        <w:t>Carnota</w:t>
      </w:r>
      <w:proofErr w:type="spellEnd"/>
      <w:r w:rsidRPr="00DB3350">
        <w:rPr>
          <w:rFonts w:ascii="Calibri" w:hAnsi="Calibri" w:cs="Calibri"/>
          <w:color w:val="000000"/>
          <w:sz w:val="18"/>
          <w:szCs w:val="18"/>
        </w:rPr>
        <w:t xml:space="preserve"> - LA LEY 2003-C, 38, con nota de Claudio Cavallo - </w:t>
      </w:r>
      <w:proofErr w:type="spellStart"/>
      <w:r w:rsidRPr="00DB3350">
        <w:rPr>
          <w:rFonts w:ascii="Calibri" w:hAnsi="Calibri" w:cs="Calibri"/>
          <w:color w:val="000000"/>
          <w:sz w:val="18"/>
          <w:szCs w:val="18"/>
        </w:rPr>
        <w:t>Sup.Especial</w:t>
      </w:r>
      <w:proofErr w:type="spellEnd"/>
      <w:r w:rsidRPr="00DB3350">
        <w:rPr>
          <w:rFonts w:ascii="Calibri" w:hAnsi="Calibri" w:cs="Calibri"/>
          <w:color w:val="000000"/>
          <w:sz w:val="18"/>
          <w:szCs w:val="18"/>
        </w:rPr>
        <w:t xml:space="preserve"> 2003 (marzo), 4 - DJ 2003-1, 585 - RU 2003-2, 25 - RU 2003-3, 17 - JA 2003-03-19, 8 - JA 2003-I, 188 - ED 2003-03-13, 1 - ED 201, 377 - RDM 2003-2, 96 - LLP 2003-2, 243 - LA LEY 2003-C, 228, con nota de Andrés Gil Domínguez</w:t>
      </w:r>
      <w:r w:rsidR="0091149B">
        <w:rPr>
          <w:rFonts w:ascii="Calibri" w:hAnsi="Calibri" w:cs="Calibri"/>
          <w:color w:val="000000"/>
          <w:sz w:val="18"/>
          <w:szCs w:val="18"/>
        </w:rPr>
        <w:t xml:space="preserve">. Resulta interesante como PICCARDO luego de analizar dicho precedente anota que </w:t>
      </w:r>
      <w:r w:rsidR="0091149B">
        <w:rPr>
          <w:rFonts w:ascii="Calibri" w:hAnsi="Calibri" w:cs="Calibri"/>
          <w:i/>
          <w:color w:val="000000"/>
          <w:sz w:val="18"/>
          <w:szCs w:val="18"/>
        </w:rPr>
        <w:t xml:space="preserve">“…Luego de analizar los estándares de la sentencia (la gradualidad en la coincidencia de argumentos) y tomando en cuenta la relevancia normativa e institucional del caso, despierta perplejidad el modo en que argumentó la Corte, el modo en que diseñó su plataforma argumentativa (…) toda vez que no se verifica un estándar de justificación mayoritario. El fallo en “Provincia de San Luis” no se presenta en el escenario nacional, a mi juicio, como un precedente claro, homogéneo y unidireccional en su fundamentación, capaz de concitar un seguimiento pacífico a futuro. Por el contrario, eclipsa el valor de la congruencia argumentativa </w:t>
      </w:r>
      <w:proofErr w:type="spellStart"/>
      <w:r w:rsidR="0091149B">
        <w:rPr>
          <w:rFonts w:ascii="Calibri" w:hAnsi="Calibri" w:cs="Calibri"/>
          <w:i/>
          <w:color w:val="000000"/>
          <w:sz w:val="18"/>
          <w:szCs w:val="18"/>
        </w:rPr>
        <w:t>intraórgano</w:t>
      </w:r>
      <w:proofErr w:type="spellEnd"/>
      <w:r w:rsidR="0091149B">
        <w:rPr>
          <w:rFonts w:ascii="Calibri" w:hAnsi="Calibri" w:cs="Calibri"/>
          <w:i/>
          <w:color w:val="000000"/>
          <w:sz w:val="18"/>
          <w:szCs w:val="18"/>
        </w:rPr>
        <w:t xml:space="preserve"> y el valor mismo del </w:t>
      </w:r>
      <w:proofErr w:type="spellStart"/>
      <w:r w:rsidR="0091149B">
        <w:rPr>
          <w:rFonts w:ascii="Calibri" w:hAnsi="Calibri" w:cs="Calibri"/>
          <w:i/>
          <w:color w:val="000000"/>
          <w:sz w:val="18"/>
          <w:szCs w:val="18"/>
        </w:rPr>
        <w:t>autoprecedente</w:t>
      </w:r>
      <w:proofErr w:type="spellEnd"/>
      <w:r w:rsidR="0091149B">
        <w:rPr>
          <w:rFonts w:ascii="Calibri" w:hAnsi="Calibri" w:cs="Calibri"/>
          <w:i/>
          <w:color w:val="000000"/>
          <w:sz w:val="18"/>
          <w:szCs w:val="18"/>
        </w:rPr>
        <w:t>…”</w:t>
      </w:r>
      <w:r w:rsidR="0091149B">
        <w:rPr>
          <w:rFonts w:ascii="Calibri" w:hAnsi="Calibri" w:cs="Calibri"/>
          <w:color w:val="000000"/>
          <w:sz w:val="18"/>
          <w:szCs w:val="18"/>
        </w:rPr>
        <w:t xml:space="preserve">(PICCARDO, IVANA, </w:t>
      </w:r>
      <w:r w:rsidR="0091149B">
        <w:rPr>
          <w:rFonts w:ascii="Calibri" w:hAnsi="Calibri" w:cs="Calibri"/>
          <w:i/>
          <w:color w:val="000000"/>
          <w:sz w:val="18"/>
          <w:szCs w:val="18"/>
        </w:rPr>
        <w:t>Como fallan los jueces…</w:t>
      </w:r>
      <w:proofErr w:type="spellStart"/>
      <w:r w:rsidR="0091149B">
        <w:rPr>
          <w:rFonts w:ascii="Calibri" w:hAnsi="Calibri" w:cs="Calibri"/>
          <w:color w:val="000000"/>
          <w:sz w:val="18"/>
          <w:szCs w:val="18"/>
        </w:rPr>
        <w:t>op</w:t>
      </w:r>
      <w:proofErr w:type="spellEnd"/>
      <w:r w:rsidR="0091149B">
        <w:rPr>
          <w:rFonts w:ascii="Calibri" w:hAnsi="Calibri" w:cs="Calibri"/>
          <w:color w:val="000000"/>
          <w:sz w:val="18"/>
          <w:szCs w:val="18"/>
        </w:rPr>
        <w:t xml:space="preserve"> </w:t>
      </w:r>
      <w:proofErr w:type="spellStart"/>
      <w:r w:rsidR="0091149B">
        <w:rPr>
          <w:rFonts w:ascii="Calibri" w:hAnsi="Calibri" w:cs="Calibri"/>
          <w:color w:val="000000"/>
          <w:sz w:val="18"/>
          <w:szCs w:val="18"/>
        </w:rPr>
        <w:t>cit</w:t>
      </w:r>
      <w:proofErr w:type="spellEnd"/>
      <w:r w:rsidR="0091149B">
        <w:rPr>
          <w:rFonts w:ascii="Calibri" w:hAnsi="Calibri" w:cs="Calibri"/>
          <w:color w:val="000000"/>
          <w:sz w:val="18"/>
          <w:szCs w:val="18"/>
        </w:rPr>
        <w:t xml:space="preserve"> p. 115)</w:t>
      </w:r>
    </w:p>
  </w:footnote>
  <w:footnote w:id="73">
    <w:p w:rsidR="00913BEC" w:rsidRDefault="00F3523F" w:rsidP="00EB58DB">
      <w:pPr>
        <w:shd w:val="clear" w:color="auto" w:fill="FFFFFF"/>
        <w:jc w:val="both"/>
        <w:rPr>
          <w:rFonts w:cstheme="minorHAnsi"/>
          <w:i/>
          <w:sz w:val="18"/>
          <w:szCs w:val="18"/>
        </w:rPr>
      </w:pPr>
      <w:r w:rsidRPr="00DB3350">
        <w:rPr>
          <w:rStyle w:val="Refdenotaalpie"/>
          <w:rFonts w:ascii="Calibri" w:hAnsi="Calibri" w:cs="Calibri"/>
          <w:sz w:val="18"/>
          <w:szCs w:val="18"/>
        </w:rPr>
        <w:footnoteRef/>
      </w:r>
      <w:r w:rsidRPr="00DB3350">
        <w:rPr>
          <w:rFonts w:ascii="Calibri" w:hAnsi="Calibri" w:cs="Calibri"/>
          <w:sz w:val="18"/>
          <w:szCs w:val="18"/>
        </w:rPr>
        <w:t xml:space="preserve"> CSJN, Bustos, Alberto Roque y otros c/PEN y otros – Amparo, B 139 XXXIX, Fallos: 327:4495 26/10/04;   </w:t>
      </w:r>
      <w:r w:rsidRPr="00DB3350">
        <w:rPr>
          <w:rFonts w:ascii="Calibri" w:eastAsia="Times New Roman" w:hAnsi="Calibri" w:cs="Calibri"/>
          <w:color w:val="222222"/>
          <w:sz w:val="18"/>
          <w:szCs w:val="18"/>
          <w:lang w:eastAsia="es-ES"/>
        </w:rPr>
        <w:t>SAIJ: FA04000196</w:t>
      </w:r>
      <w:r w:rsidR="0091149B" w:rsidRPr="00045E73">
        <w:rPr>
          <w:rFonts w:eastAsia="Times New Roman" w:cstheme="minorHAnsi"/>
          <w:color w:val="222222"/>
          <w:sz w:val="18"/>
          <w:szCs w:val="18"/>
          <w:lang w:eastAsia="es-ES"/>
        </w:rPr>
        <w:t xml:space="preserve">. </w:t>
      </w:r>
      <w:r w:rsidR="0091149B">
        <w:rPr>
          <w:rFonts w:eastAsia="Times New Roman" w:cstheme="minorHAnsi"/>
          <w:color w:val="222222"/>
          <w:sz w:val="18"/>
          <w:szCs w:val="18"/>
          <w:lang w:eastAsia="es-ES"/>
        </w:rPr>
        <w:t xml:space="preserve"> Dicho precedente ha sido objeto de contundentes críticas en doctrina por la ausencia de mayoría sustancial coincidente. En este sentido, y entre otros,</w:t>
      </w:r>
      <w:r w:rsidR="0091149B" w:rsidRPr="00045E73">
        <w:rPr>
          <w:rFonts w:eastAsia="Times New Roman" w:cstheme="minorHAnsi"/>
          <w:color w:val="222222"/>
          <w:sz w:val="18"/>
          <w:szCs w:val="18"/>
          <w:lang w:eastAsia="es-ES"/>
        </w:rPr>
        <w:t xml:space="preserve"> </w:t>
      </w:r>
      <w:r w:rsidR="0091149B" w:rsidRPr="00045E73">
        <w:rPr>
          <w:rFonts w:cstheme="minorHAnsi"/>
          <w:sz w:val="18"/>
          <w:szCs w:val="18"/>
        </w:rPr>
        <w:t xml:space="preserve">PICCARDO </w:t>
      </w:r>
      <w:r w:rsidR="0091149B">
        <w:rPr>
          <w:rFonts w:cstheme="minorHAnsi"/>
          <w:sz w:val="18"/>
          <w:szCs w:val="18"/>
        </w:rPr>
        <w:t xml:space="preserve">afirma que </w:t>
      </w:r>
      <w:r w:rsidR="0091149B" w:rsidRPr="00045E73">
        <w:rPr>
          <w:rFonts w:cstheme="minorHAnsi"/>
          <w:i/>
          <w:sz w:val="18"/>
          <w:szCs w:val="18"/>
        </w:rPr>
        <w:t xml:space="preserve">“…Tras el análisis de los </w:t>
      </w:r>
      <w:proofErr w:type="spellStart"/>
      <w:r w:rsidR="0091149B" w:rsidRPr="00045E73">
        <w:rPr>
          <w:rFonts w:cstheme="minorHAnsi"/>
          <w:i/>
          <w:sz w:val="18"/>
          <w:szCs w:val="18"/>
        </w:rPr>
        <w:t>iter</w:t>
      </w:r>
      <w:proofErr w:type="spellEnd"/>
      <w:r w:rsidR="0091149B" w:rsidRPr="00045E73">
        <w:rPr>
          <w:rFonts w:cstheme="minorHAnsi"/>
          <w:i/>
          <w:sz w:val="18"/>
          <w:szCs w:val="18"/>
        </w:rPr>
        <w:t xml:space="preserve"> argumentativos de los distintos bloques, resalta la incongruencia de criterios que se despliegan en los diferentes bloques y es que cada bloque ha elaborado una sentencia dentro de la sentencia. Puede advertirse que la plataforma argumentativa del fallo Bustos se resiste al análisis canónico de la doctrina, que se limita a concluir que los votos de los bloques B,C y D son votos “concurrentes” al voto del bloque A, salvo que estemos dispuestos a darle otro sentido al término “concurrente”, a la manida locución “voto concurrente”; y esto así toda vez que, tal como surge del análisis de los </w:t>
      </w:r>
      <w:proofErr w:type="spellStart"/>
      <w:r w:rsidR="0091149B" w:rsidRPr="00045E73">
        <w:rPr>
          <w:rFonts w:cstheme="minorHAnsi"/>
          <w:i/>
          <w:sz w:val="18"/>
          <w:szCs w:val="18"/>
        </w:rPr>
        <w:t>iter</w:t>
      </w:r>
      <w:proofErr w:type="spellEnd"/>
      <w:r w:rsidR="0091149B" w:rsidRPr="00045E73">
        <w:rPr>
          <w:rFonts w:cstheme="minorHAnsi"/>
          <w:i/>
          <w:sz w:val="18"/>
          <w:szCs w:val="18"/>
        </w:rPr>
        <w:t xml:space="preserve"> argumentativos de los bloques, no es posible afirmar que este concurre a la decisión-resultado de la mayoría. La incongruencia de la decisión en “Bustos” muestra su rostro más descarnado, la falta de mayoría argumentativa como plataforma de justificación y legitimación de la sentencia</w:t>
      </w:r>
      <w:r w:rsidR="0091149B">
        <w:rPr>
          <w:rFonts w:cstheme="minorHAnsi"/>
          <w:i/>
          <w:sz w:val="18"/>
          <w:szCs w:val="18"/>
        </w:rPr>
        <w:t xml:space="preserve"> (</w:t>
      </w:r>
      <w:r w:rsidR="0091149B" w:rsidRPr="00045E73">
        <w:rPr>
          <w:rFonts w:cstheme="minorHAnsi"/>
          <w:i/>
          <w:sz w:val="18"/>
          <w:szCs w:val="18"/>
        </w:rPr>
        <w:t>…</w:t>
      </w:r>
      <w:r w:rsidR="0091149B">
        <w:rPr>
          <w:rFonts w:cstheme="minorHAnsi"/>
          <w:i/>
          <w:sz w:val="18"/>
          <w:szCs w:val="18"/>
        </w:rPr>
        <w:t xml:space="preserve">) </w:t>
      </w:r>
    </w:p>
    <w:p w:rsidR="00913BEC" w:rsidRDefault="0091149B" w:rsidP="00EB58DB">
      <w:pPr>
        <w:shd w:val="clear" w:color="auto" w:fill="FFFFFF"/>
        <w:jc w:val="both"/>
        <w:rPr>
          <w:rFonts w:cstheme="minorHAnsi"/>
          <w:i/>
          <w:sz w:val="18"/>
          <w:szCs w:val="18"/>
        </w:rPr>
      </w:pPr>
      <w:r>
        <w:rPr>
          <w:rFonts w:cstheme="minorHAnsi"/>
          <w:i/>
          <w:sz w:val="18"/>
          <w:szCs w:val="18"/>
        </w:rPr>
        <w:t>Algunas voces críticas se levantaron contra el fallo al advertir que el caso presentaba características problemáticas, por constituir un “abanico de opiniones divergentes (que) atenta contra los alcances de la solución (Garay, 2006:310). En efecto, de la construcción argumentativa de la sentencia del caso “Bustos” no se desprende una plataforma de justificación compartida mayoritariamente por los miembros de la CSJN (…)</w:t>
      </w:r>
      <w:r w:rsidR="00913BEC">
        <w:rPr>
          <w:rFonts w:cstheme="minorHAnsi"/>
          <w:i/>
          <w:sz w:val="18"/>
          <w:szCs w:val="18"/>
        </w:rPr>
        <w:t xml:space="preserve"> </w:t>
      </w:r>
    </w:p>
    <w:p w:rsidR="00F3523F" w:rsidRPr="00DB3350" w:rsidRDefault="0091149B" w:rsidP="00EB58DB">
      <w:pPr>
        <w:shd w:val="clear" w:color="auto" w:fill="FFFFFF"/>
        <w:jc w:val="both"/>
        <w:rPr>
          <w:rFonts w:ascii="Calibri" w:hAnsi="Calibri" w:cs="Calibri"/>
          <w:sz w:val="18"/>
          <w:szCs w:val="18"/>
        </w:rPr>
      </w:pPr>
      <w:r>
        <w:rPr>
          <w:rFonts w:cstheme="minorHAnsi"/>
          <w:i/>
          <w:sz w:val="18"/>
          <w:szCs w:val="18"/>
        </w:rPr>
        <w:t xml:space="preserve"> </w:t>
      </w:r>
      <w:r w:rsidR="005D6D04">
        <w:rPr>
          <w:rFonts w:cstheme="minorHAnsi"/>
          <w:i/>
          <w:sz w:val="18"/>
          <w:szCs w:val="18"/>
        </w:rPr>
        <w:t>la incongruencia argumentativa en “Bustos” exhibe ribetes especiales, dando paso a lo que denominó “razonamiento autorreferencial”: la construcción argumentativa de los jueces (bloques), sus premisas normativas y fácticas, no parecen orientadas a un fin común (la conclusión que integra la parte dispositiva de la sentencia). Cada bloque es, por el contrario “autorreferente”, cada uno responde a la estructura de una sentencia con sus premisas fácticas y normativas y su conclusión, conformando auténticas piezas autónomas de decisión…”</w:t>
      </w:r>
      <w:r w:rsidRPr="00045E73">
        <w:rPr>
          <w:rFonts w:cstheme="minorHAnsi"/>
          <w:i/>
          <w:sz w:val="18"/>
          <w:szCs w:val="18"/>
        </w:rPr>
        <w:t>”(</w:t>
      </w:r>
      <w:r w:rsidRPr="00045E73">
        <w:rPr>
          <w:rFonts w:cstheme="minorHAnsi"/>
          <w:sz w:val="18"/>
          <w:szCs w:val="18"/>
        </w:rPr>
        <w:t xml:space="preserve">PICCARDO, IVANA, </w:t>
      </w:r>
      <w:r w:rsidRPr="00045E73">
        <w:rPr>
          <w:rFonts w:cstheme="minorHAnsi"/>
          <w:i/>
          <w:sz w:val="18"/>
          <w:szCs w:val="18"/>
        </w:rPr>
        <w:t>Cómo fallan los jueces…</w:t>
      </w:r>
      <w:proofErr w:type="spellStart"/>
      <w:r w:rsidRPr="00045E73">
        <w:rPr>
          <w:rFonts w:cstheme="minorHAnsi"/>
          <w:sz w:val="18"/>
          <w:szCs w:val="18"/>
        </w:rPr>
        <w:t>op</w:t>
      </w:r>
      <w:proofErr w:type="spellEnd"/>
      <w:r w:rsidRPr="00045E73">
        <w:rPr>
          <w:rFonts w:cstheme="minorHAnsi"/>
          <w:sz w:val="18"/>
          <w:szCs w:val="18"/>
        </w:rPr>
        <w:t xml:space="preserve"> </w:t>
      </w:r>
      <w:proofErr w:type="spellStart"/>
      <w:r w:rsidRPr="00045E73">
        <w:rPr>
          <w:rFonts w:cstheme="minorHAnsi"/>
          <w:sz w:val="18"/>
          <w:szCs w:val="18"/>
        </w:rPr>
        <w:t>cit</w:t>
      </w:r>
      <w:proofErr w:type="spellEnd"/>
      <w:r w:rsidRPr="00045E73">
        <w:rPr>
          <w:rFonts w:cstheme="minorHAnsi"/>
          <w:sz w:val="18"/>
          <w:szCs w:val="18"/>
        </w:rPr>
        <w:t xml:space="preserve"> p. 127</w:t>
      </w:r>
      <w:r w:rsidR="005D6D04">
        <w:rPr>
          <w:rFonts w:cstheme="minorHAnsi"/>
          <w:sz w:val="18"/>
          <w:szCs w:val="18"/>
        </w:rPr>
        <w:t>)</w:t>
      </w:r>
    </w:p>
  </w:footnote>
  <w:footnote w:id="74">
    <w:p w:rsidR="00F3523F" w:rsidRPr="005D6D04" w:rsidRDefault="00F3523F" w:rsidP="00EB58DB">
      <w:pPr>
        <w:pStyle w:val="Ttulo3"/>
        <w:shd w:val="clear" w:color="auto" w:fill="FFFFFF"/>
        <w:spacing w:before="0" w:after="150"/>
        <w:jc w:val="both"/>
        <w:rPr>
          <w:rFonts w:ascii="Calibri" w:hAnsi="Calibri" w:cs="Calibri"/>
          <w:sz w:val="18"/>
          <w:szCs w:val="18"/>
        </w:rPr>
      </w:pPr>
      <w:r w:rsidRPr="00DB3350">
        <w:rPr>
          <w:rStyle w:val="Refdenotaalpie"/>
          <w:rFonts w:ascii="Calibri" w:hAnsi="Calibri" w:cs="Calibri"/>
          <w:color w:val="auto"/>
          <w:sz w:val="18"/>
          <w:szCs w:val="18"/>
        </w:rPr>
        <w:footnoteRef/>
      </w:r>
      <w:r w:rsidRPr="00DB3350">
        <w:rPr>
          <w:rFonts w:ascii="Calibri" w:hAnsi="Calibri" w:cs="Calibri"/>
          <w:color w:val="auto"/>
          <w:sz w:val="18"/>
          <w:szCs w:val="18"/>
        </w:rPr>
        <w:t xml:space="preserve"> CSJN, “</w:t>
      </w:r>
      <w:r w:rsidRPr="00DB3350">
        <w:rPr>
          <w:rFonts w:ascii="Calibri" w:eastAsia="Times New Roman" w:hAnsi="Calibri" w:cs="Calibri"/>
          <w:bCs/>
          <w:color w:val="auto"/>
          <w:sz w:val="18"/>
          <w:szCs w:val="18"/>
          <w:lang w:eastAsia="es-ES"/>
        </w:rPr>
        <w:t xml:space="preserve">Arancibia Clavel, Enrique Lautaro s/ homicidio calificado y asociación ilícita, 24/8/04, </w:t>
      </w:r>
      <w:r w:rsidRPr="00DB3350">
        <w:rPr>
          <w:rFonts w:ascii="Calibri" w:hAnsi="Calibri" w:cs="Calibri"/>
          <w:color w:val="auto"/>
          <w:sz w:val="18"/>
          <w:szCs w:val="18"/>
        </w:rPr>
        <w:t xml:space="preserve">Fallos, 342:584. </w:t>
      </w:r>
      <w:r w:rsidR="005D6D04">
        <w:rPr>
          <w:rFonts w:ascii="Calibri" w:hAnsi="Calibri" w:cs="Calibri"/>
          <w:color w:val="auto"/>
          <w:sz w:val="18"/>
          <w:szCs w:val="18"/>
        </w:rPr>
        <w:t xml:space="preserve">Caso éste en que, </w:t>
      </w:r>
      <w:r w:rsidR="00913BEC">
        <w:rPr>
          <w:rFonts w:ascii="Calibri" w:hAnsi="Calibri" w:cs="Calibri"/>
          <w:color w:val="auto"/>
          <w:sz w:val="18"/>
          <w:szCs w:val="18"/>
        </w:rPr>
        <w:t xml:space="preserve">al decir de RIZZI y CAMUSSO, </w:t>
      </w:r>
      <w:r w:rsidR="005D6D04">
        <w:rPr>
          <w:rFonts w:ascii="Calibri" w:hAnsi="Calibri" w:cs="Calibri"/>
          <w:i/>
          <w:color w:val="auto"/>
          <w:sz w:val="18"/>
          <w:szCs w:val="18"/>
        </w:rPr>
        <w:t>“…conforme la propia doctrina de la Corte, pareciera que se está ante una decisión inválida, desde que no se advierte una coincidencia sustancial en los argumentos…</w:t>
      </w:r>
      <w:proofErr w:type="gramStart"/>
      <w:r w:rsidR="005D6D04">
        <w:rPr>
          <w:rFonts w:ascii="Calibri" w:hAnsi="Calibri" w:cs="Calibri"/>
          <w:i/>
          <w:color w:val="auto"/>
          <w:sz w:val="18"/>
          <w:szCs w:val="18"/>
        </w:rPr>
        <w:t>”</w:t>
      </w:r>
      <w:r w:rsidR="005D6D04">
        <w:rPr>
          <w:rFonts w:ascii="Calibri" w:hAnsi="Calibri" w:cs="Calibri"/>
          <w:color w:val="auto"/>
          <w:sz w:val="18"/>
          <w:szCs w:val="18"/>
        </w:rPr>
        <w:t>(</w:t>
      </w:r>
      <w:proofErr w:type="gramEnd"/>
      <w:r w:rsidR="005D6D04">
        <w:rPr>
          <w:rFonts w:ascii="Calibri" w:hAnsi="Calibri" w:cs="Calibri"/>
          <w:color w:val="auto"/>
          <w:sz w:val="18"/>
          <w:szCs w:val="18"/>
        </w:rPr>
        <w:t xml:space="preserve">RIZZI, FRANCISCO T. y CAMUSSO, FEDERICO M. </w:t>
      </w:r>
      <w:r w:rsidR="005D6D04">
        <w:rPr>
          <w:rFonts w:ascii="Calibri" w:hAnsi="Calibri" w:cs="Calibri"/>
          <w:i/>
          <w:color w:val="auto"/>
          <w:sz w:val="18"/>
          <w:szCs w:val="18"/>
        </w:rPr>
        <w:t xml:space="preserve">La Corte Suprema y la </w:t>
      </w:r>
      <w:proofErr w:type="gramStart"/>
      <w:r w:rsidR="005D6D04">
        <w:rPr>
          <w:rFonts w:ascii="Calibri" w:hAnsi="Calibri" w:cs="Calibri"/>
          <w:i/>
          <w:color w:val="auto"/>
          <w:sz w:val="18"/>
          <w:szCs w:val="18"/>
        </w:rPr>
        <w:t>doctrina …</w:t>
      </w:r>
      <w:proofErr w:type="spellStart"/>
      <w:proofErr w:type="gramEnd"/>
      <w:r w:rsidR="005D6D04">
        <w:rPr>
          <w:rFonts w:ascii="Calibri" w:hAnsi="Calibri" w:cs="Calibri"/>
          <w:color w:val="auto"/>
          <w:sz w:val="18"/>
          <w:szCs w:val="18"/>
        </w:rPr>
        <w:t>op</w:t>
      </w:r>
      <w:proofErr w:type="spellEnd"/>
      <w:r w:rsidR="005D6D04">
        <w:rPr>
          <w:rFonts w:ascii="Calibri" w:hAnsi="Calibri" w:cs="Calibri"/>
          <w:color w:val="auto"/>
          <w:sz w:val="18"/>
          <w:szCs w:val="18"/>
        </w:rPr>
        <w:t xml:space="preserve"> </w:t>
      </w:r>
      <w:proofErr w:type="spellStart"/>
      <w:r w:rsidR="005D6D04">
        <w:rPr>
          <w:rFonts w:ascii="Calibri" w:hAnsi="Calibri" w:cs="Calibri"/>
          <w:color w:val="auto"/>
          <w:sz w:val="18"/>
          <w:szCs w:val="18"/>
        </w:rPr>
        <w:t>cit</w:t>
      </w:r>
      <w:proofErr w:type="spellEnd"/>
      <w:r w:rsidR="005D6D04">
        <w:rPr>
          <w:rFonts w:ascii="Calibri" w:hAnsi="Calibri" w:cs="Calibri"/>
          <w:color w:val="auto"/>
          <w:sz w:val="18"/>
          <w:szCs w:val="18"/>
        </w:rPr>
        <w:t xml:space="preserve"> p. 134) </w:t>
      </w:r>
    </w:p>
  </w:footnote>
  <w:footnote w:id="75">
    <w:p w:rsidR="005B6527" w:rsidRPr="00045E73" w:rsidRDefault="005B6527" w:rsidP="005B6527">
      <w:pPr>
        <w:pStyle w:val="Textonotapie"/>
        <w:jc w:val="both"/>
        <w:rPr>
          <w:rFonts w:cstheme="minorHAnsi"/>
          <w:sz w:val="18"/>
          <w:szCs w:val="18"/>
        </w:rPr>
      </w:pPr>
      <w:r w:rsidRPr="00045E73">
        <w:rPr>
          <w:rStyle w:val="Refdenotaalpie"/>
          <w:rFonts w:cstheme="minorHAnsi"/>
          <w:sz w:val="18"/>
          <w:szCs w:val="18"/>
        </w:rPr>
        <w:footnoteRef/>
      </w:r>
      <w:r w:rsidRPr="00045E73">
        <w:rPr>
          <w:rFonts w:cstheme="minorHAnsi"/>
          <w:sz w:val="18"/>
          <w:szCs w:val="18"/>
        </w:rPr>
        <w:t xml:space="preserve"> CSJN,  </w:t>
      </w:r>
      <w:r w:rsidRPr="00045E73">
        <w:rPr>
          <w:rFonts w:cstheme="minorHAnsi"/>
          <w:color w:val="000000"/>
          <w:sz w:val="18"/>
          <w:szCs w:val="18"/>
          <w:shd w:val="clear" w:color="auto" w:fill="FFFFFF"/>
        </w:rPr>
        <w:t xml:space="preserve">Carranza </w:t>
      </w:r>
      <w:proofErr w:type="spellStart"/>
      <w:r w:rsidRPr="00045E73">
        <w:rPr>
          <w:rFonts w:cstheme="minorHAnsi"/>
          <w:color w:val="000000"/>
          <w:sz w:val="18"/>
          <w:szCs w:val="18"/>
          <w:shd w:val="clear" w:color="auto" w:fill="FFFFFF"/>
        </w:rPr>
        <w:t>Latrubesse</w:t>
      </w:r>
      <w:proofErr w:type="spellEnd"/>
      <w:r w:rsidRPr="00045E73">
        <w:rPr>
          <w:rFonts w:cstheme="minorHAnsi"/>
          <w:color w:val="000000"/>
          <w:sz w:val="18"/>
          <w:szCs w:val="18"/>
          <w:shd w:val="clear" w:color="auto" w:fill="FFFFFF"/>
        </w:rPr>
        <w:t xml:space="preserve"> Gustavo  c. Estado Nacional – Ministerio de Relaciones Exteriores – Provincia del </w:t>
      </w:r>
      <w:proofErr w:type="spellStart"/>
      <w:r w:rsidRPr="00045E73">
        <w:rPr>
          <w:rFonts w:cstheme="minorHAnsi"/>
          <w:color w:val="000000"/>
          <w:sz w:val="18"/>
          <w:szCs w:val="18"/>
          <w:shd w:val="clear" w:color="auto" w:fill="FFFFFF"/>
        </w:rPr>
        <w:t>Chubut”</w:t>
      </w:r>
      <w:r w:rsidRPr="00045E73">
        <w:rPr>
          <w:rFonts w:cstheme="minorHAnsi"/>
          <w:sz w:val="18"/>
          <w:szCs w:val="18"/>
        </w:rPr>
        <w:t>SAIJ</w:t>
      </w:r>
      <w:proofErr w:type="spellEnd"/>
      <w:r w:rsidRPr="00045E73">
        <w:rPr>
          <w:rFonts w:cstheme="minorHAnsi"/>
          <w:sz w:val="18"/>
          <w:szCs w:val="18"/>
        </w:rPr>
        <w:t xml:space="preserve"> FA13000112. Respecto de este caso anota </w:t>
      </w:r>
      <w:proofErr w:type="spellStart"/>
      <w:r w:rsidRPr="00045E73">
        <w:rPr>
          <w:rFonts w:cstheme="minorHAnsi"/>
          <w:sz w:val="18"/>
          <w:szCs w:val="18"/>
        </w:rPr>
        <w:t>SAGüES</w:t>
      </w:r>
      <w:proofErr w:type="spellEnd"/>
      <w:r w:rsidRPr="00045E73">
        <w:rPr>
          <w:rFonts w:cstheme="minorHAnsi"/>
          <w:sz w:val="18"/>
          <w:szCs w:val="18"/>
        </w:rPr>
        <w:t xml:space="preserve"> que  </w:t>
      </w:r>
      <w:r w:rsidRPr="00045E73">
        <w:rPr>
          <w:rFonts w:cstheme="minorHAnsi"/>
          <w:i/>
          <w:sz w:val="18"/>
          <w:szCs w:val="18"/>
        </w:rPr>
        <w:t xml:space="preserve">“… </w:t>
      </w:r>
      <w:r w:rsidRPr="00045E73">
        <w:rPr>
          <w:rFonts w:cstheme="minorHAnsi"/>
          <w:i/>
          <w:color w:val="000000"/>
          <w:sz w:val="18"/>
          <w:szCs w:val="18"/>
          <w:shd w:val="clear" w:color="auto" w:fill="FFFFFF"/>
        </w:rPr>
        <w:t xml:space="preserve">la propia Corte Suprema no aplica para sí misma la doctrina precedente. Tomemos un caso, como es “Carranza </w:t>
      </w:r>
      <w:proofErr w:type="spellStart"/>
      <w:r w:rsidRPr="00045E73">
        <w:rPr>
          <w:rFonts w:cstheme="minorHAnsi"/>
          <w:i/>
          <w:color w:val="000000"/>
          <w:sz w:val="18"/>
          <w:szCs w:val="18"/>
          <w:shd w:val="clear" w:color="auto" w:fill="FFFFFF"/>
        </w:rPr>
        <w:t>Latrubesse</w:t>
      </w:r>
      <w:proofErr w:type="spellEnd"/>
      <w:r w:rsidRPr="00045E73">
        <w:rPr>
          <w:rFonts w:cstheme="minorHAnsi"/>
          <w:i/>
          <w:color w:val="000000"/>
          <w:sz w:val="18"/>
          <w:szCs w:val="18"/>
          <w:shd w:val="clear" w:color="auto" w:fill="FFFFFF"/>
        </w:rPr>
        <w:t xml:space="preserve"> c. Estado Nacional”, del 6-8-13. Este veredicto es interesante, primero, porque aborda una cuestión de suma significancia, como es el valor de las recomendaciones de la Corte Interamericana de Derechos Humanos. El tema importa por tratarse de la vigencia de los derechos humanos de fuente internacional, algo esencial para la vida digna de la persona humana, a más de comprometer, eventualmente, la responsabilidad internacional del Estado. En segundo término, este fallo muestra inequívocamente la inexistencia de un voto mayoritario con una argumentación sustancialmente coincidente entre los jueces que deciden la causa, aunque sí haya voto mayoritario en lo que hace a su parte resolutiva (donde se rechaza el recurso extraordinario federal y se confirma la resolución apelada)…</w:t>
      </w:r>
      <w:proofErr w:type="gramStart"/>
      <w:r w:rsidRPr="00045E73">
        <w:rPr>
          <w:rFonts w:cstheme="minorHAnsi"/>
          <w:i/>
          <w:color w:val="000000"/>
          <w:sz w:val="18"/>
          <w:szCs w:val="18"/>
          <w:shd w:val="clear" w:color="auto" w:fill="FFFFFF"/>
        </w:rPr>
        <w:t>”</w:t>
      </w:r>
      <w:r>
        <w:rPr>
          <w:rFonts w:cstheme="minorHAnsi"/>
          <w:color w:val="000000"/>
          <w:sz w:val="18"/>
          <w:szCs w:val="18"/>
          <w:shd w:val="clear" w:color="auto" w:fill="FFFFFF"/>
        </w:rPr>
        <w:t>(</w:t>
      </w:r>
      <w:proofErr w:type="gramEnd"/>
      <w:r w:rsidRPr="00045E73">
        <w:rPr>
          <w:rFonts w:cstheme="minorHAnsi"/>
          <w:color w:val="000000"/>
          <w:sz w:val="18"/>
          <w:szCs w:val="18"/>
          <w:shd w:val="clear" w:color="auto" w:fill="FFFFFF"/>
        </w:rPr>
        <w:t xml:space="preserve">SAGÜES, NÉSTOR P. </w:t>
      </w:r>
      <w:r w:rsidRPr="00045E73">
        <w:rPr>
          <w:rFonts w:cstheme="minorHAnsi"/>
          <w:i/>
          <w:color w:val="000000"/>
          <w:sz w:val="18"/>
          <w:szCs w:val="18"/>
          <w:shd w:val="clear" w:color="auto" w:fill="FFFFFF"/>
        </w:rPr>
        <w:t xml:space="preserve">Las Sentencias Colectoras, </w:t>
      </w:r>
      <w:r w:rsidRPr="00045E73">
        <w:rPr>
          <w:rFonts w:cstheme="minorHAnsi"/>
          <w:color w:val="000000"/>
          <w:sz w:val="18"/>
          <w:szCs w:val="18"/>
          <w:shd w:val="clear" w:color="auto" w:fill="FFFFFF"/>
        </w:rPr>
        <w:t>ED T 255-829, ED-DCCLXXIV-269)</w:t>
      </w:r>
    </w:p>
  </w:footnote>
  <w:footnote w:id="76">
    <w:p w:rsidR="0085443E" w:rsidRPr="00DB3350" w:rsidRDefault="0085443E">
      <w:pPr>
        <w:pStyle w:val="Textonotapie"/>
        <w:rPr>
          <w:sz w:val="18"/>
          <w:szCs w:val="18"/>
        </w:rPr>
      </w:pPr>
      <w:r w:rsidRPr="00DB3350">
        <w:rPr>
          <w:rStyle w:val="Refdenotaalpie"/>
          <w:sz w:val="18"/>
          <w:szCs w:val="18"/>
        </w:rPr>
        <w:footnoteRef/>
      </w:r>
      <w:r w:rsidRPr="00DB3350">
        <w:rPr>
          <w:sz w:val="18"/>
          <w:szCs w:val="18"/>
        </w:rPr>
        <w:t xml:space="preserve"> CSJN, FCB 93000136/2009/TO1/93/CS1 , “Menéndez, Luciano Benjamín y otros s/ incidente de recurso extraordinario”, 14/11/23,  Fallos 346:1339</w:t>
      </w:r>
    </w:p>
  </w:footnote>
  <w:footnote w:id="77">
    <w:p w:rsidR="00790D5E" w:rsidRPr="00DB3350" w:rsidRDefault="00790D5E" w:rsidP="00DB3350">
      <w:pPr>
        <w:pStyle w:val="Textonotapie"/>
        <w:jc w:val="both"/>
        <w:rPr>
          <w:sz w:val="18"/>
          <w:szCs w:val="18"/>
        </w:rPr>
      </w:pPr>
      <w:r w:rsidRPr="00DB3350">
        <w:rPr>
          <w:rStyle w:val="Refdenotaalpie"/>
          <w:sz w:val="18"/>
          <w:szCs w:val="18"/>
        </w:rPr>
        <w:footnoteRef/>
      </w:r>
      <w:r w:rsidRPr="00DB3350">
        <w:rPr>
          <w:sz w:val="18"/>
          <w:szCs w:val="18"/>
        </w:rPr>
        <w:t xml:space="preserve"> “Fallo Coral” se le dice pues la sentencia se compone de un conjunto de voces que confluyen en un resultado, pero con argumentos diversos.</w:t>
      </w:r>
    </w:p>
  </w:footnote>
  <w:footnote w:id="78">
    <w:p w:rsidR="005277F9" w:rsidRPr="00DB3350" w:rsidRDefault="005277F9" w:rsidP="005277F9">
      <w:pPr>
        <w:pStyle w:val="Textonotapie"/>
        <w:jc w:val="both"/>
        <w:rPr>
          <w:sz w:val="18"/>
          <w:szCs w:val="18"/>
        </w:rPr>
      </w:pPr>
      <w:r w:rsidRPr="00DB3350">
        <w:rPr>
          <w:rStyle w:val="Refdenotaalpie"/>
          <w:sz w:val="18"/>
          <w:szCs w:val="18"/>
        </w:rPr>
        <w:footnoteRef/>
      </w:r>
      <w:r w:rsidRPr="00DB3350">
        <w:rPr>
          <w:sz w:val="18"/>
          <w:szCs w:val="18"/>
        </w:rPr>
        <w:t xml:space="preserve"> Anota GOZAÍNI que </w:t>
      </w:r>
      <w:r w:rsidRPr="00DB3350">
        <w:rPr>
          <w:i/>
          <w:sz w:val="18"/>
          <w:szCs w:val="18"/>
        </w:rPr>
        <w:t>“…En los tribunales colegiados, la deliberación previa que determina el acuerdo no constituye una simple formalidad. Todo lo contrario, la sentencia de ellos no se puede colegir como una colección de opiniones individuales y aisladas de sus integrantes, sino como un producto de un intercambio racional de ideas entre ellos. Esta es la manera pertinente de actuar en un sistema deliberativo. Para alcanzar la coincidencia hay mecanismos simples: uno puede ser el voto adhesivo, donde un Juez participa de la opinión del colega preopinante y sin agregar fundamentos, lo apoya con su firma. En otros, se trabaja sobre un proyecto elaborado que se discute en plenario hasta llegar a una solución ordenada y pacífica que puede o no ser unánime; a ella le basta con lograr la mayoría coincidente. En ambos supuestos, si la formación de opiniones concuerda en la parte dispositiva (por ejemplo, haciendo lugar o denegando una pretensión) pero con fundamentos divergentes para alcanzar ese resultado, se quiebra la concordancia intrínseca del acuerdo y, por ello, la mayoría real no existe e impide dotar al fallo de la mayoría racional que valide la sentencia…”</w:t>
      </w:r>
      <w:r w:rsidRPr="00DB3350">
        <w:rPr>
          <w:sz w:val="18"/>
          <w:szCs w:val="18"/>
        </w:rPr>
        <w:t xml:space="preserve">(GOZAÍNI, OSVALDO A. </w:t>
      </w:r>
      <w:r w:rsidRPr="00DB3350">
        <w:rPr>
          <w:i/>
          <w:sz w:val="18"/>
          <w:szCs w:val="18"/>
        </w:rPr>
        <w:t>“</w:t>
      </w:r>
      <w:r w:rsidRPr="00DB3350">
        <w:rPr>
          <w:sz w:val="18"/>
          <w:szCs w:val="18"/>
        </w:rPr>
        <w:t>Revocación de la sentencia de Cámara por ausencia de mayorías coincidentes”, ED 207-83)</w:t>
      </w:r>
    </w:p>
  </w:footnote>
  <w:footnote w:id="79">
    <w:p w:rsidR="005B3A7D" w:rsidRPr="00DB3350" w:rsidRDefault="005B3A7D" w:rsidP="005B3A7D">
      <w:pPr>
        <w:pStyle w:val="Textonotapie"/>
        <w:jc w:val="both"/>
        <w:rPr>
          <w:sz w:val="18"/>
          <w:szCs w:val="18"/>
        </w:rPr>
      </w:pPr>
      <w:r w:rsidRPr="00DB3350">
        <w:rPr>
          <w:rStyle w:val="Refdenotaalpie"/>
          <w:sz w:val="18"/>
          <w:szCs w:val="18"/>
        </w:rPr>
        <w:footnoteRef/>
      </w:r>
      <w:r w:rsidRPr="00DB3350">
        <w:rPr>
          <w:sz w:val="18"/>
          <w:szCs w:val="18"/>
        </w:rPr>
        <w:t xml:space="preserve"> Anota MORGENSTERN que </w:t>
      </w:r>
      <w:r w:rsidRPr="00DB3350">
        <w:rPr>
          <w:i/>
          <w:sz w:val="18"/>
          <w:szCs w:val="18"/>
        </w:rPr>
        <w:t>“…</w:t>
      </w:r>
      <w:r w:rsidRPr="00DB3350">
        <w:rPr>
          <w:rFonts w:cstheme="minorHAnsi"/>
          <w:i/>
          <w:sz w:val="18"/>
          <w:szCs w:val="18"/>
        </w:rPr>
        <w:t>a nuestro Alto Tribunal le cuesta cada vez más alcanzar consensos verdaderos y profundos en cuestiones constitucionales de largo alcance, siendo creciente la fragmentación de los votos y las situaciones en las que la colisión entre diferentes argumentos impide la constitución de "la"                                        opinión…”</w:t>
      </w:r>
      <w:r w:rsidRPr="00DB3350">
        <w:rPr>
          <w:rFonts w:cstheme="minorHAnsi"/>
          <w:sz w:val="18"/>
          <w:szCs w:val="18"/>
        </w:rPr>
        <w:t>(</w:t>
      </w:r>
      <w:r w:rsidRPr="00DB3350">
        <w:rPr>
          <w:sz w:val="18"/>
          <w:szCs w:val="18"/>
        </w:rPr>
        <w:t xml:space="preserve">MORGENSTERN, FEDERICO, </w:t>
      </w:r>
      <w:r w:rsidRPr="00DB3350">
        <w:rPr>
          <w:i/>
          <w:sz w:val="18"/>
          <w:szCs w:val="18"/>
        </w:rPr>
        <w:t xml:space="preserve">Sentencias de tribunales colegiados: problemas relacionados con la formación de mayorías, </w:t>
      </w:r>
      <w:r w:rsidRPr="00DB3350">
        <w:rPr>
          <w:sz w:val="18"/>
          <w:szCs w:val="18"/>
        </w:rPr>
        <w:t>TR LALEY AR/DOC/9620/2012)</w:t>
      </w:r>
      <w:r w:rsidRPr="00DB3350">
        <w:rPr>
          <w:rFonts w:cstheme="minorHAnsi"/>
          <w:sz w:val="18"/>
          <w:szCs w:val="18"/>
        </w:rPr>
        <w:t xml:space="preserve"> y agrega en el mismo trabajo, que </w:t>
      </w:r>
      <w:r w:rsidRPr="00DB3350">
        <w:rPr>
          <w:rFonts w:cstheme="minorHAnsi"/>
          <w:i/>
          <w:sz w:val="18"/>
          <w:szCs w:val="18"/>
        </w:rPr>
        <w:t>“…</w:t>
      </w:r>
      <w:r w:rsidRPr="00DB3350">
        <w:rPr>
          <w:i/>
          <w:sz w:val="18"/>
          <w:szCs w:val="18"/>
        </w:rPr>
        <w:t>Como ha señalado Luis García (…), los integrantes de la Corte "cada vez logran menos consenso entre ellos acerca de las reglas y principios básicos para la identificación del Derecho aplicable. Aunque lleguen al mismo resultado tienen dificultad en acordar una base mínima común. (…)</w:t>
      </w:r>
      <w:r w:rsidR="00B7203A">
        <w:rPr>
          <w:i/>
          <w:sz w:val="18"/>
          <w:szCs w:val="18"/>
        </w:rPr>
        <w:t xml:space="preserve"> </w:t>
      </w:r>
      <w:r w:rsidRPr="00DB3350">
        <w:rPr>
          <w:i/>
          <w:sz w:val="18"/>
          <w:szCs w:val="18"/>
        </w:rPr>
        <w:t xml:space="preserve">los votos individuales están concebidos de tal manera que a menudo ni siquiera es posible distinguir si los jueces mantienen disensos sobre reglas o principios decisivos, o si la individualidad del voto responde más bien a cuestiones marginales, unas veces a la tendencia a poner un </w:t>
      </w:r>
      <w:proofErr w:type="spellStart"/>
      <w:r w:rsidRPr="00DB3350">
        <w:rPr>
          <w:i/>
          <w:sz w:val="18"/>
          <w:szCs w:val="18"/>
        </w:rPr>
        <w:t>obiter</w:t>
      </w:r>
      <w:proofErr w:type="spellEnd"/>
      <w:r w:rsidRPr="00DB3350">
        <w:rPr>
          <w:i/>
          <w:sz w:val="18"/>
          <w:szCs w:val="18"/>
        </w:rPr>
        <w:t xml:space="preserve"> </w:t>
      </w:r>
      <w:proofErr w:type="spellStart"/>
      <w:r w:rsidRPr="00DB3350">
        <w:rPr>
          <w:i/>
          <w:sz w:val="18"/>
          <w:szCs w:val="18"/>
        </w:rPr>
        <w:t>dictum</w:t>
      </w:r>
      <w:proofErr w:type="spellEnd"/>
      <w:r w:rsidRPr="00DB3350">
        <w:rPr>
          <w:i/>
          <w:sz w:val="18"/>
          <w:szCs w:val="18"/>
        </w:rPr>
        <w:t xml:space="preserve"> no indispensable para la solución del caso, otras como mero desborde de ilustración y esteticismo…"</w:t>
      </w:r>
      <w:r w:rsidRPr="00DB3350">
        <w:rPr>
          <w:sz w:val="18"/>
          <w:szCs w:val="18"/>
        </w:rPr>
        <w:t xml:space="preserve">(GARCÍA, LUIS confr. MORGENSTERN, FEDERICO, </w:t>
      </w:r>
      <w:r w:rsidRPr="00DB3350">
        <w:rPr>
          <w:i/>
          <w:sz w:val="18"/>
          <w:szCs w:val="18"/>
        </w:rPr>
        <w:t xml:space="preserve">Sentencias de tribunales colegiados: problemas relacionados con la formación de mayorías, </w:t>
      </w:r>
      <w:r w:rsidRPr="00DB3350">
        <w:rPr>
          <w:sz w:val="18"/>
          <w:szCs w:val="18"/>
        </w:rPr>
        <w:t>TR LALEY AR/DOC/9620/2012)</w:t>
      </w:r>
    </w:p>
  </w:footnote>
  <w:footnote w:id="80">
    <w:p w:rsidR="00790D5E" w:rsidRPr="00DB3350" w:rsidRDefault="00790D5E">
      <w:pPr>
        <w:pStyle w:val="Textonotapie"/>
        <w:rPr>
          <w:sz w:val="18"/>
          <w:szCs w:val="18"/>
        </w:rPr>
      </w:pPr>
      <w:r w:rsidRPr="00DB3350">
        <w:rPr>
          <w:rStyle w:val="Refdenotaalpie"/>
          <w:sz w:val="18"/>
          <w:szCs w:val="18"/>
        </w:rPr>
        <w:footnoteRef/>
      </w:r>
      <w:r w:rsidRPr="00DB3350">
        <w:rPr>
          <w:sz w:val="18"/>
          <w:szCs w:val="18"/>
        </w:rPr>
        <w:t xml:space="preserve"> En la misma línea, RIZZI, FRANCISCO T. y CAMUSSO, FEDERICO M. </w:t>
      </w:r>
      <w:r w:rsidRPr="00DB3350">
        <w:rPr>
          <w:i/>
          <w:sz w:val="18"/>
          <w:szCs w:val="18"/>
        </w:rPr>
        <w:t>La  Corte Suprema y la doctrina …</w:t>
      </w:r>
      <w:proofErr w:type="spellStart"/>
      <w:r w:rsidRPr="00DB3350">
        <w:rPr>
          <w:sz w:val="18"/>
          <w:szCs w:val="18"/>
        </w:rPr>
        <w:t>op</w:t>
      </w:r>
      <w:proofErr w:type="spellEnd"/>
      <w:r w:rsidRPr="00DB3350">
        <w:rPr>
          <w:sz w:val="18"/>
          <w:szCs w:val="18"/>
        </w:rPr>
        <w:t xml:space="preserve"> cit. P 114</w:t>
      </w:r>
    </w:p>
  </w:footnote>
  <w:footnote w:id="81">
    <w:p w:rsidR="004738F3" w:rsidRPr="00DB3350" w:rsidRDefault="004738F3">
      <w:pPr>
        <w:pStyle w:val="Textonotapie"/>
        <w:rPr>
          <w:sz w:val="18"/>
          <w:szCs w:val="18"/>
        </w:rPr>
      </w:pPr>
      <w:r w:rsidRPr="00DB3350">
        <w:rPr>
          <w:rStyle w:val="Refdenotaalpie"/>
          <w:sz w:val="18"/>
          <w:szCs w:val="18"/>
        </w:rPr>
        <w:footnoteRef/>
      </w:r>
      <w:r w:rsidRPr="00DB3350">
        <w:rPr>
          <w:sz w:val="18"/>
          <w:szCs w:val="18"/>
        </w:rPr>
        <w:t xml:space="preserve"> CSJN Fallos: 316:1991</w:t>
      </w:r>
    </w:p>
  </w:footnote>
  <w:footnote w:id="82">
    <w:p w:rsidR="004738F3" w:rsidRPr="00DB3350" w:rsidRDefault="004738F3" w:rsidP="00DB3350">
      <w:pPr>
        <w:pStyle w:val="Textonotapie"/>
        <w:jc w:val="both"/>
        <w:rPr>
          <w:sz w:val="18"/>
          <w:szCs w:val="18"/>
        </w:rPr>
      </w:pPr>
      <w:r w:rsidRPr="00DB3350">
        <w:rPr>
          <w:rStyle w:val="Refdenotaalpie"/>
          <w:sz w:val="18"/>
          <w:szCs w:val="18"/>
        </w:rPr>
        <w:footnoteRef/>
      </w:r>
      <w:r w:rsidRPr="00DB3350">
        <w:rPr>
          <w:sz w:val="18"/>
          <w:szCs w:val="18"/>
        </w:rPr>
        <w:t xml:space="preserve"> AMAYA, JORGE A. </w:t>
      </w:r>
      <w:r w:rsidRPr="00DB3350">
        <w:rPr>
          <w:i/>
          <w:sz w:val="18"/>
          <w:szCs w:val="18"/>
        </w:rPr>
        <w:t>“</w:t>
      </w:r>
      <w:r w:rsidRPr="00DB3350">
        <w:rPr>
          <w:sz w:val="18"/>
          <w:szCs w:val="18"/>
        </w:rPr>
        <w:t xml:space="preserve">El caso </w:t>
      </w:r>
      <w:proofErr w:type="gramStart"/>
      <w:r w:rsidRPr="00DB3350">
        <w:rPr>
          <w:sz w:val="18"/>
          <w:szCs w:val="18"/>
        </w:rPr>
        <w:t>'C.' :</w:t>
      </w:r>
      <w:proofErr w:type="gramEnd"/>
      <w:r w:rsidRPr="00DB3350">
        <w:rPr>
          <w:sz w:val="18"/>
          <w:szCs w:val="18"/>
        </w:rPr>
        <w:t xml:space="preserve">Lecturas constitucionales y procesales constitucionales </w:t>
      </w:r>
      <w:proofErr w:type="spellStart"/>
      <w:r w:rsidRPr="00DB3350">
        <w:rPr>
          <w:sz w:val="18"/>
          <w:szCs w:val="18"/>
        </w:rPr>
        <w:t>Sup</w:t>
      </w:r>
      <w:proofErr w:type="spellEnd"/>
      <w:r w:rsidRPr="00DB3350">
        <w:rPr>
          <w:sz w:val="18"/>
          <w:szCs w:val="18"/>
        </w:rPr>
        <w:t xml:space="preserve">. </w:t>
      </w:r>
      <w:proofErr w:type="spellStart"/>
      <w:r w:rsidRPr="00DB3350">
        <w:rPr>
          <w:sz w:val="18"/>
          <w:szCs w:val="18"/>
        </w:rPr>
        <w:t>Const</w:t>
      </w:r>
      <w:proofErr w:type="spellEnd"/>
      <w:r w:rsidRPr="00DB3350">
        <w:rPr>
          <w:sz w:val="18"/>
          <w:szCs w:val="18"/>
        </w:rPr>
        <w:t>- 2013 (mayo), 48- LA LEY2013-C, 179, TR LALEY AR/DOC/1605/2013</w:t>
      </w:r>
      <w:r w:rsidR="00CA4489" w:rsidRPr="00DB3350">
        <w:rPr>
          <w:sz w:val="18"/>
          <w:szCs w:val="18"/>
        </w:rPr>
        <w:t xml:space="preserve">. No está de más resaltar que esa modalidad no se ha dado solo en esa época. Basta con repasar los votos en las causas SAN LUIS y BUSTOS para advertir que se trata de dos causas donde hubo votos corales y falsa mayoría. Un análisis profundo de dichos votos, que demuestra lo aquí afirmado, puede verse en PICARDO, IVANA, </w:t>
      </w:r>
      <w:r w:rsidR="00CA4489" w:rsidRPr="00DB3350">
        <w:rPr>
          <w:i/>
          <w:sz w:val="18"/>
          <w:szCs w:val="18"/>
        </w:rPr>
        <w:t>Cómo fallan los jueces…</w:t>
      </w:r>
      <w:proofErr w:type="spellStart"/>
      <w:r w:rsidR="00CA4489" w:rsidRPr="00DB3350">
        <w:rPr>
          <w:sz w:val="18"/>
          <w:szCs w:val="18"/>
        </w:rPr>
        <w:t>op</w:t>
      </w:r>
      <w:proofErr w:type="spellEnd"/>
      <w:r w:rsidR="00CA4489" w:rsidRPr="00DB3350">
        <w:rPr>
          <w:sz w:val="18"/>
          <w:szCs w:val="18"/>
        </w:rPr>
        <w:t xml:space="preserve"> </w:t>
      </w:r>
      <w:proofErr w:type="spellStart"/>
      <w:r w:rsidR="00CA4489" w:rsidRPr="00DB3350">
        <w:rPr>
          <w:sz w:val="18"/>
          <w:szCs w:val="18"/>
        </w:rPr>
        <w:t>cit</w:t>
      </w:r>
      <w:proofErr w:type="spellEnd"/>
      <w:r w:rsidR="00CA4489" w:rsidRPr="00DB3350">
        <w:rPr>
          <w:sz w:val="18"/>
          <w:szCs w:val="18"/>
        </w:rPr>
        <w:t xml:space="preserve"> p. 100/130</w:t>
      </w:r>
    </w:p>
  </w:footnote>
  <w:footnote w:id="83">
    <w:p w:rsidR="008E0A96" w:rsidRPr="00DB3350" w:rsidRDefault="008E0A96" w:rsidP="00CA4489">
      <w:pPr>
        <w:pStyle w:val="Textonotapie"/>
        <w:jc w:val="both"/>
        <w:rPr>
          <w:rFonts w:cstheme="minorHAnsi"/>
          <w:sz w:val="18"/>
          <w:szCs w:val="18"/>
        </w:rPr>
      </w:pPr>
      <w:r w:rsidRPr="00DB3350">
        <w:rPr>
          <w:rStyle w:val="Refdenotaalpie"/>
          <w:rFonts w:cstheme="minorHAnsi"/>
          <w:sz w:val="18"/>
          <w:szCs w:val="18"/>
        </w:rPr>
        <w:footnoteRef/>
      </w:r>
      <w:r w:rsidRPr="00DB3350">
        <w:rPr>
          <w:rFonts w:cstheme="minorHAnsi"/>
          <w:sz w:val="18"/>
          <w:szCs w:val="18"/>
        </w:rPr>
        <w:t xml:space="preserve"> Aludiendo a las sentencias dictadas en las causas </w:t>
      </w:r>
      <w:r w:rsidRPr="00DB3350">
        <w:rPr>
          <w:rFonts w:cstheme="minorHAnsi"/>
          <w:bCs/>
          <w:color w:val="000000"/>
          <w:sz w:val="18"/>
          <w:szCs w:val="18"/>
          <w:shd w:val="clear" w:color="auto" w:fill="FFFFFF"/>
        </w:rPr>
        <w:t>“Schiffrin”</w:t>
      </w:r>
      <w:r w:rsidR="00CA4489" w:rsidRPr="00DB3350">
        <w:rPr>
          <w:rFonts w:cstheme="minorHAnsi"/>
          <w:color w:val="000000"/>
          <w:sz w:val="18"/>
          <w:szCs w:val="18"/>
          <w:shd w:val="clear" w:color="auto" w:fill="FFFFFF"/>
        </w:rPr>
        <w:t xml:space="preserve"> (26/03/2017); </w:t>
      </w:r>
      <w:r w:rsidRPr="00DB3350">
        <w:rPr>
          <w:rFonts w:cstheme="minorHAnsi"/>
          <w:bCs/>
          <w:color w:val="000000"/>
          <w:sz w:val="18"/>
          <w:szCs w:val="18"/>
          <w:shd w:val="clear" w:color="auto" w:fill="FFFFFF"/>
        </w:rPr>
        <w:t>“</w:t>
      </w:r>
      <w:proofErr w:type="spellStart"/>
      <w:r w:rsidRPr="00DB3350">
        <w:rPr>
          <w:rFonts w:cstheme="minorHAnsi"/>
          <w:bCs/>
          <w:color w:val="000000"/>
          <w:sz w:val="18"/>
          <w:szCs w:val="18"/>
          <w:shd w:val="clear" w:color="auto" w:fill="FFFFFF"/>
        </w:rPr>
        <w:t>Bignone</w:t>
      </w:r>
      <w:proofErr w:type="spellEnd"/>
      <w:r w:rsidRPr="00DB3350">
        <w:rPr>
          <w:rFonts w:cstheme="minorHAnsi"/>
          <w:bCs/>
          <w:color w:val="000000"/>
          <w:sz w:val="18"/>
          <w:szCs w:val="18"/>
          <w:shd w:val="clear" w:color="auto" w:fill="FFFFFF"/>
        </w:rPr>
        <w:t>”</w:t>
      </w:r>
      <w:r w:rsidR="00CA4489" w:rsidRPr="00DB3350">
        <w:rPr>
          <w:rFonts w:cstheme="minorHAnsi"/>
          <w:color w:val="000000"/>
          <w:sz w:val="18"/>
          <w:szCs w:val="18"/>
          <w:shd w:val="clear" w:color="auto" w:fill="FFFFFF"/>
        </w:rPr>
        <w:t xml:space="preserve"> (03/05/2017)</w:t>
      </w:r>
      <w:r w:rsidR="00CA4489" w:rsidRPr="00DB3350">
        <w:rPr>
          <w:rFonts w:cstheme="minorHAnsi"/>
          <w:bCs/>
          <w:color w:val="000000"/>
          <w:sz w:val="18"/>
          <w:szCs w:val="18"/>
          <w:shd w:val="clear" w:color="auto" w:fill="FFFFFF"/>
        </w:rPr>
        <w:t xml:space="preserve">; </w:t>
      </w:r>
      <w:r w:rsidRPr="00DB3350">
        <w:rPr>
          <w:rFonts w:cstheme="minorHAnsi"/>
          <w:bCs/>
          <w:color w:val="000000"/>
          <w:sz w:val="18"/>
          <w:szCs w:val="18"/>
          <w:shd w:val="clear" w:color="auto" w:fill="FFFFFF"/>
        </w:rPr>
        <w:t>“Castillo”</w:t>
      </w:r>
      <w:r w:rsidR="00CA4489" w:rsidRPr="00DB3350">
        <w:rPr>
          <w:rFonts w:cstheme="minorHAnsi"/>
          <w:bCs/>
          <w:color w:val="000000"/>
          <w:sz w:val="18"/>
          <w:szCs w:val="18"/>
          <w:shd w:val="clear" w:color="auto" w:fill="FFFFFF"/>
        </w:rPr>
        <w:t xml:space="preserve"> (</w:t>
      </w:r>
      <w:r w:rsidR="00CA4489" w:rsidRPr="00DB3350">
        <w:rPr>
          <w:rFonts w:cstheme="minorHAnsi"/>
          <w:color w:val="000000"/>
          <w:sz w:val="18"/>
          <w:szCs w:val="18"/>
          <w:shd w:val="clear" w:color="auto" w:fill="FFFFFF"/>
        </w:rPr>
        <w:t xml:space="preserve">12/12/2017); </w:t>
      </w:r>
      <w:r w:rsidRPr="00DB3350">
        <w:rPr>
          <w:rFonts w:cstheme="minorHAnsi"/>
          <w:bCs/>
          <w:color w:val="000000"/>
          <w:sz w:val="18"/>
          <w:szCs w:val="18"/>
          <w:shd w:val="clear" w:color="auto" w:fill="FFFFFF"/>
        </w:rPr>
        <w:t>“UCR–La Rioja”</w:t>
      </w:r>
      <w:r w:rsidR="00CA4489" w:rsidRPr="00DB3350">
        <w:rPr>
          <w:rFonts w:cstheme="minorHAnsi"/>
          <w:color w:val="000000"/>
          <w:sz w:val="18"/>
          <w:szCs w:val="18"/>
          <w:shd w:val="clear" w:color="auto" w:fill="FFFFFF"/>
        </w:rPr>
        <w:t xml:space="preserve"> (25/01/19); </w:t>
      </w:r>
      <w:r w:rsidRPr="00DB3350">
        <w:rPr>
          <w:rFonts w:cstheme="minorHAnsi"/>
          <w:bCs/>
          <w:color w:val="000000"/>
          <w:sz w:val="18"/>
          <w:szCs w:val="18"/>
          <w:shd w:val="clear" w:color="auto" w:fill="FFFFFF"/>
        </w:rPr>
        <w:t>“</w:t>
      </w:r>
      <w:proofErr w:type="spellStart"/>
      <w:r w:rsidRPr="00DB3350">
        <w:rPr>
          <w:rFonts w:cstheme="minorHAnsi"/>
          <w:bCs/>
          <w:color w:val="000000"/>
          <w:sz w:val="18"/>
          <w:szCs w:val="18"/>
          <w:shd w:val="clear" w:color="auto" w:fill="FFFFFF"/>
        </w:rPr>
        <w:t>Wereltineck</w:t>
      </w:r>
      <w:proofErr w:type="spellEnd"/>
      <w:r w:rsidRPr="00DB3350">
        <w:rPr>
          <w:rFonts w:cstheme="minorHAnsi"/>
          <w:bCs/>
          <w:color w:val="000000"/>
          <w:sz w:val="18"/>
          <w:szCs w:val="18"/>
          <w:shd w:val="clear" w:color="auto" w:fill="FFFFFF"/>
        </w:rPr>
        <w:t>”</w:t>
      </w:r>
      <w:r w:rsidR="00CA4489" w:rsidRPr="00DB3350">
        <w:rPr>
          <w:rFonts w:cstheme="minorHAnsi"/>
          <w:bCs/>
          <w:color w:val="000000"/>
          <w:sz w:val="18"/>
          <w:szCs w:val="18"/>
          <w:shd w:val="clear" w:color="auto" w:fill="FFFFFF"/>
        </w:rPr>
        <w:t xml:space="preserve">; </w:t>
      </w:r>
      <w:r w:rsidRPr="00DB3350">
        <w:rPr>
          <w:rFonts w:cstheme="minorHAnsi"/>
          <w:bCs/>
          <w:color w:val="000000"/>
          <w:sz w:val="18"/>
          <w:szCs w:val="18"/>
          <w:shd w:val="clear" w:color="auto" w:fill="FFFFFF"/>
        </w:rPr>
        <w:t>“</w:t>
      </w:r>
      <w:proofErr w:type="spellStart"/>
      <w:r w:rsidRPr="00DB3350">
        <w:rPr>
          <w:rFonts w:cstheme="minorHAnsi"/>
          <w:bCs/>
          <w:color w:val="000000"/>
          <w:sz w:val="18"/>
          <w:szCs w:val="18"/>
          <w:shd w:val="clear" w:color="auto" w:fill="FFFFFF"/>
        </w:rPr>
        <w:t>Acumar</w:t>
      </w:r>
      <w:proofErr w:type="spellEnd"/>
      <w:r w:rsidRPr="00DB3350">
        <w:rPr>
          <w:rFonts w:cstheme="minorHAnsi"/>
          <w:bCs/>
          <w:color w:val="000000"/>
          <w:sz w:val="18"/>
          <w:szCs w:val="18"/>
          <w:shd w:val="clear" w:color="auto" w:fill="FFFFFF"/>
        </w:rPr>
        <w:t>”</w:t>
      </w:r>
      <w:r w:rsidR="00CA4489" w:rsidRPr="00DB3350">
        <w:rPr>
          <w:rFonts w:cstheme="minorHAnsi"/>
          <w:color w:val="000000"/>
          <w:sz w:val="18"/>
          <w:szCs w:val="18"/>
          <w:shd w:val="clear" w:color="auto" w:fill="FFFFFF"/>
        </w:rPr>
        <w:t xml:space="preserve"> (28/05/19);</w:t>
      </w:r>
      <w:r w:rsidRPr="00DB3350">
        <w:rPr>
          <w:rFonts w:cstheme="minorHAnsi"/>
          <w:bCs/>
          <w:color w:val="000000"/>
          <w:sz w:val="18"/>
          <w:szCs w:val="18"/>
          <w:shd w:val="clear" w:color="auto" w:fill="FFFFFF"/>
        </w:rPr>
        <w:t xml:space="preserve"> “Entre Ríos”</w:t>
      </w:r>
      <w:r w:rsidR="00CA4489" w:rsidRPr="00DB3350">
        <w:rPr>
          <w:rFonts w:cstheme="minorHAnsi"/>
          <w:color w:val="000000"/>
          <w:sz w:val="18"/>
          <w:szCs w:val="18"/>
          <w:shd w:val="clear" w:color="auto" w:fill="FFFFFF"/>
        </w:rPr>
        <w:t xml:space="preserve"> (01/10/19); </w:t>
      </w:r>
      <w:r w:rsidRPr="00DB3350">
        <w:rPr>
          <w:rFonts w:cstheme="minorHAnsi"/>
          <w:bCs/>
          <w:color w:val="000000"/>
          <w:sz w:val="18"/>
          <w:szCs w:val="18"/>
          <w:shd w:val="clear" w:color="auto" w:fill="FFFFFF"/>
        </w:rPr>
        <w:t xml:space="preserve"> “Martínez de Sucre”</w:t>
      </w:r>
      <w:r w:rsidR="00CA4489" w:rsidRPr="00DB3350">
        <w:rPr>
          <w:rFonts w:cstheme="minorHAnsi"/>
          <w:bCs/>
          <w:color w:val="000000"/>
          <w:sz w:val="18"/>
          <w:szCs w:val="18"/>
          <w:shd w:val="clear" w:color="auto" w:fill="FFFFFF"/>
        </w:rPr>
        <w:t xml:space="preserve"> (29/10/19); “GCBA–Clases presenciales” (0</w:t>
      </w:r>
      <w:r w:rsidR="00CA4489" w:rsidRPr="00DB3350">
        <w:rPr>
          <w:rFonts w:cstheme="minorHAnsi"/>
          <w:color w:val="000000"/>
          <w:sz w:val="18"/>
          <w:szCs w:val="18"/>
          <w:shd w:val="clear" w:color="auto" w:fill="FFFFFF"/>
        </w:rPr>
        <w:t xml:space="preserve">4/05/21); </w:t>
      </w:r>
      <w:r w:rsidRPr="00DB3350">
        <w:rPr>
          <w:rFonts w:cstheme="minorHAnsi"/>
          <w:bCs/>
          <w:color w:val="000000"/>
          <w:sz w:val="18"/>
          <w:szCs w:val="18"/>
          <w:shd w:val="clear" w:color="auto" w:fill="FFFFFF"/>
        </w:rPr>
        <w:t>“Arroyito”</w:t>
      </w:r>
      <w:r w:rsidR="00CA4489" w:rsidRPr="00DB3350">
        <w:rPr>
          <w:rFonts w:cstheme="minorHAnsi"/>
          <w:color w:val="000000"/>
          <w:sz w:val="18"/>
          <w:szCs w:val="18"/>
          <w:shd w:val="clear" w:color="auto" w:fill="FFFFFF"/>
        </w:rPr>
        <w:t xml:space="preserve"> (20/05/21); “</w:t>
      </w:r>
      <w:r w:rsidRPr="00DB3350">
        <w:rPr>
          <w:rFonts w:cstheme="minorHAnsi"/>
          <w:bCs/>
          <w:color w:val="000000"/>
          <w:sz w:val="18"/>
          <w:szCs w:val="18"/>
          <w:shd w:val="clear" w:color="auto" w:fill="FFFFFF"/>
        </w:rPr>
        <w:t>Valeria Mazza”</w:t>
      </w:r>
      <w:r w:rsidR="00CA4489" w:rsidRPr="00DB3350">
        <w:rPr>
          <w:rFonts w:cstheme="minorHAnsi"/>
          <w:color w:val="000000"/>
          <w:sz w:val="18"/>
          <w:szCs w:val="18"/>
          <w:shd w:val="clear" w:color="auto" w:fill="FFFFFF"/>
        </w:rPr>
        <w:t xml:space="preserve"> (24/06/21)</w:t>
      </w:r>
    </w:p>
  </w:footnote>
  <w:footnote w:id="84">
    <w:p w:rsidR="00CA4489" w:rsidRPr="00DB3350" w:rsidRDefault="00CA4489" w:rsidP="0051334B">
      <w:pPr>
        <w:pStyle w:val="Textonotapie"/>
        <w:jc w:val="both"/>
        <w:rPr>
          <w:sz w:val="18"/>
          <w:szCs w:val="18"/>
        </w:rPr>
      </w:pPr>
      <w:r w:rsidRPr="00DB3350">
        <w:rPr>
          <w:rStyle w:val="Refdenotaalpie"/>
          <w:sz w:val="18"/>
          <w:szCs w:val="18"/>
        </w:rPr>
        <w:footnoteRef/>
      </w:r>
      <w:r w:rsidRPr="00DB3350">
        <w:rPr>
          <w:sz w:val="18"/>
          <w:szCs w:val="18"/>
        </w:rPr>
        <w:t xml:space="preserve"> AMAYA, JORGE A. </w:t>
      </w:r>
      <w:r w:rsidRPr="00DB3350">
        <w:rPr>
          <w:i/>
          <w:sz w:val="18"/>
          <w:szCs w:val="18"/>
        </w:rPr>
        <w:t xml:space="preserve">La difícil formación de consensos en la Corte Suprema. Un análisis de algunos casos de los últimos cinco años de su jurisprudencia,  </w:t>
      </w:r>
      <w:r w:rsidRPr="00DB3350">
        <w:rPr>
          <w:sz w:val="18"/>
          <w:szCs w:val="18"/>
        </w:rPr>
        <w:t>El Derecho-Constitucional, Noviembre 2021-Nro 11, ED-II-CXLVI-697)</w:t>
      </w:r>
    </w:p>
  </w:footnote>
  <w:footnote w:id="85">
    <w:p w:rsidR="00CA4489" w:rsidRPr="00DB3350" w:rsidRDefault="00CA4489">
      <w:pPr>
        <w:pStyle w:val="Textonotapie"/>
        <w:rPr>
          <w:sz w:val="18"/>
          <w:szCs w:val="18"/>
        </w:rPr>
      </w:pPr>
      <w:r w:rsidRPr="00DB3350">
        <w:rPr>
          <w:rStyle w:val="Refdenotaalpie"/>
          <w:sz w:val="18"/>
          <w:szCs w:val="18"/>
        </w:rPr>
        <w:footnoteRef/>
      </w:r>
      <w:r w:rsidRPr="00DB3350">
        <w:rPr>
          <w:sz w:val="18"/>
          <w:szCs w:val="18"/>
        </w:rPr>
        <w:t xml:space="preserve"> </w:t>
      </w:r>
      <w:proofErr w:type="spellStart"/>
      <w:r w:rsidRPr="00DB3350">
        <w:rPr>
          <w:sz w:val="18"/>
          <w:szCs w:val="18"/>
        </w:rPr>
        <w:t>Ibidem</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B652E"/>
    <w:multiLevelType w:val="hybridMultilevel"/>
    <w:tmpl w:val="709EB5A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0E04D7"/>
    <w:multiLevelType w:val="hybridMultilevel"/>
    <w:tmpl w:val="501EFD7C"/>
    <w:lvl w:ilvl="0" w:tplc="8DAA37CE">
      <w:start w:val="1"/>
      <w:numFmt w:val="lowerLetter"/>
      <w:lvlText w:val="%1)"/>
      <w:lvlJc w:val="left"/>
      <w:pPr>
        <w:ind w:left="1068" w:hanging="360"/>
      </w:pPr>
      <w:rPr>
        <w:rFonts w:hint="default"/>
        <w:i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15:restartNumberingAfterBreak="0">
    <w:nsid w:val="3B597D5F"/>
    <w:multiLevelType w:val="hybridMultilevel"/>
    <w:tmpl w:val="F73424C6"/>
    <w:lvl w:ilvl="0" w:tplc="C48EF094">
      <w:start w:val="1"/>
      <w:numFmt w:val="upperRoman"/>
      <w:lvlText w:val="%1."/>
      <w:lvlJc w:val="left"/>
      <w:pPr>
        <w:ind w:left="2141" w:hanging="720"/>
      </w:pPr>
      <w:rPr>
        <w:rFonts w:hint="default"/>
      </w:rPr>
    </w:lvl>
    <w:lvl w:ilvl="1" w:tplc="0C0A0019" w:tentative="1">
      <w:start w:val="1"/>
      <w:numFmt w:val="lowerLetter"/>
      <w:lvlText w:val="%2."/>
      <w:lvlJc w:val="left"/>
      <w:pPr>
        <w:ind w:left="2501" w:hanging="360"/>
      </w:pPr>
    </w:lvl>
    <w:lvl w:ilvl="2" w:tplc="0C0A001B" w:tentative="1">
      <w:start w:val="1"/>
      <w:numFmt w:val="lowerRoman"/>
      <w:lvlText w:val="%3."/>
      <w:lvlJc w:val="right"/>
      <w:pPr>
        <w:ind w:left="3221" w:hanging="180"/>
      </w:pPr>
    </w:lvl>
    <w:lvl w:ilvl="3" w:tplc="0C0A000F" w:tentative="1">
      <w:start w:val="1"/>
      <w:numFmt w:val="decimal"/>
      <w:lvlText w:val="%4."/>
      <w:lvlJc w:val="left"/>
      <w:pPr>
        <w:ind w:left="3941" w:hanging="360"/>
      </w:pPr>
    </w:lvl>
    <w:lvl w:ilvl="4" w:tplc="0C0A0019" w:tentative="1">
      <w:start w:val="1"/>
      <w:numFmt w:val="lowerLetter"/>
      <w:lvlText w:val="%5."/>
      <w:lvlJc w:val="left"/>
      <w:pPr>
        <w:ind w:left="4661" w:hanging="360"/>
      </w:pPr>
    </w:lvl>
    <w:lvl w:ilvl="5" w:tplc="0C0A001B" w:tentative="1">
      <w:start w:val="1"/>
      <w:numFmt w:val="lowerRoman"/>
      <w:lvlText w:val="%6."/>
      <w:lvlJc w:val="right"/>
      <w:pPr>
        <w:ind w:left="5381" w:hanging="180"/>
      </w:pPr>
    </w:lvl>
    <w:lvl w:ilvl="6" w:tplc="0C0A000F" w:tentative="1">
      <w:start w:val="1"/>
      <w:numFmt w:val="decimal"/>
      <w:lvlText w:val="%7."/>
      <w:lvlJc w:val="left"/>
      <w:pPr>
        <w:ind w:left="6101" w:hanging="360"/>
      </w:pPr>
    </w:lvl>
    <w:lvl w:ilvl="7" w:tplc="0C0A0019" w:tentative="1">
      <w:start w:val="1"/>
      <w:numFmt w:val="lowerLetter"/>
      <w:lvlText w:val="%8."/>
      <w:lvlJc w:val="left"/>
      <w:pPr>
        <w:ind w:left="6821" w:hanging="360"/>
      </w:pPr>
    </w:lvl>
    <w:lvl w:ilvl="8" w:tplc="0C0A001B" w:tentative="1">
      <w:start w:val="1"/>
      <w:numFmt w:val="lowerRoman"/>
      <w:lvlText w:val="%9."/>
      <w:lvlJc w:val="right"/>
      <w:pPr>
        <w:ind w:left="7541" w:hanging="180"/>
      </w:pPr>
    </w:lvl>
  </w:abstractNum>
  <w:abstractNum w:abstractNumId="3" w15:restartNumberingAfterBreak="0">
    <w:nsid w:val="3DA641BD"/>
    <w:multiLevelType w:val="multilevel"/>
    <w:tmpl w:val="4AD67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9D64B2"/>
    <w:multiLevelType w:val="hybridMultilevel"/>
    <w:tmpl w:val="1130BBAE"/>
    <w:lvl w:ilvl="0" w:tplc="A2FAD976">
      <w:start w:val="1"/>
      <w:numFmt w:val="lowerLetter"/>
      <w:lvlText w:val="%1)"/>
      <w:lvlJc w:val="left"/>
      <w:pPr>
        <w:ind w:left="1068" w:hanging="360"/>
      </w:pPr>
      <w:rPr>
        <w:rFonts w:hint="default"/>
        <w:i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 w15:restartNumberingAfterBreak="0">
    <w:nsid w:val="475E258F"/>
    <w:multiLevelType w:val="multilevel"/>
    <w:tmpl w:val="45845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E46DA2"/>
    <w:multiLevelType w:val="multilevel"/>
    <w:tmpl w:val="43C8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17725D"/>
    <w:multiLevelType w:val="hybridMultilevel"/>
    <w:tmpl w:val="1D8E2B28"/>
    <w:lvl w:ilvl="0" w:tplc="C4543CAC">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0"/>
  </w:num>
  <w:num w:numId="2">
    <w:abstractNumId w:val="2"/>
  </w:num>
  <w:num w:numId="3">
    <w:abstractNumId w:val="1"/>
  </w:num>
  <w:num w:numId="4">
    <w:abstractNumId w:val="7"/>
  </w:num>
  <w:num w:numId="5">
    <w:abstractNumId w:val="4"/>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993"/>
    <w:rsid w:val="00023A8F"/>
    <w:rsid w:val="00033CBF"/>
    <w:rsid w:val="0003525A"/>
    <w:rsid w:val="000352DA"/>
    <w:rsid w:val="000353ED"/>
    <w:rsid w:val="00035B02"/>
    <w:rsid w:val="000922F8"/>
    <w:rsid w:val="000B547A"/>
    <w:rsid w:val="000E5DF3"/>
    <w:rsid w:val="00104D9A"/>
    <w:rsid w:val="00120060"/>
    <w:rsid w:val="00191C18"/>
    <w:rsid w:val="001A02FD"/>
    <w:rsid w:val="001A0FD4"/>
    <w:rsid w:val="001A3396"/>
    <w:rsid w:val="002622A6"/>
    <w:rsid w:val="0027126D"/>
    <w:rsid w:val="00275F28"/>
    <w:rsid w:val="00277F1C"/>
    <w:rsid w:val="002C596A"/>
    <w:rsid w:val="00340FF8"/>
    <w:rsid w:val="0035058B"/>
    <w:rsid w:val="0036544E"/>
    <w:rsid w:val="00380472"/>
    <w:rsid w:val="00400FF6"/>
    <w:rsid w:val="004612C5"/>
    <w:rsid w:val="004658E0"/>
    <w:rsid w:val="004738F3"/>
    <w:rsid w:val="00477568"/>
    <w:rsid w:val="0051334B"/>
    <w:rsid w:val="005277F9"/>
    <w:rsid w:val="005349C2"/>
    <w:rsid w:val="00580562"/>
    <w:rsid w:val="005B3A7D"/>
    <w:rsid w:val="005B51E7"/>
    <w:rsid w:val="005B6527"/>
    <w:rsid w:val="005C440C"/>
    <w:rsid w:val="005C6293"/>
    <w:rsid w:val="005D6D04"/>
    <w:rsid w:val="005E0A9F"/>
    <w:rsid w:val="006010F7"/>
    <w:rsid w:val="0064769A"/>
    <w:rsid w:val="00687C6C"/>
    <w:rsid w:val="00695993"/>
    <w:rsid w:val="006975E9"/>
    <w:rsid w:val="006C6B92"/>
    <w:rsid w:val="006D35E8"/>
    <w:rsid w:val="006E67A5"/>
    <w:rsid w:val="00736411"/>
    <w:rsid w:val="00777D6F"/>
    <w:rsid w:val="00790D5E"/>
    <w:rsid w:val="007B1E4D"/>
    <w:rsid w:val="007C0929"/>
    <w:rsid w:val="007D1472"/>
    <w:rsid w:val="008050BB"/>
    <w:rsid w:val="00836431"/>
    <w:rsid w:val="0085443E"/>
    <w:rsid w:val="008561FC"/>
    <w:rsid w:val="0086340C"/>
    <w:rsid w:val="00867C58"/>
    <w:rsid w:val="008B13DD"/>
    <w:rsid w:val="008E0A96"/>
    <w:rsid w:val="008E1D05"/>
    <w:rsid w:val="0091149B"/>
    <w:rsid w:val="00913BEC"/>
    <w:rsid w:val="00951E74"/>
    <w:rsid w:val="00985CFD"/>
    <w:rsid w:val="009B3FCD"/>
    <w:rsid w:val="009C1962"/>
    <w:rsid w:val="009E2A0F"/>
    <w:rsid w:val="009F6D53"/>
    <w:rsid w:val="00A2655D"/>
    <w:rsid w:val="00A43C18"/>
    <w:rsid w:val="00A46833"/>
    <w:rsid w:val="00A73B22"/>
    <w:rsid w:val="00A94363"/>
    <w:rsid w:val="00A96917"/>
    <w:rsid w:val="00B073B9"/>
    <w:rsid w:val="00B21042"/>
    <w:rsid w:val="00B311CC"/>
    <w:rsid w:val="00B471ED"/>
    <w:rsid w:val="00B56980"/>
    <w:rsid w:val="00B7203A"/>
    <w:rsid w:val="00B90A87"/>
    <w:rsid w:val="00BB17A0"/>
    <w:rsid w:val="00BE36C5"/>
    <w:rsid w:val="00C01C08"/>
    <w:rsid w:val="00C04DF2"/>
    <w:rsid w:val="00C11857"/>
    <w:rsid w:val="00C20E6D"/>
    <w:rsid w:val="00C609C4"/>
    <w:rsid w:val="00C876D9"/>
    <w:rsid w:val="00CA4489"/>
    <w:rsid w:val="00CB079D"/>
    <w:rsid w:val="00CC7C85"/>
    <w:rsid w:val="00CE22FB"/>
    <w:rsid w:val="00CF3012"/>
    <w:rsid w:val="00D201AE"/>
    <w:rsid w:val="00D342DD"/>
    <w:rsid w:val="00D53417"/>
    <w:rsid w:val="00D71577"/>
    <w:rsid w:val="00D83BE3"/>
    <w:rsid w:val="00D86276"/>
    <w:rsid w:val="00DA3741"/>
    <w:rsid w:val="00DB3350"/>
    <w:rsid w:val="00DB437F"/>
    <w:rsid w:val="00E20217"/>
    <w:rsid w:val="00E23910"/>
    <w:rsid w:val="00E325ED"/>
    <w:rsid w:val="00E72D4C"/>
    <w:rsid w:val="00EB0E28"/>
    <w:rsid w:val="00EB58DB"/>
    <w:rsid w:val="00EE4719"/>
    <w:rsid w:val="00EE4BA1"/>
    <w:rsid w:val="00F0228E"/>
    <w:rsid w:val="00F26158"/>
    <w:rsid w:val="00F31841"/>
    <w:rsid w:val="00F3523F"/>
    <w:rsid w:val="00FA1159"/>
    <w:rsid w:val="00FA7DCF"/>
    <w:rsid w:val="00FB4F97"/>
    <w:rsid w:val="00FE36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799B96-22F2-4C6B-817E-A41F0C95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72D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unhideWhenUsed/>
    <w:qFormat/>
    <w:rsid w:val="00EB58D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A Fu,Footnote reference,Footnote Text Char Char Char Char Char,Footnote Text Char Char Char Char,footnote text,Footnote Text Char Char Char Car Car,Footnote Text Char Char Char Ca,Car,Footnote Text Char Char Char,Footnote Text Cha"/>
    <w:basedOn w:val="Normal"/>
    <w:link w:val="TextonotapieCar"/>
    <w:uiPriority w:val="99"/>
    <w:unhideWhenUsed/>
    <w:rsid w:val="00CF3012"/>
    <w:pPr>
      <w:spacing w:after="0" w:line="240" w:lineRule="auto"/>
    </w:pPr>
    <w:rPr>
      <w:sz w:val="20"/>
      <w:szCs w:val="20"/>
    </w:rPr>
  </w:style>
  <w:style w:type="character" w:customStyle="1" w:styleId="TextonotapieCar">
    <w:name w:val="Texto nota pie Car"/>
    <w:aliases w:val="FA Fu Car,Footnote reference Car,Footnote Text Char Char Char Char Char Car,Footnote Text Char Char Char Char Car,footnote text Car,Footnote Text Char Char Char Car Car Car,Footnote Text Char Char Char Ca Car,Car Car"/>
    <w:basedOn w:val="Fuentedeprrafopredeter"/>
    <w:link w:val="Textonotapie"/>
    <w:uiPriority w:val="99"/>
    <w:rsid w:val="00CF3012"/>
    <w:rPr>
      <w:sz w:val="20"/>
      <w:szCs w:val="20"/>
    </w:rPr>
  </w:style>
  <w:style w:type="character" w:styleId="Refdenotaalpie">
    <w:name w:val="footnote reference"/>
    <w:basedOn w:val="Fuentedeprrafopredeter"/>
    <w:uiPriority w:val="99"/>
    <w:semiHidden/>
    <w:unhideWhenUsed/>
    <w:rsid w:val="00CF3012"/>
    <w:rPr>
      <w:vertAlign w:val="superscript"/>
    </w:rPr>
  </w:style>
  <w:style w:type="paragraph" w:styleId="Prrafodelista">
    <w:name w:val="List Paragraph"/>
    <w:basedOn w:val="Normal"/>
    <w:uiPriority w:val="34"/>
    <w:qFormat/>
    <w:rsid w:val="006975E9"/>
    <w:pPr>
      <w:ind w:left="720"/>
      <w:contextualSpacing/>
    </w:pPr>
  </w:style>
  <w:style w:type="character" w:customStyle="1" w:styleId="Ttulo3Car">
    <w:name w:val="Título 3 Car"/>
    <w:basedOn w:val="Fuentedeprrafopredeter"/>
    <w:link w:val="Ttulo3"/>
    <w:uiPriority w:val="9"/>
    <w:rsid w:val="00EB58DB"/>
    <w:rPr>
      <w:rFonts w:asciiTheme="majorHAnsi" w:eastAsiaTheme="majorEastAsia" w:hAnsiTheme="majorHAnsi" w:cstheme="majorBidi"/>
      <w:color w:val="1F4D78" w:themeColor="accent1" w:themeShade="7F"/>
      <w:sz w:val="24"/>
      <w:szCs w:val="24"/>
    </w:rPr>
  </w:style>
  <w:style w:type="character" w:styleId="Hipervnculo">
    <w:name w:val="Hyperlink"/>
    <w:basedOn w:val="Fuentedeprrafopredeter"/>
    <w:uiPriority w:val="99"/>
    <w:unhideWhenUsed/>
    <w:rsid w:val="00E72D4C"/>
    <w:rPr>
      <w:color w:val="0000FF"/>
      <w:u w:val="single"/>
    </w:rPr>
  </w:style>
  <w:style w:type="character" w:customStyle="1" w:styleId="Ttulo1Car">
    <w:name w:val="Título 1 Car"/>
    <w:basedOn w:val="Fuentedeprrafopredeter"/>
    <w:link w:val="Ttulo1"/>
    <w:uiPriority w:val="9"/>
    <w:rsid w:val="00E72D4C"/>
    <w:rPr>
      <w:rFonts w:asciiTheme="majorHAnsi" w:eastAsiaTheme="majorEastAsia" w:hAnsiTheme="majorHAnsi" w:cstheme="majorBidi"/>
      <w:color w:val="2E74B5" w:themeColor="accent1" w:themeShade="BF"/>
      <w:sz w:val="32"/>
      <w:szCs w:val="32"/>
    </w:rPr>
  </w:style>
  <w:style w:type="character" w:styleId="nfasis">
    <w:name w:val="Emphasis"/>
    <w:basedOn w:val="Fuentedeprrafopredeter"/>
    <w:uiPriority w:val="20"/>
    <w:qFormat/>
    <w:rsid w:val="008E1D05"/>
    <w:rPr>
      <w:i/>
      <w:iCs/>
    </w:rPr>
  </w:style>
  <w:style w:type="paragraph" w:styleId="NormalWeb">
    <w:name w:val="Normal (Web)"/>
    <w:basedOn w:val="Normal"/>
    <w:uiPriority w:val="99"/>
    <w:unhideWhenUsed/>
    <w:rsid w:val="005B3A7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5B3A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11540">
      <w:bodyDiv w:val="1"/>
      <w:marLeft w:val="0"/>
      <w:marRight w:val="0"/>
      <w:marTop w:val="0"/>
      <w:marBottom w:val="0"/>
      <w:divBdr>
        <w:top w:val="none" w:sz="0" w:space="0" w:color="auto"/>
        <w:left w:val="none" w:sz="0" w:space="0" w:color="auto"/>
        <w:bottom w:val="none" w:sz="0" w:space="0" w:color="auto"/>
        <w:right w:val="none" w:sz="0" w:space="0" w:color="auto"/>
      </w:divBdr>
    </w:div>
    <w:div w:id="89545913">
      <w:bodyDiv w:val="1"/>
      <w:marLeft w:val="0"/>
      <w:marRight w:val="0"/>
      <w:marTop w:val="0"/>
      <w:marBottom w:val="0"/>
      <w:divBdr>
        <w:top w:val="none" w:sz="0" w:space="0" w:color="auto"/>
        <w:left w:val="none" w:sz="0" w:space="0" w:color="auto"/>
        <w:bottom w:val="none" w:sz="0" w:space="0" w:color="auto"/>
        <w:right w:val="none" w:sz="0" w:space="0" w:color="auto"/>
      </w:divBdr>
    </w:div>
    <w:div w:id="435251246">
      <w:bodyDiv w:val="1"/>
      <w:marLeft w:val="0"/>
      <w:marRight w:val="0"/>
      <w:marTop w:val="0"/>
      <w:marBottom w:val="0"/>
      <w:divBdr>
        <w:top w:val="none" w:sz="0" w:space="0" w:color="auto"/>
        <w:left w:val="none" w:sz="0" w:space="0" w:color="auto"/>
        <w:bottom w:val="none" w:sz="0" w:space="0" w:color="auto"/>
        <w:right w:val="none" w:sz="0" w:space="0" w:color="auto"/>
      </w:divBdr>
    </w:div>
    <w:div w:id="481502010">
      <w:bodyDiv w:val="1"/>
      <w:marLeft w:val="0"/>
      <w:marRight w:val="0"/>
      <w:marTop w:val="0"/>
      <w:marBottom w:val="0"/>
      <w:divBdr>
        <w:top w:val="none" w:sz="0" w:space="0" w:color="auto"/>
        <w:left w:val="none" w:sz="0" w:space="0" w:color="auto"/>
        <w:bottom w:val="none" w:sz="0" w:space="0" w:color="auto"/>
        <w:right w:val="none" w:sz="0" w:space="0" w:color="auto"/>
      </w:divBdr>
      <w:divsChild>
        <w:div w:id="1505978613">
          <w:marLeft w:val="0"/>
          <w:marRight w:val="0"/>
          <w:marTop w:val="195"/>
          <w:marBottom w:val="195"/>
          <w:divBdr>
            <w:top w:val="single" w:sz="6" w:space="0" w:color="CCCCCC"/>
            <w:left w:val="single" w:sz="6" w:space="0" w:color="CCCCCC"/>
            <w:bottom w:val="single" w:sz="6" w:space="0" w:color="CCCCCC"/>
            <w:right w:val="single" w:sz="6" w:space="0" w:color="CCCCCC"/>
          </w:divBdr>
          <w:divsChild>
            <w:div w:id="1674410755">
              <w:marLeft w:val="0"/>
              <w:marRight w:val="0"/>
              <w:marTop w:val="0"/>
              <w:marBottom w:val="0"/>
              <w:divBdr>
                <w:top w:val="none" w:sz="0" w:space="0" w:color="auto"/>
                <w:left w:val="none" w:sz="0" w:space="0" w:color="auto"/>
                <w:bottom w:val="none" w:sz="0" w:space="0" w:color="auto"/>
                <w:right w:val="none" w:sz="0" w:space="0" w:color="auto"/>
              </w:divBdr>
              <w:divsChild>
                <w:div w:id="712970294">
                  <w:marLeft w:val="0"/>
                  <w:marRight w:val="0"/>
                  <w:marTop w:val="0"/>
                  <w:marBottom w:val="0"/>
                  <w:divBdr>
                    <w:top w:val="none" w:sz="0" w:space="0" w:color="auto"/>
                    <w:left w:val="none" w:sz="0" w:space="0" w:color="auto"/>
                    <w:bottom w:val="none" w:sz="0" w:space="0" w:color="auto"/>
                    <w:right w:val="none" w:sz="0" w:space="0" w:color="auto"/>
                  </w:divBdr>
                  <w:divsChild>
                    <w:div w:id="1977097716">
                      <w:marLeft w:val="0"/>
                      <w:marRight w:val="0"/>
                      <w:marTop w:val="0"/>
                      <w:marBottom w:val="0"/>
                      <w:divBdr>
                        <w:top w:val="none" w:sz="0" w:space="0" w:color="auto"/>
                        <w:left w:val="none" w:sz="0" w:space="0" w:color="auto"/>
                        <w:bottom w:val="none" w:sz="0" w:space="0" w:color="auto"/>
                        <w:right w:val="none" w:sz="0" w:space="0" w:color="auto"/>
                      </w:divBdr>
                    </w:div>
                    <w:div w:id="499278070">
                      <w:marLeft w:val="0"/>
                      <w:marRight w:val="0"/>
                      <w:marTop w:val="0"/>
                      <w:marBottom w:val="0"/>
                      <w:divBdr>
                        <w:top w:val="none" w:sz="0" w:space="0" w:color="auto"/>
                        <w:left w:val="none" w:sz="0" w:space="0" w:color="auto"/>
                        <w:bottom w:val="none" w:sz="0" w:space="0" w:color="auto"/>
                        <w:right w:val="none" w:sz="0" w:space="0" w:color="auto"/>
                      </w:divBdr>
                    </w:div>
                    <w:div w:id="1819418685">
                      <w:marLeft w:val="0"/>
                      <w:marRight w:val="0"/>
                      <w:marTop w:val="0"/>
                      <w:marBottom w:val="0"/>
                      <w:divBdr>
                        <w:top w:val="none" w:sz="0" w:space="0" w:color="auto"/>
                        <w:left w:val="none" w:sz="0" w:space="0" w:color="auto"/>
                        <w:bottom w:val="none" w:sz="0" w:space="0" w:color="auto"/>
                        <w:right w:val="none" w:sz="0" w:space="0" w:color="auto"/>
                      </w:divBdr>
                    </w:div>
                    <w:div w:id="1182627001">
                      <w:marLeft w:val="0"/>
                      <w:marRight w:val="0"/>
                      <w:marTop w:val="0"/>
                      <w:marBottom w:val="0"/>
                      <w:divBdr>
                        <w:top w:val="none" w:sz="0" w:space="0" w:color="auto"/>
                        <w:left w:val="none" w:sz="0" w:space="0" w:color="auto"/>
                        <w:bottom w:val="none" w:sz="0" w:space="0" w:color="auto"/>
                        <w:right w:val="none" w:sz="0" w:space="0" w:color="auto"/>
                      </w:divBdr>
                    </w:div>
                    <w:div w:id="41247143">
                      <w:marLeft w:val="0"/>
                      <w:marRight w:val="0"/>
                      <w:marTop w:val="0"/>
                      <w:marBottom w:val="0"/>
                      <w:divBdr>
                        <w:top w:val="none" w:sz="0" w:space="0" w:color="auto"/>
                        <w:left w:val="none" w:sz="0" w:space="0" w:color="auto"/>
                        <w:bottom w:val="none" w:sz="0" w:space="0" w:color="auto"/>
                        <w:right w:val="none" w:sz="0" w:space="0" w:color="auto"/>
                      </w:divBdr>
                    </w:div>
                    <w:div w:id="1978411450">
                      <w:marLeft w:val="0"/>
                      <w:marRight w:val="0"/>
                      <w:marTop w:val="0"/>
                      <w:marBottom w:val="0"/>
                      <w:divBdr>
                        <w:top w:val="none" w:sz="0" w:space="0" w:color="auto"/>
                        <w:left w:val="none" w:sz="0" w:space="0" w:color="auto"/>
                        <w:bottom w:val="none" w:sz="0" w:space="0" w:color="auto"/>
                        <w:right w:val="none" w:sz="0" w:space="0" w:color="auto"/>
                      </w:divBdr>
                    </w:div>
                    <w:div w:id="1609773536">
                      <w:marLeft w:val="0"/>
                      <w:marRight w:val="0"/>
                      <w:marTop w:val="0"/>
                      <w:marBottom w:val="0"/>
                      <w:divBdr>
                        <w:top w:val="none" w:sz="0" w:space="0" w:color="auto"/>
                        <w:left w:val="none" w:sz="0" w:space="0" w:color="auto"/>
                        <w:bottom w:val="none" w:sz="0" w:space="0" w:color="auto"/>
                        <w:right w:val="none" w:sz="0" w:space="0" w:color="auto"/>
                      </w:divBdr>
                    </w:div>
                    <w:div w:id="57020989">
                      <w:marLeft w:val="0"/>
                      <w:marRight w:val="0"/>
                      <w:marTop w:val="0"/>
                      <w:marBottom w:val="0"/>
                      <w:divBdr>
                        <w:top w:val="none" w:sz="0" w:space="0" w:color="auto"/>
                        <w:left w:val="none" w:sz="0" w:space="0" w:color="auto"/>
                        <w:bottom w:val="none" w:sz="0" w:space="0" w:color="auto"/>
                        <w:right w:val="none" w:sz="0" w:space="0" w:color="auto"/>
                      </w:divBdr>
                    </w:div>
                    <w:div w:id="813839979">
                      <w:marLeft w:val="0"/>
                      <w:marRight w:val="0"/>
                      <w:marTop w:val="0"/>
                      <w:marBottom w:val="0"/>
                      <w:divBdr>
                        <w:top w:val="none" w:sz="0" w:space="0" w:color="auto"/>
                        <w:left w:val="none" w:sz="0" w:space="0" w:color="auto"/>
                        <w:bottom w:val="none" w:sz="0" w:space="0" w:color="auto"/>
                        <w:right w:val="none" w:sz="0" w:space="0" w:color="auto"/>
                      </w:divBdr>
                    </w:div>
                    <w:div w:id="875193548">
                      <w:marLeft w:val="0"/>
                      <w:marRight w:val="0"/>
                      <w:marTop w:val="0"/>
                      <w:marBottom w:val="0"/>
                      <w:divBdr>
                        <w:top w:val="none" w:sz="0" w:space="0" w:color="auto"/>
                        <w:left w:val="none" w:sz="0" w:space="0" w:color="auto"/>
                        <w:bottom w:val="none" w:sz="0" w:space="0" w:color="auto"/>
                        <w:right w:val="none" w:sz="0" w:space="0" w:color="auto"/>
                      </w:divBdr>
                    </w:div>
                    <w:div w:id="100925698">
                      <w:marLeft w:val="0"/>
                      <w:marRight w:val="0"/>
                      <w:marTop w:val="0"/>
                      <w:marBottom w:val="0"/>
                      <w:divBdr>
                        <w:top w:val="none" w:sz="0" w:space="0" w:color="auto"/>
                        <w:left w:val="none" w:sz="0" w:space="0" w:color="auto"/>
                        <w:bottom w:val="none" w:sz="0" w:space="0" w:color="auto"/>
                        <w:right w:val="none" w:sz="0" w:space="0" w:color="auto"/>
                      </w:divBdr>
                    </w:div>
                    <w:div w:id="721634340">
                      <w:marLeft w:val="0"/>
                      <w:marRight w:val="0"/>
                      <w:marTop w:val="0"/>
                      <w:marBottom w:val="0"/>
                      <w:divBdr>
                        <w:top w:val="none" w:sz="0" w:space="0" w:color="auto"/>
                        <w:left w:val="none" w:sz="0" w:space="0" w:color="auto"/>
                        <w:bottom w:val="none" w:sz="0" w:space="0" w:color="auto"/>
                        <w:right w:val="none" w:sz="0" w:space="0" w:color="auto"/>
                      </w:divBdr>
                    </w:div>
                    <w:div w:id="1191916346">
                      <w:marLeft w:val="0"/>
                      <w:marRight w:val="0"/>
                      <w:marTop w:val="0"/>
                      <w:marBottom w:val="0"/>
                      <w:divBdr>
                        <w:top w:val="none" w:sz="0" w:space="0" w:color="auto"/>
                        <w:left w:val="none" w:sz="0" w:space="0" w:color="auto"/>
                        <w:bottom w:val="none" w:sz="0" w:space="0" w:color="auto"/>
                        <w:right w:val="none" w:sz="0" w:space="0" w:color="auto"/>
                      </w:divBdr>
                    </w:div>
                    <w:div w:id="1325936271">
                      <w:marLeft w:val="0"/>
                      <w:marRight w:val="0"/>
                      <w:marTop w:val="0"/>
                      <w:marBottom w:val="0"/>
                      <w:divBdr>
                        <w:top w:val="none" w:sz="0" w:space="0" w:color="auto"/>
                        <w:left w:val="none" w:sz="0" w:space="0" w:color="auto"/>
                        <w:bottom w:val="none" w:sz="0" w:space="0" w:color="auto"/>
                        <w:right w:val="none" w:sz="0" w:space="0" w:color="auto"/>
                      </w:divBdr>
                    </w:div>
                    <w:div w:id="1010764655">
                      <w:marLeft w:val="0"/>
                      <w:marRight w:val="0"/>
                      <w:marTop w:val="0"/>
                      <w:marBottom w:val="0"/>
                      <w:divBdr>
                        <w:top w:val="none" w:sz="0" w:space="0" w:color="auto"/>
                        <w:left w:val="none" w:sz="0" w:space="0" w:color="auto"/>
                        <w:bottom w:val="none" w:sz="0" w:space="0" w:color="auto"/>
                        <w:right w:val="none" w:sz="0" w:space="0" w:color="auto"/>
                      </w:divBdr>
                    </w:div>
                    <w:div w:id="448359146">
                      <w:marLeft w:val="0"/>
                      <w:marRight w:val="0"/>
                      <w:marTop w:val="0"/>
                      <w:marBottom w:val="0"/>
                      <w:divBdr>
                        <w:top w:val="none" w:sz="0" w:space="0" w:color="auto"/>
                        <w:left w:val="none" w:sz="0" w:space="0" w:color="auto"/>
                        <w:bottom w:val="none" w:sz="0" w:space="0" w:color="auto"/>
                        <w:right w:val="none" w:sz="0" w:space="0" w:color="auto"/>
                      </w:divBdr>
                    </w:div>
                    <w:div w:id="877817317">
                      <w:marLeft w:val="0"/>
                      <w:marRight w:val="0"/>
                      <w:marTop w:val="0"/>
                      <w:marBottom w:val="0"/>
                      <w:divBdr>
                        <w:top w:val="none" w:sz="0" w:space="0" w:color="auto"/>
                        <w:left w:val="none" w:sz="0" w:space="0" w:color="auto"/>
                        <w:bottom w:val="none" w:sz="0" w:space="0" w:color="auto"/>
                        <w:right w:val="none" w:sz="0" w:space="0" w:color="auto"/>
                      </w:divBdr>
                    </w:div>
                    <w:div w:id="522669917">
                      <w:marLeft w:val="0"/>
                      <w:marRight w:val="0"/>
                      <w:marTop w:val="0"/>
                      <w:marBottom w:val="0"/>
                      <w:divBdr>
                        <w:top w:val="none" w:sz="0" w:space="0" w:color="auto"/>
                        <w:left w:val="none" w:sz="0" w:space="0" w:color="auto"/>
                        <w:bottom w:val="none" w:sz="0" w:space="0" w:color="auto"/>
                        <w:right w:val="none" w:sz="0" w:space="0" w:color="auto"/>
                      </w:divBdr>
                    </w:div>
                    <w:div w:id="1410806567">
                      <w:marLeft w:val="0"/>
                      <w:marRight w:val="0"/>
                      <w:marTop w:val="0"/>
                      <w:marBottom w:val="0"/>
                      <w:divBdr>
                        <w:top w:val="none" w:sz="0" w:space="0" w:color="auto"/>
                        <w:left w:val="none" w:sz="0" w:space="0" w:color="auto"/>
                        <w:bottom w:val="none" w:sz="0" w:space="0" w:color="auto"/>
                        <w:right w:val="none" w:sz="0" w:space="0" w:color="auto"/>
                      </w:divBdr>
                    </w:div>
                    <w:div w:id="47342706">
                      <w:marLeft w:val="0"/>
                      <w:marRight w:val="0"/>
                      <w:marTop w:val="0"/>
                      <w:marBottom w:val="0"/>
                      <w:divBdr>
                        <w:top w:val="none" w:sz="0" w:space="0" w:color="auto"/>
                        <w:left w:val="none" w:sz="0" w:space="0" w:color="auto"/>
                        <w:bottom w:val="none" w:sz="0" w:space="0" w:color="auto"/>
                        <w:right w:val="none" w:sz="0" w:space="0" w:color="auto"/>
                      </w:divBdr>
                    </w:div>
                    <w:div w:id="2097900200">
                      <w:marLeft w:val="0"/>
                      <w:marRight w:val="0"/>
                      <w:marTop w:val="0"/>
                      <w:marBottom w:val="0"/>
                      <w:divBdr>
                        <w:top w:val="none" w:sz="0" w:space="0" w:color="auto"/>
                        <w:left w:val="none" w:sz="0" w:space="0" w:color="auto"/>
                        <w:bottom w:val="none" w:sz="0" w:space="0" w:color="auto"/>
                        <w:right w:val="none" w:sz="0" w:space="0" w:color="auto"/>
                      </w:divBdr>
                    </w:div>
                    <w:div w:id="1765345552">
                      <w:marLeft w:val="0"/>
                      <w:marRight w:val="0"/>
                      <w:marTop w:val="0"/>
                      <w:marBottom w:val="0"/>
                      <w:divBdr>
                        <w:top w:val="none" w:sz="0" w:space="0" w:color="auto"/>
                        <w:left w:val="none" w:sz="0" w:space="0" w:color="auto"/>
                        <w:bottom w:val="none" w:sz="0" w:space="0" w:color="auto"/>
                        <w:right w:val="none" w:sz="0" w:space="0" w:color="auto"/>
                      </w:divBdr>
                    </w:div>
                    <w:div w:id="962999023">
                      <w:marLeft w:val="0"/>
                      <w:marRight w:val="0"/>
                      <w:marTop w:val="0"/>
                      <w:marBottom w:val="0"/>
                      <w:divBdr>
                        <w:top w:val="none" w:sz="0" w:space="0" w:color="auto"/>
                        <w:left w:val="none" w:sz="0" w:space="0" w:color="auto"/>
                        <w:bottom w:val="none" w:sz="0" w:space="0" w:color="auto"/>
                        <w:right w:val="none" w:sz="0" w:space="0" w:color="auto"/>
                      </w:divBdr>
                    </w:div>
                    <w:div w:id="59343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32407">
          <w:marLeft w:val="0"/>
          <w:marRight w:val="0"/>
          <w:marTop w:val="195"/>
          <w:marBottom w:val="195"/>
          <w:divBdr>
            <w:top w:val="single" w:sz="6" w:space="0" w:color="CCCCCC"/>
            <w:left w:val="single" w:sz="6" w:space="0" w:color="CCCCCC"/>
            <w:bottom w:val="single" w:sz="6" w:space="0" w:color="CCCCCC"/>
            <w:right w:val="single" w:sz="6" w:space="0" w:color="CCCCCC"/>
          </w:divBdr>
          <w:divsChild>
            <w:div w:id="1226455745">
              <w:marLeft w:val="0"/>
              <w:marRight w:val="0"/>
              <w:marTop w:val="0"/>
              <w:marBottom w:val="0"/>
              <w:divBdr>
                <w:top w:val="none" w:sz="0" w:space="0" w:color="auto"/>
                <w:left w:val="none" w:sz="0" w:space="0" w:color="auto"/>
                <w:bottom w:val="none" w:sz="0" w:space="0" w:color="auto"/>
                <w:right w:val="none" w:sz="0" w:space="0" w:color="auto"/>
              </w:divBdr>
              <w:divsChild>
                <w:div w:id="1784500738">
                  <w:marLeft w:val="0"/>
                  <w:marRight w:val="0"/>
                  <w:marTop w:val="0"/>
                  <w:marBottom w:val="0"/>
                  <w:divBdr>
                    <w:top w:val="none" w:sz="0" w:space="0" w:color="auto"/>
                    <w:left w:val="none" w:sz="0" w:space="0" w:color="auto"/>
                    <w:bottom w:val="none" w:sz="0" w:space="0" w:color="auto"/>
                    <w:right w:val="none" w:sz="0" w:space="0" w:color="auto"/>
                  </w:divBdr>
                  <w:divsChild>
                    <w:div w:id="831607526">
                      <w:marLeft w:val="0"/>
                      <w:marRight w:val="0"/>
                      <w:marTop w:val="0"/>
                      <w:marBottom w:val="0"/>
                      <w:divBdr>
                        <w:top w:val="none" w:sz="0" w:space="0" w:color="auto"/>
                        <w:left w:val="none" w:sz="0" w:space="0" w:color="auto"/>
                        <w:bottom w:val="none" w:sz="0" w:space="0" w:color="auto"/>
                        <w:right w:val="none" w:sz="0" w:space="0" w:color="auto"/>
                      </w:divBdr>
                    </w:div>
                    <w:div w:id="1588879999">
                      <w:marLeft w:val="0"/>
                      <w:marRight w:val="0"/>
                      <w:marTop w:val="0"/>
                      <w:marBottom w:val="0"/>
                      <w:divBdr>
                        <w:top w:val="none" w:sz="0" w:space="0" w:color="auto"/>
                        <w:left w:val="none" w:sz="0" w:space="0" w:color="auto"/>
                        <w:bottom w:val="none" w:sz="0" w:space="0" w:color="auto"/>
                        <w:right w:val="none" w:sz="0" w:space="0" w:color="auto"/>
                      </w:divBdr>
                    </w:div>
                    <w:div w:id="1075593723">
                      <w:marLeft w:val="0"/>
                      <w:marRight w:val="0"/>
                      <w:marTop w:val="0"/>
                      <w:marBottom w:val="0"/>
                      <w:divBdr>
                        <w:top w:val="none" w:sz="0" w:space="0" w:color="auto"/>
                        <w:left w:val="none" w:sz="0" w:space="0" w:color="auto"/>
                        <w:bottom w:val="none" w:sz="0" w:space="0" w:color="auto"/>
                        <w:right w:val="none" w:sz="0" w:space="0" w:color="auto"/>
                      </w:divBdr>
                    </w:div>
                    <w:div w:id="1474832476">
                      <w:marLeft w:val="0"/>
                      <w:marRight w:val="0"/>
                      <w:marTop w:val="0"/>
                      <w:marBottom w:val="0"/>
                      <w:divBdr>
                        <w:top w:val="none" w:sz="0" w:space="0" w:color="auto"/>
                        <w:left w:val="none" w:sz="0" w:space="0" w:color="auto"/>
                        <w:bottom w:val="none" w:sz="0" w:space="0" w:color="auto"/>
                        <w:right w:val="none" w:sz="0" w:space="0" w:color="auto"/>
                      </w:divBdr>
                    </w:div>
                    <w:div w:id="1553544411">
                      <w:marLeft w:val="0"/>
                      <w:marRight w:val="0"/>
                      <w:marTop w:val="0"/>
                      <w:marBottom w:val="0"/>
                      <w:divBdr>
                        <w:top w:val="none" w:sz="0" w:space="0" w:color="auto"/>
                        <w:left w:val="none" w:sz="0" w:space="0" w:color="auto"/>
                        <w:bottom w:val="none" w:sz="0" w:space="0" w:color="auto"/>
                        <w:right w:val="none" w:sz="0" w:space="0" w:color="auto"/>
                      </w:divBdr>
                    </w:div>
                    <w:div w:id="1058551274">
                      <w:marLeft w:val="0"/>
                      <w:marRight w:val="0"/>
                      <w:marTop w:val="0"/>
                      <w:marBottom w:val="0"/>
                      <w:divBdr>
                        <w:top w:val="none" w:sz="0" w:space="0" w:color="auto"/>
                        <w:left w:val="none" w:sz="0" w:space="0" w:color="auto"/>
                        <w:bottom w:val="none" w:sz="0" w:space="0" w:color="auto"/>
                        <w:right w:val="none" w:sz="0" w:space="0" w:color="auto"/>
                      </w:divBdr>
                    </w:div>
                    <w:div w:id="1636370169">
                      <w:marLeft w:val="0"/>
                      <w:marRight w:val="0"/>
                      <w:marTop w:val="0"/>
                      <w:marBottom w:val="0"/>
                      <w:divBdr>
                        <w:top w:val="none" w:sz="0" w:space="0" w:color="auto"/>
                        <w:left w:val="none" w:sz="0" w:space="0" w:color="auto"/>
                        <w:bottom w:val="none" w:sz="0" w:space="0" w:color="auto"/>
                        <w:right w:val="none" w:sz="0" w:space="0" w:color="auto"/>
                      </w:divBdr>
                    </w:div>
                    <w:div w:id="49892079">
                      <w:marLeft w:val="0"/>
                      <w:marRight w:val="0"/>
                      <w:marTop w:val="0"/>
                      <w:marBottom w:val="0"/>
                      <w:divBdr>
                        <w:top w:val="none" w:sz="0" w:space="0" w:color="auto"/>
                        <w:left w:val="none" w:sz="0" w:space="0" w:color="auto"/>
                        <w:bottom w:val="none" w:sz="0" w:space="0" w:color="auto"/>
                        <w:right w:val="none" w:sz="0" w:space="0" w:color="auto"/>
                      </w:divBdr>
                    </w:div>
                    <w:div w:id="1191335350">
                      <w:marLeft w:val="0"/>
                      <w:marRight w:val="0"/>
                      <w:marTop w:val="0"/>
                      <w:marBottom w:val="0"/>
                      <w:divBdr>
                        <w:top w:val="none" w:sz="0" w:space="0" w:color="auto"/>
                        <w:left w:val="none" w:sz="0" w:space="0" w:color="auto"/>
                        <w:bottom w:val="none" w:sz="0" w:space="0" w:color="auto"/>
                        <w:right w:val="none" w:sz="0" w:space="0" w:color="auto"/>
                      </w:divBdr>
                    </w:div>
                    <w:div w:id="985158388">
                      <w:marLeft w:val="0"/>
                      <w:marRight w:val="0"/>
                      <w:marTop w:val="0"/>
                      <w:marBottom w:val="0"/>
                      <w:divBdr>
                        <w:top w:val="none" w:sz="0" w:space="0" w:color="auto"/>
                        <w:left w:val="none" w:sz="0" w:space="0" w:color="auto"/>
                        <w:bottom w:val="none" w:sz="0" w:space="0" w:color="auto"/>
                        <w:right w:val="none" w:sz="0" w:space="0" w:color="auto"/>
                      </w:divBdr>
                    </w:div>
                    <w:div w:id="134954347">
                      <w:marLeft w:val="0"/>
                      <w:marRight w:val="0"/>
                      <w:marTop w:val="0"/>
                      <w:marBottom w:val="0"/>
                      <w:divBdr>
                        <w:top w:val="none" w:sz="0" w:space="0" w:color="auto"/>
                        <w:left w:val="none" w:sz="0" w:space="0" w:color="auto"/>
                        <w:bottom w:val="none" w:sz="0" w:space="0" w:color="auto"/>
                        <w:right w:val="none" w:sz="0" w:space="0" w:color="auto"/>
                      </w:divBdr>
                    </w:div>
                    <w:div w:id="1271398821">
                      <w:marLeft w:val="0"/>
                      <w:marRight w:val="0"/>
                      <w:marTop w:val="0"/>
                      <w:marBottom w:val="0"/>
                      <w:divBdr>
                        <w:top w:val="none" w:sz="0" w:space="0" w:color="auto"/>
                        <w:left w:val="none" w:sz="0" w:space="0" w:color="auto"/>
                        <w:bottom w:val="none" w:sz="0" w:space="0" w:color="auto"/>
                        <w:right w:val="none" w:sz="0" w:space="0" w:color="auto"/>
                      </w:divBdr>
                    </w:div>
                    <w:div w:id="350764952">
                      <w:marLeft w:val="0"/>
                      <w:marRight w:val="0"/>
                      <w:marTop w:val="0"/>
                      <w:marBottom w:val="0"/>
                      <w:divBdr>
                        <w:top w:val="none" w:sz="0" w:space="0" w:color="auto"/>
                        <w:left w:val="none" w:sz="0" w:space="0" w:color="auto"/>
                        <w:bottom w:val="none" w:sz="0" w:space="0" w:color="auto"/>
                        <w:right w:val="none" w:sz="0" w:space="0" w:color="auto"/>
                      </w:divBdr>
                    </w:div>
                    <w:div w:id="906304285">
                      <w:marLeft w:val="0"/>
                      <w:marRight w:val="0"/>
                      <w:marTop w:val="0"/>
                      <w:marBottom w:val="0"/>
                      <w:divBdr>
                        <w:top w:val="none" w:sz="0" w:space="0" w:color="auto"/>
                        <w:left w:val="none" w:sz="0" w:space="0" w:color="auto"/>
                        <w:bottom w:val="none" w:sz="0" w:space="0" w:color="auto"/>
                        <w:right w:val="none" w:sz="0" w:space="0" w:color="auto"/>
                      </w:divBdr>
                    </w:div>
                    <w:div w:id="1065882178">
                      <w:marLeft w:val="0"/>
                      <w:marRight w:val="0"/>
                      <w:marTop w:val="0"/>
                      <w:marBottom w:val="0"/>
                      <w:divBdr>
                        <w:top w:val="none" w:sz="0" w:space="0" w:color="auto"/>
                        <w:left w:val="none" w:sz="0" w:space="0" w:color="auto"/>
                        <w:bottom w:val="none" w:sz="0" w:space="0" w:color="auto"/>
                        <w:right w:val="none" w:sz="0" w:space="0" w:color="auto"/>
                      </w:divBdr>
                    </w:div>
                    <w:div w:id="2012878625">
                      <w:marLeft w:val="0"/>
                      <w:marRight w:val="0"/>
                      <w:marTop w:val="0"/>
                      <w:marBottom w:val="0"/>
                      <w:divBdr>
                        <w:top w:val="none" w:sz="0" w:space="0" w:color="auto"/>
                        <w:left w:val="none" w:sz="0" w:space="0" w:color="auto"/>
                        <w:bottom w:val="none" w:sz="0" w:space="0" w:color="auto"/>
                        <w:right w:val="none" w:sz="0" w:space="0" w:color="auto"/>
                      </w:divBdr>
                    </w:div>
                    <w:div w:id="1418210887">
                      <w:marLeft w:val="0"/>
                      <w:marRight w:val="0"/>
                      <w:marTop w:val="0"/>
                      <w:marBottom w:val="0"/>
                      <w:divBdr>
                        <w:top w:val="none" w:sz="0" w:space="0" w:color="auto"/>
                        <w:left w:val="none" w:sz="0" w:space="0" w:color="auto"/>
                        <w:bottom w:val="none" w:sz="0" w:space="0" w:color="auto"/>
                        <w:right w:val="none" w:sz="0" w:space="0" w:color="auto"/>
                      </w:divBdr>
                    </w:div>
                    <w:div w:id="2070952375">
                      <w:marLeft w:val="0"/>
                      <w:marRight w:val="0"/>
                      <w:marTop w:val="0"/>
                      <w:marBottom w:val="0"/>
                      <w:divBdr>
                        <w:top w:val="none" w:sz="0" w:space="0" w:color="auto"/>
                        <w:left w:val="none" w:sz="0" w:space="0" w:color="auto"/>
                        <w:bottom w:val="none" w:sz="0" w:space="0" w:color="auto"/>
                        <w:right w:val="none" w:sz="0" w:space="0" w:color="auto"/>
                      </w:divBdr>
                    </w:div>
                    <w:div w:id="1098672937">
                      <w:marLeft w:val="0"/>
                      <w:marRight w:val="0"/>
                      <w:marTop w:val="0"/>
                      <w:marBottom w:val="0"/>
                      <w:divBdr>
                        <w:top w:val="none" w:sz="0" w:space="0" w:color="auto"/>
                        <w:left w:val="none" w:sz="0" w:space="0" w:color="auto"/>
                        <w:bottom w:val="none" w:sz="0" w:space="0" w:color="auto"/>
                        <w:right w:val="none" w:sz="0" w:space="0" w:color="auto"/>
                      </w:divBdr>
                    </w:div>
                    <w:div w:id="646713211">
                      <w:marLeft w:val="0"/>
                      <w:marRight w:val="0"/>
                      <w:marTop w:val="0"/>
                      <w:marBottom w:val="0"/>
                      <w:divBdr>
                        <w:top w:val="none" w:sz="0" w:space="0" w:color="auto"/>
                        <w:left w:val="none" w:sz="0" w:space="0" w:color="auto"/>
                        <w:bottom w:val="none" w:sz="0" w:space="0" w:color="auto"/>
                        <w:right w:val="none" w:sz="0" w:space="0" w:color="auto"/>
                      </w:divBdr>
                    </w:div>
                    <w:div w:id="19862244">
                      <w:marLeft w:val="0"/>
                      <w:marRight w:val="0"/>
                      <w:marTop w:val="0"/>
                      <w:marBottom w:val="0"/>
                      <w:divBdr>
                        <w:top w:val="none" w:sz="0" w:space="0" w:color="auto"/>
                        <w:left w:val="none" w:sz="0" w:space="0" w:color="auto"/>
                        <w:bottom w:val="none" w:sz="0" w:space="0" w:color="auto"/>
                        <w:right w:val="none" w:sz="0" w:space="0" w:color="auto"/>
                      </w:divBdr>
                    </w:div>
                    <w:div w:id="934633307">
                      <w:marLeft w:val="0"/>
                      <w:marRight w:val="0"/>
                      <w:marTop w:val="0"/>
                      <w:marBottom w:val="0"/>
                      <w:divBdr>
                        <w:top w:val="none" w:sz="0" w:space="0" w:color="auto"/>
                        <w:left w:val="none" w:sz="0" w:space="0" w:color="auto"/>
                        <w:bottom w:val="none" w:sz="0" w:space="0" w:color="auto"/>
                        <w:right w:val="none" w:sz="0" w:space="0" w:color="auto"/>
                      </w:divBdr>
                    </w:div>
                    <w:div w:id="1331983710">
                      <w:marLeft w:val="0"/>
                      <w:marRight w:val="0"/>
                      <w:marTop w:val="0"/>
                      <w:marBottom w:val="0"/>
                      <w:divBdr>
                        <w:top w:val="none" w:sz="0" w:space="0" w:color="auto"/>
                        <w:left w:val="none" w:sz="0" w:space="0" w:color="auto"/>
                        <w:bottom w:val="none" w:sz="0" w:space="0" w:color="auto"/>
                        <w:right w:val="none" w:sz="0" w:space="0" w:color="auto"/>
                      </w:divBdr>
                    </w:div>
                    <w:div w:id="1366562168">
                      <w:marLeft w:val="0"/>
                      <w:marRight w:val="0"/>
                      <w:marTop w:val="0"/>
                      <w:marBottom w:val="0"/>
                      <w:divBdr>
                        <w:top w:val="none" w:sz="0" w:space="0" w:color="auto"/>
                        <w:left w:val="none" w:sz="0" w:space="0" w:color="auto"/>
                        <w:bottom w:val="none" w:sz="0" w:space="0" w:color="auto"/>
                        <w:right w:val="none" w:sz="0" w:space="0" w:color="auto"/>
                      </w:divBdr>
                    </w:div>
                    <w:div w:id="999698437">
                      <w:marLeft w:val="0"/>
                      <w:marRight w:val="0"/>
                      <w:marTop w:val="0"/>
                      <w:marBottom w:val="0"/>
                      <w:divBdr>
                        <w:top w:val="none" w:sz="0" w:space="0" w:color="auto"/>
                        <w:left w:val="none" w:sz="0" w:space="0" w:color="auto"/>
                        <w:bottom w:val="none" w:sz="0" w:space="0" w:color="auto"/>
                        <w:right w:val="none" w:sz="0" w:space="0" w:color="auto"/>
                      </w:divBdr>
                    </w:div>
                    <w:div w:id="1096756391">
                      <w:marLeft w:val="0"/>
                      <w:marRight w:val="0"/>
                      <w:marTop w:val="0"/>
                      <w:marBottom w:val="0"/>
                      <w:divBdr>
                        <w:top w:val="none" w:sz="0" w:space="0" w:color="auto"/>
                        <w:left w:val="none" w:sz="0" w:space="0" w:color="auto"/>
                        <w:bottom w:val="none" w:sz="0" w:space="0" w:color="auto"/>
                        <w:right w:val="none" w:sz="0" w:space="0" w:color="auto"/>
                      </w:divBdr>
                    </w:div>
                    <w:div w:id="86079248">
                      <w:marLeft w:val="0"/>
                      <w:marRight w:val="0"/>
                      <w:marTop w:val="0"/>
                      <w:marBottom w:val="0"/>
                      <w:divBdr>
                        <w:top w:val="none" w:sz="0" w:space="0" w:color="auto"/>
                        <w:left w:val="none" w:sz="0" w:space="0" w:color="auto"/>
                        <w:bottom w:val="none" w:sz="0" w:space="0" w:color="auto"/>
                        <w:right w:val="none" w:sz="0" w:space="0" w:color="auto"/>
                      </w:divBdr>
                    </w:div>
                    <w:div w:id="148858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126983">
      <w:bodyDiv w:val="1"/>
      <w:marLeft w:val="0"/>
      <w:marRight w:val="0"/>
      <w:marTop w:val="0"/>
      <w:marBottom w:val="0"/>
      <w:divBdr>
        <w:top w:val="none" w:sz="0" w:space="0" w:color="auto"/>
        <w:left w:val="none" w:sz="0" w:space="0" w:color="auto"/>
        <w:bottom w:val="none" w:sz="0" w:space="0" w:color="auto"/>
        <w:right w:val="none" w:sz="0" w:space="0" w:color="auto"/>
      </w:divBdr>
    </w:div>
    <w:div w:id="821124140">
      <w:bodyDiv w:val="1"/>
      <w:marLeft w:val="0"/>
      <w:marRight w:val="0"/>
      <w:marTop w:val="0"/>
      <w:marBottom w:val="0"/>
      <w:divBdr>
        <w:top w:val="none" w:sz="0" w:space="0" w:color="auto"/>
        <w:left w:val="none" w:sz="0" w:space="0" w:color="auto"/>
        <w:bottom w:val="none" w:sz="0" w:space="0" w:color="auto"/>
        <w:right w:val="none" w:sz="0" w:space="0" w:color="auto"/>
      </w:divBdr>
    </w:div>
    <w:div w:id="907805856">
      <w:bodyDiv w:val="1"/>
      <w:marLeft w:val="0"/>
      <w:marRight w:val="0"/>
      <w:marTop w:val="0"/>
      <w:marBottom w:val="0"/>
      <w:divBdr>
        <w:top w:val="none" w:sz="0" w:space="0" w:color="auto"/>
        <w:left w:val="none" w:sz="0" w:space="0" w:color="auto"/>
        <w:bottom w:val="none" w:sz="0" w:space="0" w:color="auto"/>
        <w:right w:val="none" w:sz="0" w:space="0" w:color="auto"/>
      </w:divBdr>
    </w:div>
    <w:div w:id="1134906691">
      <w:bodyDiv w:val="1"/>
      <w:marLeft w:val="0"/>
      <w:marRight w:val="0"/>
      <w:marTop w:val="0"/>
      <w:marBottom w:val="0"/>
      <w:divBdr>
        <w:top w:val="none" w:sz="0" w:space="0" w:color="auto"/>
        <w:left w:val="none" w:sz="0" w:space="0" w:color="auto"/>
        <w:bottom w:val="none" w:sz="0" w:space="0" w:color="auto"/>
        <w:right w:val="none" w:sz="0" w:space="0" w:color="auto"/>
      </w:divBdr>
    </w:div>
    <w:div w:id="1149710706">
      <w:bodyDiv w:val="1"/>
      <w:marLeft w:val="0"/>
      <w:marRight w:val="0"/>
      <w:marTop w:val="0"/>
      <w:marBottom w:val="0"/>
      <w:divBdr>
        <w:top w:val="none" w:sz="0" w:space="0" w:color="auto"/>
        <w:left w:val="none" w:sz="0" w:space="0" w:color="auto"/>
        <w:bottom w:val="none" w:sz="0" w:space="0" w:color="auto"/>
        <w:right w:val="none" w:sz="0" w:space="0" w:color="auto"/>
      </w:divBdr>
    </w:div>
    <w:div w:id="1455908136">
      <w:bodyDiv w:val="1"/>
      <w:marLeft w:val="0"/>
      <w:marRight w:val="0"/>
      <w:marTop w:val="0"/>
      <w:marBottom w:val="0"/>
      <w:divBdr>
        <w:top w:val="none" w:sz="0" w:space="0" w:color="auto"/>
        <w:left w:val="none" w:sz="0" w:space="0" w:color="auto"/>
        <w:bottom w:val="none" w:sz="0" w:space="0" w:color="auto"/>
        <w:right w:val="none" w:sz="0" w:space="0" w:color="auto"/>
      </w:divBdr>
    </w:div>
    <w:div w:id="1464227630">
      <w:bodyDiv w:val="1"/>
      <w:marLeft w:val="0"/>
      <w:marRight w:val="0"/>
      <w:marTop w:val="0"/>
      <w:marBottom w:val="0"/>
      <w:divBdr>
        <w:top w:val="none" w:sz="0" w:space="0" w:color="auto"/>
        <w:left w:val="none" w:sz="0" w:space="0" w:color="auto"/>
        <w:bottom w:val="none" w:sz="0" w:space="0" w:color="auto"/>
        <w:right w:val="none" w:sz="0" w:space="0" w:color="auto"/>
      </w:divBdr>
    </w:div>
    <w:div w:id="1678918258">
      <w:bodyDiv w:val="1"/>
      <w:marLeft w:val="0"/>
      <w:marRight w:val="0"/>
      <w:marTop w:val="0"/>
      <w:marBottom w:val="0"/>
      <w:divBdr>
        <w:top w:val="none" w:sz="0" w:space="0" w:color="auto"/>
        <w:left w:val="none" w:sz="0" w:space="0" w:color="auto"/>
        <w:bottom w:val="none" w:sz="0" w:space="0" w:color="auto"/>
        <w:right w:val="none" w:sz="0" w:space="0" w:color="auto"/>
      </w:divBdr>
    </w:div>
    <w:div w:id="210823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acaderc.org.ar/wp-content/blogs.dir/55/files/sites/55/2020/02/LA-SENTENCIA-DE-SEGUNDA-INSTANCIA.pdf" TargetMode="External"/><Relationship Id="rId2" Type="http://schemas.openxmlformats.org/officeDocument/2006/relationships/hyperlink" Target="https://www.scielo.cl/Scielo.php?script=sci_arttext&amp;pid=S078-00122011000100013" TargetMode="External"/><Relationship Id="rId1" Type="http://schemas.openxmlformats.org/officeDocument/2006/relationships/hyperlink" Target="https://www.scielo.cl/Scielo.php?script=sci_arttext&amp;pid=S078-0012201100010001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AD54C-4A53-4FB3-9B7E-BB72E5973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26</Pages>
  <Words>5301</Words>
  <Characters>29157</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Bordenave</dc:creator>
  <cp:keywords/>
  <dc:description/>
  <cp:lastModifiedBy>Leonardo Bordenave</cp:lastModifiedBy>
  <cp:revision>5</cp:revision>
  <dcterms:created xsi:type="dcterms:W3CDTF">2025-09-17T13:13:00Z</dcterms:created>
  <dcterms:modified xsi:type="dcterms:W3CDTF">2025-09-17T15:49:00Z</dcterms:modified>
</cp:coreProperties>
</file>