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807" w:rsidRPr="005F2881" w:rsidRDefault="005F2881" w:rsidP="005F2881">
      <w:pPr>
        <w:spacing w:line="360" w:lineRule="auto"/>
        <w:jc w:val="center"/>
        <w:rPr>
          <w:rFonts w:ascii="Times New Roman" w:hAnsi="Times New Roman" w:cs="Times New Roman"/>
          <w:sz w:val="28"/>
          <w:szCs w:val="24"/>
        </w:rPr>
      </w:pPr>
      <w:r w:rsidRPr="005F2881">
        <w:rPr>
          <w:rFonts w:ascii="Times New Roman" w:hAnsi="Times New Roman" w:cs="Times New Roman"/>
          <w:b/>
          <w:sz w:val="32"/>
          <w:szCs w:val="24"/>
        </w:rPr>
        <w:t xml:space="preserve">Condiciones que afectan la calidad de </w:t>
      </w:r>
      <w:r w:rsidR="006F5925">
        <w:rPr>
          <w:rFonts w:ascii="Times New Roman" w:hAnsi="Times New Roman" w:cs="Times New Roman"/>
          <w:b/>
          <w:sz w:val="32"/>
          <w:szCs w:val="24"/>
        </w:rPr>
        <w:t xml:space="preserve">los </w:t>
      </w:r>
      <w:r w:rsidRPr="005F2881">
        <w:rPr>
          <w:rFonts w:ascii="Times New Roman" w:hAnsi="Times New Roman" w:cs="Times New Roman"/>
          <w:b/>
          <w:sz w:val="32"/>
          <w:szCs w:val="24"/>
        </w:rPr>
        <w:t>testigos y su convicción</w:t>
      </w:r>
    </w:p>
    <w:p w:rsidR="00673807" w:rsidRPr="00E301C1" w:rsidRDefault="00673807" w:rsidP="00673807">
      <w:pPr>
        <w:spacing w:line="360" w:lineRule="auto"/>
        <w:rPr>
          <w:rFonts w:ascii="Times New Roman" w:hAnsi="Times New Roman" w:cs="Times New Roman"/>
          <w:sz w:val="24"/>
          <w:szCs w:val="24"/>
        </w:rPr>
      </w:pPr>
    </w:p>
    <w:p w:rsidR="00673807" w:rsidRPr="00E301C1" w:rsidRDefault="00651535" w:rsidP="00673807">
      <w:pPr>
        <w:spacing w:line="360" w:lineRule="auto"/>
        <w:jc w:val="center"/>
        <w:rPr>
          <w:rFonts w:ascii="Times New Roman" w:hAnsi="Times New Roman" w:cs="Times New Roman"/>
          <w:b/>
          <w:sz w:val="28"/>
          <w:szCs w:val="24"/>
        </w:rPr>
      </w:pPr>
      <w:r w:rsidRPr="00E301C1">
        <w:rPr>
          <w:rFonts w:ascii="Times New Roman" w:hAnsi="Times New Roman" w:cs="Times New Roman"/>
          <w:b/>
          <w:sz w:val="28"/>
          <w:szCs w:val="24"/>
        </w:rPr>
        <w:t>Fermí</w:t>
      </w:r>
      <w:r w:rsidR="00673807" w:rsidRPr="00E301C1">
        <w:rPr>
          <w:rFonts w:ascii="Times New Roman" w:hAnsi="Times New Roman" w:cs="Times New Roman"/>
          <w:b/>
          <w:sz w:val="28"/>
          <w:szCs w:val="24"/>
        </w:rPr>
        <w:t>n Canteros</w:t>
      </w:r>
      <w:r w:rsidR="001B31D6">
        <w:rPr>
          <w:rStyle w:val="Refdenotaalpie"/>
          <w:rFonts w:ascii="Times New Roman" w:hAnsi="Times New Roman" w:cs="Times New Roman"/>
          <w:b/>
          <w:sz w:val="28"/>
          <w:szCs w:val="24"/>
        </w:rPr>
        <w:footnoteReference w:id="1"/>
      </w:r>
    </w:p>
    <w:p w:rsidR="00673807" w:rsidRPr="00E301C1" w:rsidRDefault="00673807" w:rsidP="00673807">
      <w:pPr>
        <w:spacing w:line="360" w:lineRule="auto"/>
        <w:rPr>
          <w:rFonts w:ascii="Times New Roman" w:hAnsi="Times New Roman" w:cs="Times New Roman"/>
          <w:sz w:val="24"/>
          <w:szCs w:val="24"/>
        </w:rPr>
      </w:pPr>
    </w:p>
    <w:p w:rsidR="00673807" w:rsidRPr="00E301C1" w:rsidRDefault="00673807" w:rsidP="00673807">
      <w:pPr>
        <w:spacing w:line="360" w:lineRule="auto"/>
        <w:ind w:firstLine="426"/>
        <w:jc w:val="both"/>
        <w:rPr>
          <w:rFonts w:ascii="Times New Roman" w:hAnsi="Times New Roman" w:cs="Times New Roman"/>
          <w:sz w:val="24"/>
          <w:szCs w:val="24"/>
        </w:rPr>
      </w:pPr>
    </w:p>
    <w:p w:rsidR="00673807" w:rsidRPr="009955C1" w:rsidRDefault="004D08B2" w:rsidP="00D344E3">
      <w:pPr>
        <w:pStyle w:val="Ttulo1"/>
        <w:spacing w:after="120" w:line="276" w:lineRule="auto"/>
        <w:ind w:left="0" w:firstLine="426"/>
      </w:pPr>
      <w:r w:rsidRPr="009955C1">
        <w:t>Introducción</w:t>
      </w:r>
    </w:p>
    <w:p w:rsidR="00867EBE" w:rsidRPr="009955C1" w:rsidRDefault="00867EBE" w:rsidP="00D344E3">
      <w:pPr>
        <w:pStyle w:val="NormalWeb"/>
        <w:spacing w:before="0" w:beforeAutospacing="0" w:after="120" w:afterAutospacing="0" w:line="276" w:lineRule="auto"/>
        <w:ind w:firstLine="426"/>
        <w:jc w:val="both"/>
      </w:pPr>
      <w:r w:rsidRPr="009955C1">
        <w:t xml:space="preserve">El testimonio de un testigo ocular ha sido considerado, durante mucho tiempo, uno de los pilares más sólidos en el sistema judicial. Tanto los jurados populares (en el sistema de juicio por jurados) como el público general, tienden a otorgarle un peso decisivo al testimonio, a menudo superior incluso a la evidencia circunstancial o los indicios. Esta preeminencia se basa en la arraigada convicción —errónea, por cierto— de que la memoria visual de un suceso presenciado es una réplica exacta de la realidad. Cuando un testigo de un crimen se presenta ante un tribunal y relata lo que vio, su declaración puede llegar a "aplastar" la evidencia en contra, ya que los jueces o el jurado popular instintivamente confían en quienes afirman haber visto un acontecimiento de manera directa, sobre todo si declaran con notable seguridad. </w:t>
      </w:r>
    </w:p>
    <w:p w:rsidR="00867EBE" w:rsidRPr="009955C1" w:rsidRDefault="00867EBE" w:rsidP="00D344E3">
      <w:pPr>
        <w:pStyle w:val="NormalWeb"/>
        <w:spacing w:before="0" w:beforeAutospacing="0" w:after="120" w:afterAutospacing="0" w:line="276" w:lineRule="auto"/>
        <w:ind w:firstLine="426"/>
        <w:jc w:val="both"/>
      </w:pPr>
      <w:r w:rsidRPr="009955C1">
        <w:t>Sin embargo, a pesar de su poder persuasivo, una amplia y creciente investigación en la psicología del testimonio ha revelado que la memoria humana no funciona como un dispositivo de grabación impecable. Es, por el contrario, un proceso susceptible a una interesante variedad de errores y sesgos. La psicología del testimonio, una disciplina centrada en la fiabilidad de las declaraciones de los testigos, ha demostrado la complejidad y la multitud de factores que pueden influir en la precisión de los recuerdos</w:t>
      </w:r>
      <w:r w:rsidRPr="009955C1">
        <w:rPr>
          <w:rStyle w:val="Refdenotaalpie"/>
        </w:rPr>
        <w:footnoteReference w:id="2"/>
      </w:r>
      <w:r w:rsidRPr="009955C1">
        <w:t>.</w:t>
      </w:r>
    </w:p>
    <w:p w:rsidR="00867EBE" w:rsidRPr="009955C1" w:rsidRDefault="00867EBE" w:rsidP="00D344E3">
      <w:pPr>
        <w:pStyle w:val="NormalWeb"/>
        <w:spacing w:before="0" w:beforeAutospacing="0" w:after="120" w:afterAutospacing="0" w:line="276" w:lineRule="auto"/>
        <w:ind w:firstLine="426"/>
        <w:jc w:val="both"/>
      </w:pPr>
      <w:r w:rsidRPr="009955C1">
        <w:t xml:space="preserve">La influencia del testimonio en las decisiones judiciales se fundamenta muchas veces en un sesgo cognitivo del juez o del jurado, y no en la calidad intrínseca de la evidencia, pues el poder de convicción del testimonio radica en la aparente </w:t>
      </w:r>
      <w:r w:rsidRPr="009955C1">
        <w:rPr>
          <w:bCs/>
          <w:i/>
          <w:bdr w:val="none" w:sz="0" w:space="0" w:color="auto" w:frame="1"/>
        </w:rPr>
        <w:t>confianza</w:t>
      </w:r>
      <w:r w:rsidRPr="009955C1">
        <w:rPr>
          <w:i/>
        </w:rPr>
        <w:t xml:space="preserve"> y </w:t>
      </w:r>
      <w:r w:rsidRPr="009955C1">
        <w:rPr>
          <w:bCs/>
          <w:i/>
          <w:bdr w:val="none" w:sz="0" w:space="0" w:color="auto" w:frame="1"/>
        </w:rPr>
        <w:t>convicción</w:t>
      </w:r>
      <w:r w:rsidRPr="009955C1">
        <w:t xml:space="preserve"> </w:t>
      </w:r>
      <w:r w:rsidRPr="009955C1">
        <w:lastRenderedPageBreak/>
        <w:t>del testigo, y no en la fiabilidad de su recuerdo. Esto representa, como mínimo, un riesgo sistémico bastante serio. La desconexión entre la creencia popular en la infalibilidad de la memoria y la evidencia científica es en ocasiones fuente de graves errores judiciales</w:t>
      </w:r>
      <w:r w:rsidRPr="009955C1">
        <w:rPr>
          <w:rStyle w:val="Refdenotaalpie"/>
        </w:rPr>
        <w:footnoteReference w:id="3"/>
      </w:r>
      <w:r w:rsidRPr="009955C1">
        <w:t>.</w:t>
      </w:r>
    </w:p>
    <w:p w:rsidR="00867EBE" w:rsidRPr="009955C1" w:rsidRDefault="00867EBE" w:rsidP="00D344E3">
      <w:pPr>
        <w:pStyle w:val="NormalWeb"/>
        <w:spacing w:before="0" w:beforeAutospacing="0" w:after="120" w:afterAutospacing="0" w:line="276" w:lineRule="auto"/>
        <w:ind w:firstLine="426"/>
        <w:jc w:val="both"/>
      </w:pPr>
    </w:p>
    <w:p w:rsidR="00867EBE" w:rsidRPr="009955C1" w:rsidRDefault="00E448FD" w:rsidP="00D344E3">
      <w:pPr>
        <w:pStyle w:val="Ttulo1"/>
        <w:spacing w:after="120" w:line="276" w:lineRule="auto"/>
        <w:ind w:left="0" w:firstLine="426"/>
      </w:pPr>
      <w:r w:rsidRPr="009955C1">
        <w:t>La m</w:t>
      </w:r>
      <w:r w:rsidR="00867EBE" w:rsidRPr="009955C1">
        <w:t xml:space="preserve">emoria </w:t>
      </w:r>
      <w:r w:rsidRPr="009955C1">
        <w:t>como proceso reconstructivo</w:t>
      </w:r>
    </w:p>
    <w:p w:rsidR="00867EBE" w:rsidRPr="009955C1" w:rsidRDefault="00867EBE" w:rsidP="00D344E3">
      <w:pPr>
        <w:pStyle w:val="NormalWeb"/>
        <w:spacing w:before="0" w:beforeAutospacing="0" w:after="120" w:afterAutospacing="0" w:line="276" w:lineRule="auto"/>
        <w:ind w:firstLine="426"/>
        <w:jc w:val="both"/>
      </w:pPr>
      <w:r w:rsidRPr="009955C1">
        <w:t xml:space="preserve">La memoria es un proceso complejo y, a menudo, poco fiable. La exactitud de un testimonio presencial puede verse influida por una variedad de factores anteriores, concomitantes o posteriores al evento. Entender estos elementos resulta crucial para todo operador jurídico, en la medida que ello permite evaluar de una mejor manera la fiabilidad de un testigo, que va mucho más allá de atender sólo a su comportamiento o convicción. Requiere, en realidad, de una comprensión de la psicología de la memoria y los muchos factores que pueden influir en el recuerdo. La fiabilidad del testimonio ocular es, por ende, compleja, y depende tanto de los detalles del evento como de las condiciones en las que se recuerda. </w:t>
      </w:r>
    </w:p>
    <w:p w:rsidR="00867EBE" w:rsidRPr="009955C1" w:rsidRDefault="00867EBE" w:rsidP="00D344E3">
      <w:pPr>
        <w:pStyle w:val="NormalWeb"/>
        <w:spacing w:before="0" w:beforeAutospacing="0" w:after="120" w:afterAutospacing="0" w:line="276" w:lineRule="auto"/>
        <w:ind w:firstLine="426"/>
        <w:jc w:val="both"/>
      </w:pPr>
      <w:r w:rsidRPr="009955C1">
        <w:t xml:space="preserve">La concepción popular de la memoria como una especie de biblioteca de recuerdos estáticos que pueden ser recuperados fielmente se revela, entonces, como errónea. La memoria es un proceso dinámico y reconstructivo, no una grabación pasiva de eventos. En cada una de sus tres etapas (codificación, almacenamiento y recuperación), los recuerdos son susceptibles a distorsiones y transformaciones. La codificación inicial, por ejemplo, es selectiva y parcial: no </w:t>
      </w:r>
      <w:r w:rsidR="00752CA1" w:rsidRPr="009955C1">
        <w:t>todo lo</w:t>
      </w:r>
      <w:r w:rsidRPr="009955C1">
        <w:t xml:space="preserve"> que vemos será codificado para </w:t>
      </w:r>
      <w:r w:rsidR="00752CA1" w:rsidRPr="009955C1">
        <w:t>su posterior</w:t>
      </w:r>
      <w:r w:rsidRPr="009955C1">
        <w:t xml:space="preserve"> almacenamiento. Y el proceso de recuperación es aún más problemático: cada vez que un suceso se recuerda, la "huella de la memoria" se reconstruye, lo que implica que los recuerdos pueden transformarse con cada nueva evocación.</w:t>
      </w:r>
    </w:p>
    <w:p w:rsidR="00867EBE" w:rsidRPr="009955C1" w:rsidRDefault="00867EBE" w:rsidP="00D344E3">
      <w:pPr>
        <w:pStyle w:val="NormalWeb"/>
        <w:spacing w:before="0" w:beforeAutospacing="0" w:after="120" w:afterAutospacing="0" w:line="276" w:lineRule="auto"/>
        <w:ind w:firstLine="426"/>
        <w:jc w:val="both"/>
      </w:pPr>
      <w:r w:rsidRPr="009955C1">
        <w:t xml:space="preserve">Esta naturaleza de la memoria obliga a una distinción fundamental entre dos conceptos: la </w:t>
      </w:r>
      <w:r w:rsidRPr="009955C1">
        <w:rPr>
          <w:bCs/>
          <w:i/>
          <w:bdr w:val="none" w:sz="0" w:space="0" w:color="auto" w:frame="1"/>
        </w:rPr>
        <w:t>exactitud</w:t>
      </w:r>
      <w:r w:rsidRPr="009955C1">
        <w:t xml:space="preserve"> y la </w:t>
      </w:r>
      <w:r w:rsidRPr="009955C1">
        <w:rPr>
          <w:bCs/>
          <w:i/>
          <w:bdr w:val="none" w:sz="0" w:space="0" w:color="auto" w:frame="1"/>
        </w:rPr>
        <w:t>credibilidad</w:t>
      </w:r>
      <w:r w:rsidRPr="009955C1">
        <w:t>. La exactitud se refiere a la correspondencia objetiva de un testimonio con los hechos reales, mientras que la credibilidad es la percepción subjetiva de un testigo como honesto y confiable. En la práctica tribunalicia, un testigo es considerado “creíble” cuando su testimonio es coherente, consistente y libre de contradicciones. Los criterios utilizados para valorar una declaración incluyen, por ello, la claridad y la viveza en los detalles, la cantidad de información sensorial y espacial, la reproducción de conversaciones y la estructura lógica de la narrativa.</w:t>
      </w:r>
    </w:p>
    <w:p w:rsidR="00867EBE" w:rsidRPr="009955C1" w:rsidRDefault="00867EBE" w:rsidP="00D344E3">
      <w:pPr>
        <w:pStyle w:val="NormalWeb"/>
        <w:spacing w:before="0" w:beforeAutospacing="0" w:after="120" w:afterAutospacing="0" w:line="276" w:lineRule="auto"/>
        <w:ind w:firstLine="426"/>
        <w:jc w:val="both"/>
      </w:pPr>
      <w:r w:rsidRPr="009955C1">
        <w:t>Ahora bien, la tensión entre estos dos conceptos (</w:t>
      </w:r>
      <w:r w:rsidRPr="009955C1">
        <w:rPr>
          <w:bCs/>
          <w:i/>
          <w:bdr w:val="none" w:sz="0" w:space="0" w:color="auto" w:frame="1"/>
        </w:rPr>
        <w:t>exactitud</w:t>
      </w:r>
      <w:r w:rsidRPr="009955C1">
        <w:t xml:space="preserve"> y </w:t>
      </w:r>
      <w:r w:rsidRPr="009955C1">
        <w:rPr>
          <w:bCs/>
          <w:i/>
          <w:bdr w:val="none" w:sz="0" w:space="0" w:color="auto" w:frame="1"/>
        </w:rPr>
        <w:t>credibilidad</w:t>
      </w:r>
      <w:r w:rsidRPr="009955C1">
        <w:t xml:space="preserve">) es la fuente de un error sistémico en nuestros procesos judiciales, porque la valoración judicial de la credibilidad de un testigo, basada en la consistencia y la confianza, se fundamenta en una métrica que la ciencia ha demostrado ser engañosa. Un testigo que ha sido expuesto a desinformación y ha reconstruido repetidamente su recuerdo de un evento puede, paradójicamente, parecer más confiable que otro. Y es que el acto de narrar una historia una y otra vez, incluso con información falsa incorporada, consolida la coherencia de ese </w:t>
      </w:r>
      <w:r w:rsidRPr="009955C1">
        <w:lastRenderedPageBreak/>
        <w:t xml:space="preserve">relato, haciendo que el testigo se sienta más seguro de su veracidad. Nuestros procesos judiciales, al no tener en cuenta esta dinámica, premian la apariencia de fiabilidad en lugar de la fiabilidad real. </w:t>
      </w:r>
    </w:p>
    <w:p w:rsidR="00867EBE" w:rsidRPr="009955C1" w:rsidRDefault="00867EBE" w:rsidP="00D344E3">
      <w:pPr>
        <w:pStyle w:val="NormalWeb"/>
        <w:spacing w:before="0" w:beforeAutospacing="0" w:after="120" w:afterAutospacing="0" w:line="276" w:lineRule="auto"/>
        <w:ind w:firstLine="426"/>
        <w:jc w:val="both"/>
      </w:pPr>
      <w:r w:rsidRPr="009955C1">
        <w:t xml:space="preserve">Aparece en este punto la llamada </w:t>
      </w:r>
      <w:r w:rsidRPr="009955C1">
        <w:rPr>
          <w:i/>
        </w:rPr>
        <w:t>falacia de la confianza del testigo</w:t>
      </w:r>
      <w:r w:rsidRPr="009955C1">
        <w:t xml:space="preserve">, según la cual se asume que un testigo que parece seguro y convincente también es fiable. Sin embargo, la investigación psicológica ha demostrado que </w:t>
      </w:r>
      <w:r w:rsidRPr="009955C1">
        <w:rPr>
          <w:bCs/>
        </w:rPr>
        <w:t>la confianza de un testigo no es un indicador preciso de la exactitud de su testimonio</w:t>
      </w:r>
      <w:r w:rsidRPr="009955C1">
        <w:t>. Un testigo puede estar muy seguro de su recuerdo y defenderlo enérgicamente, incluso si es completamente erróneo. Y esta confianza puede influir significativamente en un juez o en un jurado popular, haciéndolos más propensos a creer un testimonio inexacto.</w:t>
      </w:r>
    </w:p>
    <w:p w:rsidR="00867EBE" w:rsidRPr="009955C1" w:rsidRDefault="00867EBE" w:rsidP="00D344E3">
      <w:pPr>
        <w:pStyle w:val="NormalWeb"/>
        <w:spacing w:before="0" w:beforeAutospacing="0" w:after="120" w:afterAutospacing="0" w:line="276" w:lineRule="auto"/>
        <w:ind w:firstLine="426"/>
        <w:jc w:val="both"/>
      </w:pPr>
      <w:r w:rsidRPr="009955C1">
        <w:t xml:space="preserve">Un testigo que responde rápidamente y con gran confianza puede, sin más, estar cometiendo un error, pues un alto grado de confianza no es garantía de precisión. Pero lo que es aún más preocupante en lo que concierne a la valoración de la prueba testimonial en nuestros procesos judiciales, es la posibilidad de que un testigo “mienta de manera involuntaria”, cometiendo lo que se ha denominado "errores sinceros", dando una declaración que el testigo cree verdadera, pero que no lo es. En realidad, no corresponde hablar aquí de “mentira” sino de convicción del testigo, reservando el concepto de </w:t>
      </w:r>
      <w:r w:rsidRPr="009955C1">
        <w:rPr>
          <w:i/>
        </w:rPr>
        <w:t>mentira</w:t>
      </w:r>
      <w:r w:rsidRPr="009955C1">
        <w:t xml:space="preserve"> al acto de decir algo sabiendo que no es verdad. En el caso de los “errores sinceros” el testigo no </w:t>
      </w:r>
      <w:r w:rsidR="00752CA1" w:rsidRPr="009955C1">
        <w:t>miente,</w:t>
      </w:r>
      <w:r w:rsidRPr="009955C1">
        <w:t xml:space="preserve"> sino que actúa creyendo sinceramente en la exactitud de lo que dice, aunque no sea verdad.</w:t>
      </w:r>
    </w:p>
    <w:p w:rsidR="00867EBE" w:rsidRPr="009955C1" w:rsidRDefault="00867EBE" w:rsidP="00D344E3">
      <w:pPr>
        <w:pStyle w:val="NormalWeb"/>
        <w:spacing w:before="0" w:beforeAutospacing="0" w:after="120" w:afterAutospacing="0" w:line="276" w:lineRule="auto"/>
        <w:ind w:firstLine="426"/>
        <w:jc w:val="both"/>
      </w:pPr>
    </w:p>
    <w:p w:rsidR="00867EBE" w:rsidRPr="009955C1" w:rsidRDefault="00867EBE" w:rsidP="00D344E3">
      <w:pPr>
        <w:pStyle w:val="Ttulo1"/>
        <w:spacing w:after="120" w:line="276" w:lineRule="auto"/>
        <w:ind w:left="0" w:firstLine="426"/>
      </w:pPr>
      <w:r w:rsidRPr="009955C1">
        <w:t>Factores que influyen en el recuerdo</w:t>
      </w:r>
    </w:p>
    <w:p w:rsidR="00401FDF" w:rsidRDefault="00867EBE" w:rsidP="00D344E3">
      <w:pPr>
        <w:pStyle w:val="NormalWeb"/>
        <w:spacing w:before="0" w:beforeAutospacing="0" w:after="120" w:afterAutospacing="0" w:line="276" w:lineRule="auto"/>
        <w:ind w:firstLine="426"/>
        <w:jc w:val="both"/>
      </w:pPr>
      <w:r w:rsidRPr="009955C1">
        <w:t xml:space="preserve">Los </w:t>
      </w:r>
      <w:r w:rsidR="00401FDF" w:rsidRPr="009955C1">
        <w:t>factores</w:t>
      </w:r>
      <w:r w:rsidRPr="009955C1">
        <w:t xml:space="preserve"> que influyen en el recuerdo de los hechos pueden ser previos al evento, concomitantes con éste, o posteriores</w:t>
      </w:r>
      <w:r w:rsidR="00401FDF" w:rsidRPr="009955C1">
        <w:t>.</w:t>
      </w:r>
      <w:r w:rsidRPr="009955C1">
        <w:t xml:space="preserve"> </w:t>
      </w:r>
      <w:r w:rsidR="00D12A75" w:rsidRPr="009955C1">
        <w:t>Esto quiere decir que la calidad de un testimonio se ve comprometida por una variedad de factores que operan en diferentes etapas del proceso de la memoria.</w:t>
      </w:r>
      <w:r w:rsidR="001E7946">
        <w:t xml:space="preserve"> </w:t>
      </w:r>
      <w:r w:rsidR="00D12A75" w:rsidRPr="009955C1">
        <w:t xml:space="preserve">Se trata de factores psicológicos y ambientales que de algún modo “contaminan” la memoria. </w:t>
      </w:r>
      <w:r w:rsidRPr="009955C1">
        <w:t>Veamos…</w:t>
      </w:r>
    </w:p>
    <w:p w:rsidR="00752CA1" w:rsidRPr="009955C1" w:rsidRDefault="00752CA1" w:rsidP="00D344E3">
      <w:pPr>
        <w:pStyle w:val="NormalWeb"/>
        <w:spacing w:before="0" w:beforeAutospacing="0" w:after="120" w:afterAutospacing="0" w:line="276" w:lineRule="auto"/>
        <w:ind w:firstLine="426"/>
        <w:jc w:val="both"/>
      </w:pPr>
    </w:p>
    <w:p w:rsidR="00401FDF" w:rsidRPr="00D344E3" w:rsidRDefault="00401FDF" w:rsidP="000229F9">
      <w:pPr>
        <w:pStyle w:val="Ttulo2"/>
        <w:numPr>
          <w:ilvl w:val="0"/>
          <w:numId w:val="4"/>
        </w:numPr>
      </w:pPr>
      <w:r w:rsidRPr="00D344E3">
        <w:t>Factores pre-evento y durante evento</w:t>
      </w:r>
    </w:p>
    <w:p w:rsidR="009955C1" w:rsidRPr="009955C1" w:rsidRDefault="003F1DF1" w:rsidP="00D344E3">
      <w:pPr>
        <w:pStyle w:val="NormalWeb"/>
        <w:spacing w:before="0" w:beforeAutospacing="0" w:after="120" w:afterAutospacing="0" w:line="276" w:lineRule="auto"/>
        <w:ind w:firstLine="426"/>
        <w:jc w:val="both"/>
      </w:pPr>
      <w:r w:rsidRPr="009955C1">
        <w:t xml:space="preserve">Algunos de los factores que influyen </w:t>
      </w:r>
      <w:r w:rsidRPr="009955C1">
        <w:rPr>
          <w:i/>
        </w:rPr>
        <w:t>pre-evento</w:t>
      </w:r>
      <w:r w:rsidRPr="009955C1">
        <w:t xml:space="preserve"> y </w:t>
      </w:r>
      <w:r w:rsidRPr="009955C1">
        <w:rPr>
          <w:i/>
        </w:rPr>
        <w:t>d</w:t>
      </w:r>
      <w:r w:rsidR="005F2881" w:rsidRPr="009955C1">
        <w:rPr>
          <w:i/>
        </w:rPr>
        <w:t xml:space="preserve">urante el </w:t>
      </w:r>
      <w:r w:rsidRPr="009955C1">
        <w:rPr>
          <w:i/>
        </w:rPr>
        <w:t>e</w:t>
      </w:r>
      <w:r w:rsidR="005F2881" w:rsidRPr="009955C1">
        <w:rPr>
          <w:i/>
        </w:rPr>
        <w:t>vento</w:t>
      </w:r>
      <w:r w:rsidR="00401FDF" w:rsidRPr="009955C1">
        <w:t xml:space="preserve"> tienen que ver con el </w:t>
      </w:r>
      <w:r w:rsidR="005F2881" w:rsidRPr="009955C1">
        <w:t>estado de la mente de una persona y las circunstancias del suceso en sí</w:t>
      </w:r>
      <w:r w:rsidR="00401FDF" w:rsidRPr="009955C1">
        <w:t xml:space="preserve">. Son particularmente importantes aquí </w:t>
      </w:r>
      <w:r w:rsidR="009955C1" w:rsidRPr="009955C1">
        <w:t>cinco factores:</w:t>
      </w:r>
    </w:p>
    <w:p w:rsidR="009955C1" w:rsidRPr="009955C1" w:rsidRDefault="00D344E3" w:rsidP="00D344E3">
      <w:pPr>
        <w:pStyle w:val="NormalWeb"/>
        <w:spacing w:before="0" w:beforeAutospacing="0" w:after="120" w:afterAutospacing="0" w:line="276" w:lineRule="auto"/>
        <w:ind w:firstLine="426"/>
        <w:jc w:val="both"/>
      </w:pPr>
      <w:r w:rsidRPr="00752CA1">
        <w:rPr>
          <w:b/>
          <w:bCs/>
          <w:i/>
        </w:rPr>
        <w:t xml:space="preserve">a) </w:t>
      </w:r>
      <w:r w:rsidR="005F2881" w:rsidRPr="00752CA1">
        <w:rPr>
          <w:b/>
          <w:bCs/>
          <w:i/>
        </w:rPr>
        <w:t>E</w:t>
      </w:r>
      <w:r w:rsidR="00D12A75" w:rsidRPr="00752CA1">
        <w:rPr>
          <w:b/>
          <w:bCs/>
          <w:i/>
        </w:rPr>
        <w:t>l e</w:t>
      </w:r>
      <w:r w:rsidR="005F2881" w:rsidRPr="00752CA1">
        <w:rPr>
          <w:b/>
          <w:bCs/>
          <w:i/>
        </w:rPr>
        <w:t>strés</w:t>
      </w:r>
      <w:r w:rsidR="00424F8E" w:rsidRPr="009955C1">
        <w:rPr>
          <w:bCs/>
          <w:i/>
        </w:rPr>
        <w:t>.</w:t>
      </w:r>
      <w:r w:rsidR="00236A5E" w:rsidRPr="009955C1">
        <w:t xml:space="preserve"> Varios estudios científicos indican que el estrés extremo o crónico puede afectar negativamente la capacidad de una persona para recordar detalles con precisión. El estrés prolongado libera en exceso cortisol, una hormona que puede dañar estructuras cerebrales clave para la memoria, como el hipocampo, lo que reduce la capacidad de retención y recuerdo. También se ha demostrado que altos niveles de estrés hacen que los recuerdos se vuelvan más genéricos y menos precisos, dificultando recordar los detalles finos de eventos estresantes. Además, el estrés crónico afecta no solo la memoria a corto plazo sino también la capacidad para formar y recuperar recuerdos a largo plazo. Estos </w:t>
      </w:r>
      <w:r w:rsidR="00236A5E" w:rsidRPr="009955C1">
        <w:lastRenderedPageBreak/>
        <w:t>efectos se deben a cambios en el cerebro causados por las hormonas del estrés, que alteran la plasticidad neuronal y la función de áreas como la amígdala y la corteza prefrontal, involucradas en el procesamiento emocional y cognitivo</w:t>
      </w:r>
      <w:r w:rsidR="00236A5E" w:rsidRPr="009955C1">
        <w:rPr>
          <w:rStyle w:val="Refdenotaalpie"/>
        </w:rPr>
        <w:footnoteReference w:id="4"/>
      </w:r>
      <w:r w:rsidR="00236A5E" w:rsidRPr="009955C1">
        <w:t>.</w:t>
      </w:r>
      <w:r w:rsidR="00D12A75" w:rsidRPr="009955C1">
        <w:t xml:space="preserve"> Así, pues, contrario a la creencia popular de que los eventos estresantes "se graban a fuego" en la memoria, el estrés elevado afecta negativamente la memoria, especialmente para los detalles periféricos de un evento violento. En esos casos excepcionalmente traumáticos, un testigo puede experimentar un "shock cognitivo" que lo lleve a una parálisis mental o incluso a una amnesia disociativa.</w:t>
      </w:r>
    </w:p>
    <w:p w:rsidR="009955C1" w:rsidRPr="009955C1" w:rsidRDefault="00D344E3" w:rsidP="00D344E3">
      <w:pPr>
        <w:pStyle w:val="NormalWeb"/>
        <w:spacing w:before="0" w:beforeAutospacing="0" w:after="120" w:afterAutospacing="0" w:line="276" w:lineRule="auto"/>
        <w:ind w:firstLine="426"/>
        <w:jc w:val="both"/>
      </w:pPr>
      <w:r w:rsidRPr="00752CA1">
        <w:rPr>
          <w:b/>
          <w:bCs/>
          <w:i/>
        </w:rPr>
        <w:t>b</w:t>
      </w:r>
      <w:r w:rsidRPr="00752CA1">
        <w:rPr>
          <w:b/>
          <w:bCs/>
          <w:i/>
        </w:rPr>
        <w:t xml:space="preserve">) </w:t>
      </w:r>
      <w:r w:rsidR="00D12A75" w:rsidRPr="00752CA1">
        <w:rPr>
          <w:b/>
          <w:bCs/>
          <w:i/>
        </w:rPr>
        <w:t>El m</w:t>
      </w:r>
      <w:r w:rsidR="00236A5E" w:rsidRPr="00752CA1">
        <w:rPr>
          <w:b/>
          <w:bCs/>
          <w:i/>
        </w:rPr>
        <w:t>iedo</w:t>
      </w:r>
      <w:r w:rsidR="00236A5E" w:rsidRPr="009955C1">
        <w:rPr>
          <w:bCs/>
          <w:i/>
        </w:rPr>
        <w:t>.</w:t>
      </w:r>
      <w:r w:rsidR="00236A5E" w:rsidRPr="009955C1">
        <w:t xml:space="preserve"> E</w:t>
      </w:r>
      <w:r w:rsidR="005F2881" w:rsidRPr="009955C1">
        <w:t>n una situación de mucho miedo, como un robo o un asalto, la atención se centra en la supervivencia, no en memorizar detalles de la persona o el entorno.</w:t>
      </w:r>
      <w:r w:rsidR="00236A5E" w:rsidRPr="009955C1">
        <w:t xml:space="preserve"> El miedo es una emoción primitiva que activa mecanismos en el cerebro para proteger al individuo, enfocando la atención en el peligro inmediato. Por esta razón, los recuerdos pueden volverse más generales y menos precisos en cuanto a detalles de la persona o el entorno</w:t>
      </w:r>
      <w:r w:rsidR="00236A5E" w:rsidRPr="009955C1">
        <w:rPr>
          <w:rStyle w:val="Refdenotaalpie"/>
        </w:rPr>
        <w:footnoteReference w:id="5"/>
      </w:r>
      <w:r w:rsidR="00236A5E" w:rsidRPr="009955C1">
        <w:t>.</w:t>
      </w:r>
    </w:p>
    <w:p w:rsidR="009955C1" w:rsidRPr="009955C1" w:rsidRDefault="00D344E3" w:rsidP="00D344E3">
      <w:pPr>
        <w:pStyle w:val="NormalWeb"/>
        <w:spacing w:before="0" w:beforeAutospacing="0" w:after="120" w:afterAutospacing="0" w:line="276" w:lineRule="auto"/>
        <w:ind w:firstLine="426"/>
        <w:jc w:val="both"/>
      </w:pPr>
      <w:r w:rsidRPr="00752CA1">
        <w:rPr>
          <w:b/>
          <w:bCs/>
          <w:i/>
        </w:rPr>
        <w:t>c</w:t>
      </w:r>
      <w:r w:rsidRPr="00752CA1">
        <w:rPr>
          <w:b/>
          <w:bCs/>
          <w:i/>
        </w:rPr>
        <w:t xml:space="preserve">) </w:t>
      </w:r>
      <w:r w:rsidR="00D12A75" w:rsidRPr="00752CA1">
        <w:rPr>
          <w:b/>
          <w:bCs/>
          <w:i/>
        </w:rPr>
        <w:t>El tiempo de e</w:t>
      </w:r>
      <w:r w:rsidR="005F2881" w:rsidRPr="00752CA1">
        <w:rPr>
          <w:b/>
          <w:bCs/>
          <w:i/>
        </w:rPr>
        <w:t>xposición</w:t>
      </w:r>
      <w:r w:rsidR="00424F8E" w:rsidRPr="009955C1">
        <w:rPr>
          <w:bCs/>
          <w:i/>
        </w:rPr>
        <w:t>.</w:t>
      </w:r>
      <w:r w:rsidR="005F2881" w:rsidRPr="009955C1">
        <w:t xml:space="preserve"> La cantidad de tiempo que un testigo tiene para observar a la persona o el evento es crítica. Un vistazo rápido de un asaltante en una calle poco iluminada es mucho menos fiable que una observación más prolongada a plena luz del día</w:t>
      </w:r>
      <w:r w:rsidR="00D72C0D" w:rsidRPr="009955C1">
        <w:t>, como desde luego lo indica el sentido común</w:t>
      </w:r>
      <w:r w:rsidR="005F2881" w:rsidRPr="009955C1">
        <w:t>.</w:t>
      </w:r>
    </w:p>
    <w:p w:rsidR="009955C1" w:rsidRPr="009955C1" w:rsidRDefault="00D344E3" w:rsidP="00D344E3">
      <w:pPr>
        <w:pStyle w:val="NormalWeb"/>
        <w:spacing w:before="0" w:beforeAutospacing="0" w:after="120" w:afterAutospacing="0" w:line="276" w:lineRule="auto"/>
        <w:ind w:firstLine="426"/>
        <w:jc w:val="both"/>
      </w:pPr>
      <w:r w:rsidRPr="00752CA1">
        <w:rPr>
          <w:b/>
          <w:bCs/>
          <w:i/>
        </w:rPr>
        <w:t>d</w:t>
      </w:r>
      <w:r w:rsidRPr="00752CA1">
        <w:rPr>
          <w:b/>
          <w:bCs/>
          <w:i/>
        </w:rPr>
        <w:t xml:space="preserve">) </w:t>
      </w:r>
      <w:r w:rsidR="00D12A75" w:rsidRPr="00752CA1">
        <w:rPr>
          <w:b/>
          <w:bCs/>
          <w:i/>
        </w:rPr>
        <w:t>El foco en el a</w:t>
      </w:r>
      <w:r w:rsidR="005F2881" w:rsidRPr="00752CA1">
        <w:rPr>
          <w:b/>
          <w:bCs/>
          <w:i/>
        </w:rPr>
        <w:t>rma</w:t>
      </w:r>
      <w:r w:rsidR="005F2881" w:rsidRPr="009955C1">
        <w:rPr>
          <w:bCs/>
          <w:i/>
        </w:rPr>
        <w:t>:</w:t>
      </w:r>
      <w:r w:rsidR="005F2881" w:rsidRPr="009955C1">
        <w:t xml:space="preserve"> Un fenómeno conocido como </w:t>
      </w:r>
      <w:r w:rsidR="00D12A75" w:rsidRPr="009955C1">
        <w:rPr>
          <w:bCs/>
        </w:rPr>
        <w:t>“enfoque en el arma” o “foco en el arma”</w:t>
      </w:r>
      <w:r w:rsidR="005F2881" w:rsidRPr="009955C1">
        <w:t xml:space="preserve"> ocurre cuando un testigo se concentra en un arma (como un cuchillo o una pistola) en lugar de en la cara de la persona que la sostiene. Este enfoque tan estrecho </w:t>
      </w:r>
      <w:r w:rsidR="005F2881" w:rsidRPr="009955C1">
        <w:lastRenderedPageBreak/>
        <w:t>reduce drásticamente la capacidad de recordar otros detalles del perpetrador</w:t>
      </w:r>
      <w:r w:rsidR="00D72C0D" w:rsidRPr="009955C1">
        <w:rPr>
          <w:rStyle w:val="Refdenotaalpie"/>
        </w:rPr>
        <w:footnoteReference w:id="6"/>
      </w:r>
      <w:r w:rsidR="005F2881" w:rsidRPr="009955C1">
        <w:t>.</w:t>
      </w:r>
      <w:r w:rsidR="00D12A75" w:rsidRPr="009955C1">
        <w:t xml:space="preserve"> La atención visual del testigo se desvía hacia el objeto inusual y amenazante, lo que perjudica la capacidad de hacer una identificación confiable o de describir al culpable si el delito es de corta duración.</w:t>
      </w:r>
    </w:p>
    <w:p w:rsidR="00D12A75" w:rsidRPr="009955C1" w:rsidRDefault="00D344E3" w:rsidP="00D344E3">
      <w:pPr>
        <w:pStyle w:val="NormalWeb"/>
        <w:spacing w:before="0" w:beforeAutospacing="0" w:after="120" w:afterAutospacing="0" w:line="276" w:lineRule="auto"/>
        <w:ind w:firstLine="426"/>
        <w:jc w:val="both"/>
      </w:pPr>
      <w:r w:rsidRPr="00752CA1">
        <w:rPr>
          <w:b/>
          <w:bCs/>
          <w:i/>
        </w:rPr>
        <w:t>e</w:t>
      </w:r>
      <w:r w:rsidRPr="00752CA1">
        <w:rPr>
          <w:b/>
          <w:bCs/>
          <w:i/>
        </w:rPr>
        <w:t xml:space="preserve">) </w:t>
      </w:r>
      <w:r w:rsidR="00D12A75" w:rsidRPr="00752CA1">
        <w:rPr>
          <w:b/>
          <w:bCs/>
          <w:i/>
        </w:rPr>
        <w:t>Factores ambientales</w:t>
      </w:r>
      <w:r w:rsidR="00D12A75" w:rsidRPr="009955C1">
        <w:rPr>
          <w:bCs/>
          <w:i/>
        </w:rPr>
        <w:t xml:space="preserve">. </w:t>
      </w:r>
      <w:r w:rsidR="00D12A75" w:rsidRPr="009955C1">
        <w:t xml:space="preserve">Otros factores que influyen en la “codificación” del recuerdo incluyen las condiciones ambientales. </w:t>
      </w:r>
      <w:r w:rsidR="002258B5" w:rsidRPr="009955C1">
        <w:t xml:space="preserve">Elementos como la percepción del color, la iluminación, la distancia, la perspectiva, y la audición influyen en la precisión del recuerdo. </w:t>
      </w:r>
      <w:r w:rsidR="00D12A75" w:rsidRPr="009955C1">
        <w:t>La calidad de la percepción inicial</w:t>
      </w:r>
      <w:r w:rsidR="002258B5" w:rsidRPr="009955C1">
        <w:t>, por tanto,</w:t>
      </w:r>
      <w:r w:rsidR="00D12A75" w:rsidRPr="009955C1">
        <w:t xml:space="preserve"> se ve directamente afectada por la distancia entre el testigo y el suceso, las condiciones de iluminación y la presencia de m</w:t>
      </w:r>
      <w:r w:rsidR="002258B5" w:rsidRPr="009955C1">
        <w:t>ovimiento de personas u objetos</w:t>
      </w:r>
      <w:r w:rsidR="00D12A75" w:rsidRPr="009955C1">
        <w:t>.</w:t>
      </w:r>
    </w:p>
    <w:p w:rsidR="00D12A75" w:rsidRPr="009955C1" w:rsidRDefault="00D12A75" w:rsidP="00D344E3">
      <w:pPr>
        <w:pStyle w:val="NormalWeb"/>
        <w:spacing w:before="0" w:beforeAutospacing="0" w:after="120" w:afterAutospacing="0" w:line="276" w:lineRule="auto"/>
        <w:ind w:firstLine="426"/>
        <w:jc w:val="both"/>
      </w:pPr>
    </w:p>
    <w:p w:rsidR="005F2881" w:rsidRPr="00D344E3" w:rsidRDefault="005F2881" w:rsidP="000229F9">
      <w:pPr>
        <w:pStyle w:val="Ttulo2"/>
        <w:numPr>
          <w:ilvl w:val="0"/>
          <w:numId w:val="4"/>
        </w:numPr>
      </w:pPr>
      <w:r w:rsidRPr="00D344E3">
        <w:t xml:space="preserve">Factores </w:t>
      </w:r>
      <w:r w:rsidR="00E448FD" w:rsidRPr="00D344E3">
        <w:t>post-evento</w:t>
      </w:r>
    </w:p>
    <w:p w:rsidR="00D12A75" w:rsidRPr="009955C1" w:rsidRDefault="005F2881" w:rsidP="00D344E3">
      <w:pPr>
        <w:spacing w:after="120" w:line="276" w:lineRule="auto"/>
        <w:ind w:firstLine="426"/>
        <w:jc w:val="both"/>
        <w:rPr>
          <w:rFonts w:ascii="Times New Roman" w:hAnsi="Times New Roman" w:cs="Times New Roman"/>
          <w:bCs/>
          <w:color w:val="auto"/>
          <w:sz w:val="24"/>
          <w:szCs w:val="24"/>
        </w:rPr>
      </w:pPr>
      <w:r w:rsidRPr="009955C1">
        <w:rPr>
          <w:rFonts w:ascii="Times New Roman" w:hAnsi="Times New Roman" w:cs="Times New Roman"/>
          <w:color w:val="auto"/>
          <w:sz w:val="24"/>
          <w:szCs w:val="24"/>
        </w:rPr>
        <w:t>Lo que sucede después de que ocurre un evento</w:t>
      </w:r>
      <w:r w:rsidR="00D72C0D" w:rsidRPr="009955C1">
        <w:rPr>
          <w:rFonts w:ascii="Times New Roman" w:hAnsi="Times New Roman" w:cs="Times New Roman"/>
          <w:color w:val="auto"/>
          <w:sz w:val="24"/>
          <w:szCs w:val="24"/>
        </w:rPr>
        <w:t xml:space="preserve"> también</w:t>
      </w:r>
      <w:r w:rsidRPr="009955C1">
        <w:rPr>
          <w:rFonts w:ascii="Times New Roman" w:hAnsi="Times New Roman" w:cs="Times New Roman"/>
          <w:color w:val="auto"/>
          <w:sz w:val="24"/>
          <w:szCs w:val="24"/>
        </w:rPr>
        <w:t xml:space="preserve"> puede contaminar la memoria de un testigo.</w:t>
      </w:r>
      <w:r w:rsidR="00D72C0D" w:rsidRPr="009955C1">
        <w:rPr>
          <w:rFonts w:ascii="Times New Roman" w:hAnsi="Times New Roman" w:cs="Times New Roman"/>
          <w:color w:val="auto"/>
          <w:sz w:val="24"/>
          <w:szCs w:val="24"/>
        </w:rPr>
        <w:t xml:space="preserve"> Entran en juego aquí las </w:t>
      </w:r>
      <w:r w:rsidR="00D72C0D" w:rsidRPr="009955C1">
        <w:rPr>
          <w:rFonts w:ascii="Times New Roman" w:hAnsi="Times New Roman" w:cs="Times New Roman"/>
          <w:bCs/>
          <w:color w:val="auto"/>
          <w:sz w:val="24"/>
          <w:szCs w:val="24"/>
        </w:rPr>
        <w:t>preguntas sugestivas, la interacción con otros testigos y el paso del tiempo</w:t>
      </w:r>
      <w:r w:rsidR="00D12A75" w:rsidRPr="009955C1">
        <w:rPr>
          <w:rFonts w:ascii="Times New Roman" w:hAnsi="Times New Roman" w:cs="Times New Roman"/>
          <w:bCs/>
          <w:color w:val="auto"/>
          <w:sz w:val="24"/>
          <w:szCs w:val="24"/>
        </w:rPr>
        <w:t>, es decir, los f</w:t>
      </w:r>
      <w:r w:rsidR="00D12A75" w:rsidRPr="009955C1">
        <w:rPr>
          <w:rFonts w:ascii="Times New Roman" w:hAnsi="Times New Roman" w:cs="Times New Roman"/>
          <w:color w:val="auto"/>
          <w:sz w:val="24"/>
          <w:szCs w:val="24"/>
        </w:rPr>
        <w:t>actores que influyen durante la “recuperación” de la memoria, es decir, el momento en que se brinda el testimonio.</w:t>
      </w:r>
    </w:p>
    <w:p w:rsidR="00D12A75" w:rsidRPr="00752CA1" w:rsidRDefault="00752CA1" w:rsidP="00752CA1">
      <w:pPr>
        <w:spacing w:after="120" w:line="276" w:lineRule="auto"/>
        <w:ind w:firstLine="426"/>
        <w:jc w:val="both"/>
        <w:rPr>
          <w:rFonts w:ascii="Times New Roman" w:hAnsi="Times New Roman" w:cs="Times New Roman"/>
          <w:color w:val="auto"/>
          <w:sz w:val="24"/>
          <w:szCs w:val="24"/>
        </w:rPr>
      </w:pPr>
      <w:r w:rsidRPr="00752CA1">
        <w:rPr>
          <w:rFonts w:ascii="Times New Roman" w:hAnsi="Times New Roman" w:cs="Times New Roman"/>
          <w:b/>
          <w:bCs/>
          <w:i/>
          <w:sz w:val="24"/>
          <w:szCs w:val="24"/>
        </w:rPr>
        <w:t xml:space="preserve">a) </w:t>
      </w:r>
      <w:r w:rsidR="00672C16" w:rsidRPr="00752CA1">
        <w:rPr>
          <w:rFonts w:ascii="Times New Roman" w:hAnsi="Times New Roman" w:cs="Times New Roman"/>
          <w:b/>
          <w:bCs/>
          <w:i/>
          <w:color w:val="auto"/>
          <w:sz w:val="24"/>
          <w:szCs w:val="24"/>
        </w:rPr>
        <w:t>Preguntas sugestivas</w:t>
      </w:r>
      <w:r w:rsidR="005F2881" w:rsidRPr="00752CA1">
        <w:rPr>
          <w:rFonts w:ascii="Times New Roman" w:hAnsi="Times New Roman" w:cs="Times New Roman"/>
          <w:b/>
          <w:bCs/>
          <w:i/>
          <w:color w:val="auto"/>
          <w:sz w:val="24"/>
          <w:szCs w:val="24"/>
        </w:rPr>
        <w:t>:</w:t>
      </w:r>
      <w:r w:rsidR="005F2881" w:rsidRPr="00752CA1">
        <w:rPr>
          <w:rFonts w:ascii="Times New Roman" w:hAnsi="Times New Roman" w:cs="Times New Roman"/>
          <w:color w:val="auto"/>
          <w:sz w:val="24"/>
          <w:szCs w:val="24"/>
        </w:rPr>
        <w:t xml:space="preserve"> La forma en que se le pregunta a un testigo sobre el evento puede cambiar su recuerdo. Por ejemplo, preguntar </w:t>
      </w:r>
      <w:r w:rsidR="00672C16" w:rsidRPr="00752CA1">
        <w:rPr>
          <w:rFonts w:ascii="Times New Roman" w:hAnsi="Times New Roman" w:cs="Times New Roman"/>
          <w:i/>
          <w:color w:val="auto"/>
          <w:sz w:val="24"/>
          <w:szCs w:val="24"/>
        </w:rPr>
        <w:t>“</w:t>
      </w:r>
      <w:r w:rsidR="005F2881" w:rsidRPr="00752CA1">
        <w:rPr>
          <w:rFonts w:ascii="Times New Roman" w:hAnsi="Times New Roman" w:cs="Times New Roman"/>
          <w:i/>
          <w:color w:val="auto"/>
          <w:sz w:val="24"/>
          <w:szCs w:val="24"/>
        </w:rPr>
        <w:t xml:space="preserve">¿Viste el </w:t>
      </w:r>
      <w:r w:rsidR="00672C16" w:rsidRPr="00752CA1">
        <w:rPr>
          <w:rFonts w:ascii="Times New Roman" w:hAnsi="Times New Roman" w:cs="Times New Roman"/>
          <w:i/>
          <w:color w:val="auto"/>
          <w:sz w:val="24"/>
          <w:szCs w:val="24"/>
        </w:rPr>
        <w:t>automóvil azul que se escapó?”</w:t>
      </w:r>
      <w:r w:rsidR="005F2881" w:rsidRPr="00752CA1">
        <w:rPr>
          <w:rFonts w:ascii="Times New Roman" w:hAnsi="Times New Roman" w:cs="Times New Roman"/>
          <w:color w:val="auto"/>
          <w:sz w:val="24"/>
          <w:szCs w:val="24"/>
        </w:rPr>
        <w:t xml:space="preserve"> puede hacer que un testigo recuerde falsamente un coche azul, incluso si no lo había visto antes. Esta información externa se </w:t>
      </w:r>
      <w:r w:rsidR="001066E7" w:rsidRPr="00752CA1">
        <w:rPr>
          <w:rFonts w:ascii="Times New Roman" w:hAnsi="Times New Roman" w:cs="Times New Roman"/>
          <w:color w:val="auto"/>
          <w:sz w:val="24"/>
          <w:szCs w:val="24"/>
        </w:rPr>
        <w:t>fusiona con la memoria original, de modo tal que la</w:t>
      </w:r>
      <w:r w:rsidR="001066E7" w:rsidRPr="00752CA1">
        <w:rPr>
          <w:rFonts w:ascii="Times New Roman" w:hAnsi="Times New Roman" w:cs="Times New Roman"/>
          <w:color w:val="auto"/>
          <w:sz w:val="24"/>
          <w:szCs w:val="24"/>
        </w:rPr>
        <w:t>s preguntas dirigidas pueden implantar falsos recuerdos</w:t>
      </w:r>
      <w:r w:rsidR="005129DB" w:rsidRPr="00752CA1">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00D12A75" w:rsidRPr="00752CA1">
        <w:rPr>
          <w:rFonts w:ascii="Times New Roman" w:hAnsi="Times New Roman" w:cs="Times New Roman"/>
          <w:color w:val="auto"/>
          <w:sz w:val="24"/>
          <w:szCs w:val="24"/>
        </w:rPr>
        <w:t xml:space="preserve">Se habla en este punto del </w:t>
      </w:r>
      <w:r w:rsidR="00D12A75" w:rsidRPr="00752CA1">
        <w:rPr>
          <w:rFonts w:ascii="Times New Roman" w:hAnsi="Times New Roman" w:cs="Times New Roman"/>
          <w:bCs/>
          <w:i/>
          <w:color w:val="auto"/>
          <w:sz w:val="24"/>
          <w:szCs w:val="24"/>
          <w:bdr w:val="none" w:sz="0" w:space="0" w:color="auto" w:frame="1"/>
        </w:rPr>
        <w:t>“efecto desinformación”</w:t>
      </w:r>
      <w:r w:rsidR="00D12A75" w:rsidRPr="00752CA1">
        <w:rPr>
          <w:rFonts w:ascii="Times New Roman" w:hAnsi="Times New Roman" w:cs="Times New Roman"/>
          <w:color w:val="auto"/>
          <w:sz w:val="24"/>
          <w:szCs w:val="24"/>
        </w:rPr>
        <w:t xml:space="preserve"> que es el fenómeno por el cual la memoria de un testigo se altera tras la exposición a información engañosa después del evento. La investigación pionera de Elizabeth Loftus en la década de 1970 demostró este efecto de manera </w:t>
      </w:r>
      <w:r w:rsidRPr="00752CA1">
        <w:rPr>
          <w:rFonts w:ascii="Times New Roman" w:hAnsi="Times New Roman" w:cs="Times New Roman"/>
          <w:color w:val="auto"/>
          <w:sz w:val="24"/>
          <w:szCs w:val="24"/>
        </w:rPr>
        <w:t>elocuente</w:t>
      </w:r>
      <w:r w:rsidR="00D12A75" w:rsidRPr="00752CA1">
        <w:rPr>
          <w:rFonts w:ascii="Times New Roman" w:hAnsi="Times New Roman" w:cs="Times New Roman"/>
          <w:color w:val="auto"/>
          <w:sz w:val="24"/>
          <w:szCs w:val="24"/>
        </w:rPr>
        <w:t>. En su famoso experimento, Loftus mostró a los participantes un video de un accidente de tráfico y les preguntó sobre la velocidad de los coches, utilizando diferentes verbos. El grupo al que se le preguntó usando el verbo "aplastado" predijo una velocidad más alta y, una semana después, era más propenso a recordar falsamente que había visto cristales rot</w:t>
      </w:r>
      <w:r w:rsidR="00E448FD" w:rsidRPr="00752CA1">
        <w:rPr>
          <w:rFonts w:ascii="Times New Roman" w:hAnsi="Times New Roman" w:cs="Times New Roman"/>
          <w:color w:val="auto"/>
          <w:sz w:val="24"/>
          <w:szCs w:val="24"/>
        </w:rPr>
        <w:t>os, que en realidad no existían</w:t>
      </w:r>
      <w:r w:rsidR="00D12A75" w:rsidRPr="00752CA1">
        <w:rPr>
          <w:rFonts w:ascii="Times New Roman" w:hAnsi="Times New Roman" w:cs="Times New Roman"/>
          <w:color w:val="auto"/>
          <w:sz w:val="24"/>
          <w:szCs w:val="24"/>
        </w:rPr>
        <w:t xml:space="preserve">. La información errónea proporcionada en la pregunta se había integrado sin problemas en </w:t>
      </w:r>
      <w:r w:rsidR="00E448FD" w:rsidRPr="00752CA1">
        <w:rPr>
          <w:rFonts w:ascii="Times New Roman" w:hAnsi="Times New Roman" w:cs="Times New Roman"/>
          <w:color w:val="auto"/>
          <w:sz w:val="24"/>
          <w:szCs w:val="24"/>
        </w:rPr>
        <w:t>el recuerdo del evento original</w:t>
      </w:r>
      <w:r w:rsidR="00D12A75" w:rsidRPr="00752CA1">
        <w:rPr>
          <w:rFonts w:ascii="Times New Roman" w:hAnsi="Times New Roman" w:cs="Times New Roman"/>
          <w:color w:val="auto"/>
          <w:sz w:val="24"/>
          <w:szCs w:val="24"/>
        </w:rPr>
        <w:t xml:space="preserve">. Este efecto es más probable cuando ha transcurrido un tiempo considerable, permitiendo que el </w:t>
      </w:r>
      <w:r w:rsidR="00E448FD" w:rsidRPr="00752CA1">
        <w:rPr>
          <w:rFonts w:ascii="Times New Roman" w:hAnsi="Times New Roman" w:cs="Times New Roman"/>
          <w:color w:val="auto"/>
          <w:sz w:val="24"/>
          <w:szCs w:val="24"/>
        </w:rPr>
        <w:t>recuerdo original se desvanezca</w:t>
      </w:r>
      <w:r w:rsidR="00E448FD" w:rsidRPr="00752CA1">
        <w:rPr>
          <w:rStyle w:val="Refdenotaalpie"/>
          <w:rFonts w:ascii="Times New Roman" w:hAnsi="Times New Roman" w:cs="Times New Roman"/>
          <w:color w:val="auto"/>
          <w:sz w:val="24"/>
          <w:szCs w:val="24"/>
        </w:rPr>
        <w:footnoteReference w:id="7"/>
      </w:r>
      <w:r w:rsidR="00D12A75" w:rsidRPr="00752CA1">
        <w:rPr>
          <w:rFonts w:ascii="Times New Roman" w:hAnsi="Times New Roman" w:cs="Times New Roman"/>
          <w:color w:val="auto"/>
          <w:sz w:val="24"/>
          <w:szCs w:val="24"/>
        </w:rPr>
        <w:t>.</w:t>
      </w:r>
    </w:p>
    <w:p w:rsidR="005F2881" w:rsidRPr="00752CA1" w:rsidRDefault="00752CA1" w:rsidP="00752CA1">
      <w:pPr>
        <w:pStyle w:val="NormalWeb"/>
        <w:spacing w:before="0" w:beforeAutospacing="0" w:after="120" w:afterAutospacing="0" w:line="276" w:lineRule="auto"/>
        <w:ind w:firstLine="426"/>
        <w:jc w:val="both"/>
      </w:pPr>
      <w:r w:rsidRPr="00752CA1">
        <w:rPr>
          <w:b/>
          <w:bCs/>
          <w:i/>
        </w:rPr>
        <w:lastRenderedPageBreak/>
        <w:t>b</w:t>
      </w:r>
      <w:r w:rsidRPr="00752CA1">
        <w:rPr>
          <w:b/>
          <w:bCs/>
          <w:i/>
        </w:rPr>
        <w:t>)</w:t>
      </w:r>
      <w:r w:rsidRPr="00752CA1">
        <w:rPr>
          <w:b/>
          <w:bCs/>
          <w:i/>
        </w:rPr>
        <w:t xml:space="preserve"> </w:t>
      </w:r>
      <w:r w:rsidR="00672C16" w:rsidRPr="00752CA1">
        <w:rPr>
          <w:b/>
          <w:bCs/>
          <w:i/>
        </w:rPr>
        <w:t>Interacción con otros testigos</w:t>
      </w:r>
      <w:r w:rsidR="005F2881" w:rsidRPr="00752CA1">
        <w:rPr>
          <w:b/>
          <w:bCs/>
          <w:i/>
        </w:rPr>
        <w:t>:</w:t>
      </w:r>
      <w:r w:rsidR="005F2881" w:rsidRPr="00752CA1">
        <w:t xml:space="preserve"> </w:t>
      </w:r>
      <w:r w:rsidR="00672C16" w:rsidRPr="00752CA1">
        <w:t>Diversos estudios han demostrado ya con incontrastable evidencia que h</w:t>
      </w:r>
      <w:r w:rsidR="005F2881" w:rsidRPr="00752CA1">
        <w:t>ablar con otros testigos puede influir en la memoria de una persona. Si otro testigo menciona un detalle que no se vio, esa información puede ser adoptada y recordada como si fuera propia</w:t>
      </w:r>
      <w:r w:rsidR="00182E7D" w:rsidRPr="00752CA1">
        <w:rPr>
          <w:rStyle w:val="Refdenotaalpie"/>
        </w:rPr>
        <w:footnoteReference w:id="8"/>
      </w:r>
      <w:r w:rsidR="005F2881" w:rsidRPr="00752CA1">
        <w:t>.</w:t>
      </w:r>
      <w:r w:rsidR="00672C16" w:rsidRPr="00752CA1">
        <w:t xml:space="preserve"> Y esto es mucho más </w:t>
      </w:r>
      <w:r w:rsidR="00182E7D" w:rsidRPr="00752CA1">
        <w:t>acentuado</w:t>
      </w:r>
      <w:r w:rsidR="00672C16" w:rsidRPr="00752CA1">
        <w:t xml:space="preserve"> en los casos de menores de edad, que </w:t>
      </w:r>
      <w:r w:rsidR="00182E7D" w:rsidRPr="00752CA1">
        <w:t>por regla general</w:t>
      </w:r>
      <w:r w:rsidR="00672C16" w:rsidRPr="00752CA1">
        <w:t xml:space="preserve"> son mucho más influenciables que los adultos</w:t>
      </w:r>
      <w:r w:rsidR="00B639FE" w:rsidRPr="00752CA1">
        <w:t>. De ahí que validez de la</w:t>
      </w:r>
      <w:r w:rsidR="00672C16" w:rsidRPr="00752CA1">
        <w:t xml:space="preserve"> llamada “Cámara Gesell”</w:t>
      </w:r>
      <w:r w:rsidR="00B639FE" w:rsidRPr="00752CA1">
        <w:t xml:space="preserve">, es decir, el testimonio que se obtiene de menores por parte de psicólogos infantiles que se encierran con ellos en una habitación tratando de extraer “información” es relativo y </w:t>
      </w:r>
      <w:r w:rsidR="00182E7D" w:rsidRPr="00752CA1">
        <w:t>debe ser tomado con pinzas</w:t>
      </w:r>
      <w:r w:rsidR="00B639FE" w:rsidRPr="00752CA1">
        <w:t>. Aunque el objetivo fundamental de la Cámara Gesell es evitar la re</w:t>
      </w:r>
      <w:r>
        <w:t>-</w:t>
      </w:r>
      <w:r w:rsidR="00B639FE" w:rsidRPr="00752CA1">
        <w:t>victimización del niño, hay que tener presente que</w:t>
      </w:r>
      <w:r w:rsidR="00083E4B" w:rsidRPr="00752CA1">
        <w:t>,</w:t>
      </w:r>
      <w:r w:rsidR="00B639FE" w:rsidRPr="00752CA1">
        <w:t xml:space="preserve"> lo que en tal contexto se dice o</w:t>
      </w:r>
      <w:r w:rsidR="00083E4B" w:rsidRPr="00752CA1">
        <w:t xml:space="preserve"> se </w:t>
      </w:r>
      <w:r w:rsidR="00B639FE" w:rsidRPr="00752CA1">
        <w:t>sugiere</w:t>
      </w:r>
      <w:r w:rsidR="00083E4B" w:rsidRPr="00752CA1">
        <w:t>,</w:t>
      </w:r>
      <w:r w:rsidR="00B639FE" w:rsidRPr="00752CA1">
        <w:t xml:space="preserve"> puede ser</w:t>
      </w:r>
      <w:r w:rsidR="00083E4B" w:rsidRPr="00752CA1">
        <w:t xml:space="preserve"> producto de la contaminación de la memoria debido al diálogo precedente con mayores de edad.</w:t>
      </w:r>
      <w:r w:rsidR="00B639FE" w:rsidRPr="00752CA1">
        <w:t xml:space="preserve"> </w:t>
      </w:r>
    </w:p>
    <w:p w:rsidR="00E448FD" w:rsidRPr="00752CA1" w:rsidRDefault="00752CA1" w:rsidP="00752CA1">
      <w:pPr>
        <w:pStyle w:val="NormalWeb"/>
        <w:spacing w:before="0" w:beforeAutospacing="0" w:after="120" w:afterAutospacing="0" w:line="276" w:lineRule="auto"/>
        <w:ind w:firstLine="426"/>
        <w:jc w:val="both"/>
      </w:pPr>
      <w:r w:rsidRPr="00752CA1">
        <w:rPr>
          <w:b/>
          <w:bCs/>
          <w:i/>
        </w:rPr>
        <w:t>c</w:t>
      </w:r>
      <w:r w:rsidRPr="00752CA1">
        <w:rPr>
          <w:b/>
          <w:bCs/>
          <w:i/>
        </w:rPr>
        <w:t>)</w:t>
      </w:r>
      <w:r w:rsidRPr="00752CA1">
        <w:rPr>
          <w:b/>
          <w:bCs/>
          <w:i/>
        </w:rPr>
        <w:t xml:space="preserve"> </w:t>
      </w:r>
      <w:r w:rsidR="00672C16" w:rsidRPr="00752CA1">
        <w:rPr>
          <w:b/>
          <w:bCs/>
          <w:i/>
        </w:rPr>
        <w:t>Paso del tiempo</w:t>
      </w:r>
      <w:r w:rsidR="005F2881" w:rsidRPr="00752CA1">
        <w:rPr>
          <w:b/>
          <w:bCs/>
          <w:i/>
        </w:rPr>
        <w:t>:</w:t>
      </w:r>
      <w:r w:rsidR="005F2881" w:rsidRPr="00752CA1">
        <w:t xml:space="preserve"> La memoria se desvanece con el tiempo. Cuanto más tiempo pase entre el evento y el interrogatorio, más probable es que los detalles se olviden o se distorsionen. La memoria no es como una grabación de video; se reconstruye cada vez que se accede a ella y puede ser alterada en el proceso.</w:t>
      </w:r>
    </w:p>
    <w:p w:rsidR="002258B5" w:rsidRPr="00752CA1" w:rsidRDefault="00752CA1" w:rsidP="00752CA1">
      <w:pPr>
        <w:pStyle w:val="NormalWeb"/>
        <w:spacing w:before="0" w:beforeAutospacing="0" w:after="120" w:afterAutospacing="0" w:line="276" w:lineRule="auto"/>
        <w:ind w:firstLine="426"/>
        <w:jc w:val="both"/>
      </w:pPr>
      <w:r w:rsidRPr="00752CA1">
        <w:rPr>
          <w:b/>
          <w:bCs/>
          <w:i/>
        </w:rPr>
        <w:t>d</w:t>
      </w:r>
      <w:r w:rsidRPr="00752CA1">
        <w:rPr>
          <w:b/>
          <w:bCs/>
          <w:i/>
        </w:rPr>
        <w:t>)</w:t>
      </w:r>
      <w:r w:rsidRPr="00752CA1">
        <w:rPr>
          <w:b/>
          <w:bCs/>
          <w:i/>
        </w:rPr>
        <w:t xml:space="preserve"> </w:t>
      </w:r>
      <w:r w:rsidR="00E448FD" w:rsidRPr="00752CA1">
        <w:rPr>
          <w:b/>
          <w:bCs/>
          <w:i/>
        </w:rPr>
        <w:t>Narración repetida:</w:t>
      </w:r>
      <w:r w:rsidR="00E448FD" w:rsidRPr="00752CA1">
        <w:t xml:space="preserve"> </w:t>
      </w:r>
      <w:r w:rsidR="006F5925" w:rsidRPr="00752CA1">
        <w:t xml:space="preserve">La </w:t>
      </w:r>
      <w:r w:rsidR="006F5925" w:rsidRPr="00752CA1">
        <w:rPr>
          <w:bCs/>
          <w:bdr w:val="none" w:sz="0" w:space="0" w:color="auto" w:frame="1"/>
        </w:rPr>
        <w:t>distorsión por la narración repetida</w:t>
      </w:r>
      <w:r w:rsidR="006F5925" w:rsidRPr="00752CA1">
        <w:t xml:space="preserve"> es otro factor crítico</w:t>
      </w:r>
      <w:r w:rsidR="00E448FD" w:rsidRPr="00752CA1">
        <w:t xml:space="preserve"> de la memoria</w:t>
      </w:r>
      <w:r w:rsidR="006F5925" w:rsidRPr="00752CA1">
        <w:t xml:space="preserve">. La calidad y exactitud de los recuerdos se ven distorsionadas por la cantidad de veces que un individuo debe realizar la recuperación de un suceso en su memoria. El simple acto de pensar con frecuencia en lo sucedido, o de ser interrogado en múltiples ocasiones, transforma el recuerdo. Cada vez que el suceso se recuerda, la huella de la memoria se reconstruye, lo que implica </w:t>
      </w:r>
      <w:r w:rsidRPr="00752CA1">
        <w:t>que,</w:t>
      </w:r>
      <w:r w:rsidR="006F5925" w:rsidRPr="00752CA1">
        <w:t xml:space="preserve"> con cada recuperación, l</w:t>
      </w:r>
      <w:r w:rsidR="00E448FD" w:rsidRPr="00752CA1">
        <w:t>os recuerdos se van modificando</w:t>
      </w:r>
      <w:r w:rsidR="006F5925" w:rsidRPr="00752CA1">
        <w:t>.</w:t>
      </w:r>
    </w:p>
    <w:p w:rsidR="00E448FD" w:rsidRPr="009955C1" w:rsidRDefault="00E448FD" w:rsidP="00D344E3">
      <w:pPr>
        <w:pStyle w:val="NormalWeb"/>
        <w:spacing w:before="0" w:beforeAutospacing="0" w:after="120" w:afterAutospacing="0" w:line="276" w:lineRule="auto"/>
        <w:ind w:firstLine="426"/>
        <w:jc w:val="both"/>
      </w:pPr>
    </w:p>
    <w:p w:rsidR="00E448FD" w:rsidRPr="009955C1" w:rsidRDefault="00E448FD" w:rsidP="00D344E3">
      <w:pPr>
        <w:pStyle w:val="Ttulo1"/>
        <w:spacing w:after="120" w:line="276" w:lineRule="auto"/>
        <w:ind w:left="0" w:firstLine="426"/>
      </w:pPr>
      <w:r w:rsidRPr="009955C1">
        <w:t xml:space="preserve">La “cadena de eventos” </w:t>
      </w:r>
    </w:p>
    <w:p w:rsidR="003F20E3" w:rsidRDefault="006F5925" w:rsidP="00D344E3">
      <w:pPr>
        <w:pStyle w:val="NormalWeb"/>
        <w:spacing w:before="0" w:beforeAutospacing="0" w:after="120" w:afterAutospacing="0" w:line="276" w:lineRule="auto"/>
        <w:ind w:firstLine="426"/>
        <w:jc w:val="both"/>
      </w:pPr>
      <w:r w:rsidRPr="009955C1">
        <w:t>Los factores</w:t>
      </w:r>
      <w:r w:rsidR="00E448FD" w:rsidRPr="009955C1">
        <w:t xml:space="preserve"> psicológicos y ambientales </w:t>
      </w:r>
      <w:r w:rsidRPr="009955C1">
        <w:t xml:space="preserve">que afectan la fiabilidad del testimonio no operan de forma aislada, sino en una compleja </w:t>
      </w:r>
      <w:r w:rsidRPr="009955C1">
        <w:rPr>
          <w:i/>
        </w:rPr>
        <w:t>cadena de eventos</w:t>
      </w:r>
      <w:r w:rsidRPr="009955C1">
        <w:t xml:space="preserve">. </w:t>
      </w:r>
    </w:p>
    <w:p w:rsidR="00E448FD" w:rsidRPr="009955C1" w:rsidRDefault="00E448FD" w:rsidP="00D344E3">
      <w:pPr>
        <w:pStyle w:val="NormalWeb"/>
        <w:spacing w:before="0" w:beforeAutospacing="0" w:after="120" w:afterAutospacing="0" w:line="276" w:lineRule="auto"/>
        <w:ind w:firstLine="426"/>
        <w:jc w:val="both"/>
      </w:pPr>
      <w:r w:rsidRPr="009955C1">
        <w:t>¿Qué quiere decir esto?</w:t>
      </w:r>
      <w:r w:rsidR="003F20E3">
        <w:t xml:space="preserve"> </w:t>
      </w:r>
      <w:r w:rsidRPr="009955C1">
        <w:t>Quiere decir que e</w:t>
      </w:r>
      <w:r w:rsidR="006F5925" w:rsidRPr="009955C1">
        <w:t>l estrés inicial de la codificación puede provocar una atención selectiva</w:t>
      </w:r>
      <w:r w:rsidRPr="009955C1">
        <w:t xml:space="preserve"> de la información (selección de los datos que quedarán en la memoria)</w:t>
      </w:r>
      <w:r w:rsidR="006F5925" w:rsidRPr="009955C1">
        <w:t>, como el</w:t>
      </w:r>
      <w:r w:rsidRPr="009955C1">
        <w:t xml:space="preserve"> caso del</w:t>
      </w:r>
      <w:r w:rsidR="006F5925" w:rsidRPr="009955C1">
        <w:t xml:space="preserve"> </w:t>
      </w:r>
      <w:r w:rsidRPr="009955C1">
        <w:t>efecto de “</w:t>
      </w:r>
      <w:r w:rsidR="006F5925" w:rsidRPr="009955C1">
        <w:t>foco en el arma</w:t>
      </w:r>
      <w:r w:rsidRPr="009955C1">
        <w:t>”</w:t>
      </w:r>
      <w:r w:rsidR="006F5925" w:rsidRPr="009955C1">
        <w:t>, que resulta en una codificación incompleta de la información</w:t>
      </w:r>
      <w:r w:rsidRPr="009955C1">
        <w:t xml:space="preserve"> (se codifican</w:t>
      </w:r>
      <w:r w:rsidR="00752CA1">
        <w:t>,</w:t>
      </w:r>
      <w:r w:rsidRPr="009955C1">
        <w:t xml:space="preserve"> ente todo</w:t>
      </w:r>
      <w:r w:rsidR="00752CA1">
        <w:t>,</w:t>
      </w:r>
      <w:r w:rsidRPr="009955C1">
        <w:t xml:space="preserve"> los datos del arma)</w:t>
      </w:r>
      <w:r w:rsidR="006F5925" w:rsidRPr="009955C1">
        <w:t>. E</w:t>
      </w:r>
      <w:r w:rsidRPr="009955C1">
        <w:t>s</w:t>
      </w:r>
      <w:r w:rsidR="006F5925" w:rsidRPr="009955C1">
        <w:t xml:space="preserve">a memoria incompleta es más vulnerable a la desinformación posterior. Las conversaciones con otros testigos o la cobertura de los medios pueden llenar estos vacíos con detalles falsos. La repetición de la declaración consolida este "nuevo" recuerdo, aumentando la confianza del testigo en un relato que se ha vuelto inexacto. Este proceso, </w:t>
      </w:r>
      <w:r w:rsidRPr="009955C1">
        <w:lastRenderedPageBreak/>
        <w:t>casi siempre</w:t>
      </w:r>
      <w:r w:rsidR="006F5925" w:rsidRPr="009955C1">
        <w:t xml:space="preserve"> inconsciente, transforma a un testigo sincero en uno que proporciona información falsa, pero que lo hace con total convicción.</w:t>
      </w:r>
    </w:p>
    <w:p w:rsidR="006F5925" w:rsidRPr="009955C1" w:rsidRDefault="006F5925" w:rsidP="00D344E3">
      <w:pPr>
        <w:pStyle w:val="NormalWeb"/>
        <w:spacing w:before="0" w:beforeAutospacing="0" w:after="120" w:afterAutospacing="0" w:line="276" w:lineRule="auto"/>
        <w:ind w:firstLine="426"/>
        <w:jc w:val="both"/>
      </w:pPr>
      <w:r w:rsidRPr="009955C1">
        <w:t xml:space="preserve">Además, los sesgos cognitivos propios del testigo también influyen. El </w:t>
      </w:r>
      <w:r w:rsidRPr="009955C1">
        <w:rPr>
          <w:bCs/>
          <w:i/>
          <w:bdr w:val="none" w:sz="0" w:space="0" w:color="auto" w:frame="1"/>
        </w:rPr>
        <w:t>sesgo de la propia raza</w:t>
      </w:r>
      <w:r w:rsidRPr="009955C1">
        <w:t xml:space="preserve"> es un ejemplo, donde las personas tienen una mayor dificultad para identificar con precisión los rasgos faciales de individuos de razas distintas a la propia. Los testigos, de manera inconsciente, proyectan sus propios esquemas mentales, estereotipos y experiencias previas sobre el evento, lo que distorsiona la forma en que codi</w:t>
      </w:r>
      <w:r w:rsidR="00E448FD" w:rsidRPr="009955C1">
        <w:t>fican y recuperan los recuerdos.</w:t>
      </w:r>
    </w:p>
    <w:p w:rsidR="004F03A3" w:rsidRPr="009955C1" w:rsidRDefault="004F03A3" w:rsidP="00D344E3">
      <w:pPr>
        <w:pStyle w:val="NormalWeb"/>
        <w:spacing w:before="0" w:beforeAutospacing="0" w:after="120" w:afterAutospacing="0" w:line="276" w:lineRule="auto"/>
        <w:ind w:firstLine="426"/>
        <w:jc w:val="both"/>
      </w:pPr>
    </w:p>
    <w:p w:rsidR="004F03A3" w:rsidRPr="009955C1" w:rsidRDefault="004F03A3" w:rsidP="00D344E3">
      <w:pPr>
        <w:pStyle w:val="Ttulo1"/>
        <w:spacing w:after="120" w:line="276" w:lineRule="auto"/>
        <w:ind w:left="0" w:firstLine="426"/>
      </w:pPr>
      <w:r w:rsidRPr="009955C1">
        <w:t>Coherencia y consistencia del t</w:t>
      </w:r>
      <w:r w:rsidRPr="009955C1">
        <w:t>estimonio</w:t>
      </w:r>
    </w:p>
    <w:p w:rsidR="004F03A3" w:rsidRPr="009955C1" w:rsidRDefault="004F03A3" w:rsidP="00D344E3">
      <w:pPr>
        <w:spacing w:after="120" w:line="276" w:lineRule="auto"/>
        <w:ind w:firstLine="426"/>
        <w:jc w:val="both"/>
        <w:rPr>
          <w:rFonts w:ascii="Times New Roman" w:hAnsi="Times New Roman" w:cs="Times New Roman"/>
          <w:color w:val="auto"/>
          <w:sz w:val="24"/>
          <w:szCs w:val="24"/>
        </w:rPr>
      </w:pPr>
      <w:r w:rsidRPr="009955C1">
        <w:rPr>
          <w:rStyle w:val="Textoennegrita"/>
          <w:rFonts w:ascii="Times New Roman" w:hAnsi="Times New Roman" w:cs="Times New Roman"/>
          <w:b w:val="0"/>
          <w:color w:val="auto"/>
          <w:sz w:val="24"/>
          <w:szCs w:val="24"/>
        </w:rPr>
        <w:t>U</w:t>
      </w:r>
      <w:r w:rsidRPr="009955C1">
        <w:rPr>
          <w:rFonts w:ascii="Times New Roman" w:hAnsi="Times New Roman" w:cs="Times New Roman"/>
          <w:color w:val="auto"/>
          <w:sz w:val="24"/>
          <w:szCs w:val="24"/>
        </w:rPr>
        <w:t xml:space="preserve">n relato ordenado, sin contradicciones graves, y que se mantenga estable </w:t>
      </w:r>
      <w:r w:rsidRPr="009955C1">
        <w:rPr>
          <w:rFonts w:ascii="Times New Roman" w:hAnsi="Times New Roman" w:cs="Times New Roman"/>
          <w:i/>
          <w:color w:val="auto"/>
          <w:sz w:val="24"/>
          <w:szCs w:val="24"/>
        </w:rPr>
        <w:t>en lo esencial</w:t>
      </w:r>
      <w:r w:rsidRPr="009955C1">
        <w:rPr>
          <w:rFonts w:ascii="Times New Roman" w:hAnsi="Times New Roman" w:cs="Times New Roman"/>
          <w:color w:val="auto"/>
          <w:sz w:val="24"/>
          <w:szCs w:val="24"/>
        </w:rPr>
        <w:t xml:space="preserve"> a lo largo del proceso, es </w:t>
      </w:r>
      <w:r w:rsidRPr="009955C1">
        <w:rPr>
          <w:rFonts w:ascii="Times New Roman" w:hAnsi="Times New Roman" w:cs="Times New Roman"/>
          <w:color w:val="auto"/>
          <w:sz w:val="24"/>
          <w:szCs w:val="24"/>
        </w:rPr>
        <w:t>obviamente más convincente que otro que no tenga estas características. Pero hay que advertir que p</w:t>
      </w:r>
      <w:r w:rsidRPr="009955C1">
        <w:rPr>
          <w:rFonts w:ascii="Times New Roman" w:hAnsi="Times New Roman" w:cs="Times New Roman"/>
          <w:color w:val="auto"/>
          <w:sz w:val="24"/>
          <w:szCs w:val="24"/>
        </w:rPr>
        <w:t>equeñas discrepancias entre versiones no nec</w:t>
      </w:r>
      <w:r w:rsidRPr="009955C1">
        <w:rPr>
          <w:rFonts w:ascii="Times New Roman" w:hAnsi="Times New Roman" w:cs="Times New Roman"/>
          <w:color w:val="auto"/>
          <w:sz w:val="24"/>
          <w:szCs w:val="24"/>
        </w:rPr>
        <w:t>esariamente restan credibilidad, sino que</w:t>
      </w:r>
      <w:r w:rsidRPr="009955C1">
        <w:rPr>
          <w:rFonts w:ascii="Times New Roman" w:hAnsi="Times New Roman" w:cs="Times New Roman"/>
          <w:color w:val="auto"/>
          <w:sz w:val="24"/>
          <w:szCs w:val="24"/>
        </w:rPr>
        <w:t xml:space="preserve"> pueden reflejar espontaneidad y falta de preparación previa.</w:t>
      </w:r>
      <w:r w:rsidRPr="009955C1">
        <w:rPr>
          <w:rFonts w:ascii="Times New Roman" w:hAnsi="Times New Roman" w:cs="Times New Roman"/>
          <w:color w:val="auto"/>
          <w:sz w:val="24"/>
          <w:szCs w:val="24"/>
        </w:rPr>
        <w:t xml:space="preserve"> Como se dijo, el recuerdo no es estático. V</w:t>
      </w:r>
      <w:r w:rsidRPr="009955C1">
        <w:rPr>
          <w:rStyle w:val="Textoennegrita"/>
          <w:rFonts w:ascii="Times New Roman" w:hAnsi="Times New Roman" w:cs="Times New Roman"/>
          <w:b w:val="0"/>
          <w:color w:val="auto"/>
          <w:sz w:val="24"/>
          <w:szCs w:val="24"/>
        </w:rPr>
        <w:t xml:space="preserve">ariaciones </w:t>
      </w:r>
      <w:r w:rsidRPr="009955C1">
        <w:rPr>
          <w:rStyle w:val="Textoennegrita"/>
          <w:rFonts w:ascii="Times New Roman" w:hAnsi="Times New Roman" w:cs="Times New Roman"/>
          <w:b w:val="0"/>
          <w:i/>
          <w:color w:val="auto"/>
          <w:sz w:val="24"/>
          <w:szCs w:val="24"/>
        </w:rPr>
        <w:t>razonables</w:t>
      </w:r>
      <w:r w:rsidR="008A146C" w:rsidRPr="009955C1">
        <w:rPr>
          <w:rStyle w:val="Textoennegrita"/>
          <w:rFonts w:ascii="Times New Roman" w:hAnsi="Times New Roman" w:cs="Times New Roman"/>
          <w:b w:val="0"/>
          <w:color w:val="auto"/>
          <w:sz w:val="24"/>
          <w:szCs w:val="24"/>
        </w:rPr>
        <w:t>, por tanto,</w:t>
      </w:r>
      <w:r w:rsidRPr="009955C1">
        <w:rPr>
          <w:rStyle w:val="Textoennegrita"/>
          <w:rFonts w:ascii="Times New Roman" w:hAnsi="Times New Roman" w:cs="Times New Roman"/>
          <w:b w:val="0"/>
          <w:color w:val="auto"/>
          <w:sz w:val="24"/>
          <w:szCs w:val="24"/>
        </w:rPr>
        <w:t xml:space="preserve"> no </w:t>
      </w:r>
      <w:r w:rsidR="008A146C" w:rsidRPr="009955C1">
        <w:rPr>
          <w:rStyle w:val="Textoennegrita"/>
          <w:rFonts w:ascii="Times New Roman" w:hAnsi="Times New Roman" w:cs="Times New Roman"/>
          <w:b w:val="0"/>
          <w:color w:val="auto"/>
          <w:sz w:val="24"/>
          <w:szCs w:val="24"/>
        </w:rPr>
        <w:t>autorizan una desconfianza automática, sino que debe tratarse de c</w:t>
      </w:r>
      <w:r w:rsidR="008A146C" w:rsidRPr="009955C1">
        <w:rPr>
          <w:rFonts w:ascii="Times New Roman" w:hAnsi="Times New Roman" w:cs="Times New Roman"/>
          <w:color w:val="auto"/>
          <w:sz w:val="24"/>
          <w:szCs w:val="24"/>
        </w:rPr>
        <w:t>ontradicciones</w:t>
      </w:r>
      <w:r w:rsidR="008A146C" w:rsidRPr="009955C1">
        <w:rPr>
          <w:rFonts w:ascii="Times New Roman" w:hAnsi="Times New Roman" w:cs="Times New Roman"/>
          <w:color w:val="auto"/>
          <w:sz w:val="24"/>
          <w:szCs w:val="24"/>
        </w:rPr>
        <w:t xml:space="preserve"> medianamente</w:t>
      </w:r>
      <w:r w:rsidR="008A146C" w:rsidRPr="009955C1">
        <w:rPr>
          <w:rFonts w:ascii="Times New Roman" w:hAnsi="Times New Roman" w:cs="Times New Roman"/>
          <w:color w:val="auto"/>
          <w:sz w:val="24"/>
          <w:szCs w:val="24"/>
        </w:rPr>
        <w:t xml:space="preserve"> graves o sin explicación</w:t>
      </w:r>
      <w:r w:rsidR="008A146C" w:rsidRPr="009955C1">
        <w:rPr>
          <w:rFonts w:ascii="Times New Roman" w:hAnsi="Times New Roman" w:cs="Times New Roman"/>
          <w:color w:val="auto"/>
          <w:sz w:val="24"/>
          <w:szCs w:val="24"/>
        </w:rPr>
        <w:t xml:space="preserve">. </w:t>
      </w:r>
      <w:r w:rsidR="008A146C" w:rsidRPr="009955C1">
        <w:rPr>
          <w:rStyle w:val="Textoennegrita"/>
          <w:rFonts w:ascii="Times New Roman" w:hAnsi="Times New Roman" w:cs="Times New Roman"/>
          <w:b w:val="0"/>
          <w:color w:val="auto"/>
          <w:sz w:val="24"/>
          <w:szCs w:val="24"/>
        </w:rPr>
        <w:t>Después de todo, siempre debe apuntarse a una “c</w:t>
      </w:r>
      <w:r w:rsidRPr="009955C1">
        <w:rPr>
          <w:rStyle w:val="Textoennegrita"/>
          <w:rFonts w:ascii="Times New Roman" w:hAnsi="Times New Roman" w:cs="Times New Roman"/>
          <w:b w:val="0"/>
          <w:color w:val="auto"/>
          <w:sz w:val="24"/>
          <w:szCs w:val="24"/>
        </w:rPr>
        <w:t>orroboración externa</w:t>
      </w:r>
      <w:r w:rsidR="008A146C" w:rsidRPr="009955C1">
        <w:rPr>
          <w:rStyle w:val="Textoennegrita"/>
          <w:rFonts w:ascii="Times New Roman" w:hAnsi="Times New Roman" w:cs="Times New Roman"/>
          <w:b w:val="0"/>
          <w:color w:val="auto"/>
          <w:sz w:val="24"/>
          <w:szCs w:val="24"/>
        </w:rPr>
        <w:t>”, pues l</w:t>
      </w:r>
      <w:r w:rsidRPr="009955C1">
        <w:rPr>
          <w:rFonts w:ascii="Times New Roman" w:hAnsi="Times New Roman" w:cs="Times New Roman"/>
          <w:color w:val="auto"/>
          <w:sz w:val="24"/>
          <w:szCs w:val="24"/>
        </w:rPr>
        <w:t>a coincidencia con otros medios probatorios (documentos, peritajes, otros testigos) fortalece el valor del testimonio.</w:t>
      </w:r>
    </w:p>
    <w:p w:rsidR="003C70C5" w:rsidRPr="009955C1" w:rsidRDefault="008A146C" w:rsidP="00D344E3">
      <w:pPr>
        <w:spacing w:after="120" w:line="276" w:lineRule="auto"/>
        <w:ind w:firstLine="426"/>
        <w:jc w:val="both"/>
        <w:rPr>
          <w:rFonts w:ascii="Times New Roman" w:hAnsi="Times New Roman" w:cs="Times New Roman"/>
          <w:b/>
          <w:i/>
          <w:color w:val="auto"/>
          <w:sz w:val="24"/>
          <w:szCs w:val="24"/>
        </w:rPr>
      </w:pPr>
      <w:r w:rsidRPr="009955C1">
        <w:rPr>
          <w:rFonts w:ascii="Times New Roman" w:hAnsi="Times New Roman" w:cs="Times New Roman"/>
          <w:color w:val="auto"/>
          <w:sz w:val="24"/>
          <w:szCs w:val="24"/>
        </w:rPr>
        <w:t>El</w:t>
      </w:r>
      <w:r w:rsidRPr="009955C1">
        <w:rPr>
          <w:rFonts w:ascii="Times New Roman" w:hAnsi="Times New Roman" w:cs="Times New Roman"/>
          <w:b/>
          <w:color w:val="auto"/>
          <w:sz w:val="24"/>
          <w:szCs w:val="24"/>
        </w:rPr>
        <w:t xml:space="preserve"> c</w:t>
      </w:r>
      <w:r w:rsidRPr="009955C1">
        <w:rPr>
          <w:rStyle w:val="Textoennegrita"/>
          <w:rFonts w:ascii="Times New Roman" w:hAnsi="Times New Roman" w:cs="Times New Roman"/>
          <w:b w:val="0"/>
          <w:color w:val="auto"/>
          <w:sz w:val="24"/>
          <w:szCs w:val="24"/>
        </w:rPr>
        <w:t>ontexto relacional</w:t>
      </w:r>
      <w:r w:rsidRPr="009955C1">
        <w:rPr>
          <w:rStyle w:val="Textoennegrita"/>
          <w:rFonts w:ascii="Times New Roman" w:hAnsi="Times New Roman" w:cs="Times New Roman"/>
          <w:b w:val="0"/>
          <w:color w:val="auto"/>
          <w:sz w:val="24"/>
          <w:szCs w:val="24"/>
        </w:rPr>
        <w:t xml:space="preserve"> también es importante.</w:t>
      </w:r>
      <w:r w:rsidR="004F03A3" w:rsidRPr="009955C1">
        <w:rPr>
          <w:rFonts w:ascii="Times New Roman" w:hAnsi="Times New Roman" w:cs="Times New Roman"/>
          <w:color w:val="auto"/>
          <w:sz w:val="24"/>
          <w:szCs w:val="24"/>
        </w:rPr>
        <w:t xml:space="preserve"> Las relaciones del testigo con las partes (amistad, enemistad, dependencia) deben ser evaluadas como </w:t>
      </w:r>
      <w:r w:rsidR="004F03A3" w:rsidRPr="009955C1">
        <w:rPr>
          <w:rFonts w:ascii="Times New Roman" w:hAnsi="Times New Roman" w:cs="Times New Roman"/>
          <w:i/>
          <w:color w:val="auto"/>
          <w:sz w:val="24"/>
          <w:szCs w:val="24"/>
        </w:rPr>
        <w:t>posibles</w:t>
      </w:r>
      <w:r w:rsidR="004F03A3" w:rsidRPr="009955C1">
        <w:rPr>
          <w:rFonts w:ascii="Times New Roman" w:hAnsi="Times New Roman" w:cs="Times New Roman"/>
          <w:color w:val="auto"/>
          <w:sz w:val="24"/>
          <w:szCs w:val="24"/>
        </w:rPr>
        <w:t xml:space="preserve"> </w:t>
      </w:r>
      <w:r w:rsidR="004F03A3" w:rsidRPr="009955C1">
        <w:rPr>
          <w:rFonts w:ascii="Times New Roman" w:hAnsi="Times New Roman" w:cs="Times New Roman"/>
          <w:i/>
          <w:color w:val="auto"/>
          <w:sz w:val="24"/>
          <w:szCs w:val="24"/>
        </w:rPr>
        <w:t>fuentes de sesgo</w:t>
      </w:r>
      <w:r w:rsidR="004F03A3" w:rsidRPr="009955C1">
        <w:rPr>
          <w:rFonts w:ascii="Times New Roman" w:hAnsi="Times New Roman" w:cs="Times New Roman"/>
          <w:color w:val="auto"/>
          <w:sz w:val="24"/>
          <w:szCs w:val="24"/>
        </w:rPr>
        <w:t>.</w:t>
      </w:r>
      <w:r w:rsidRPr="009955C1">
        <w:rPr>
          <w:rFonts w:ascii="Times New Roman" w:hAnsi="Times New Roman" w:cs="Times New Roman"/>
          <w:color w:val="auto"/>
          <w:sz w:val="24"/>
          <w:szCs w:val="24"/>
        </w:rPr>
        <w:t xml:space="preserve"> Por ejemplo, </w:t>
      </w:r>
      <w:r w:rsidR="003C70C5" w:rsidRPr="009955C1">
        <w:rPr>
          <w:rFonts w:ascii="Times New Roman" w:hAnsi="Times New Roman" w:cs="Times New Roman"/>
          <w:color w:val="auto"/>
          <w:sz w:val="24"/>
          <w:szCs w:val="24"/>
        </w:rPr>
        <w:t xml:space="preserve">en las declaraciones ofrecidas </w:t>
      </w:r>
      <w:r w:rsidRPr="009955C1">
        <w:rPr>
          <w:rFonts w:ascii="Times New Roman" w:hAnsi="Times New Roman" w:cs="Times New Roman"/>
          <w:color w:val="auto"/>
          <w:sz w:val="24"/>
          <w:szCs w:val="24"/>
        </w:rPr>
        <w:t xml:space="preserve">por hijos que viven con uno de los padres, </w:t>
      </w:r>
      <w:r w:rsidRPr="009955C1">
        <w:rPr>
          <w:rFonts w:ascii="Times New Roman" w:hAnsi="Times New Roman" w:cs="Times New Roman"/>
          <w:i/>
          <w:color w:val="auto"/>
          <w:sz w:val="24"/>
          <w:szCs w:val="24"/>
        </w:rPr>
        <w:t>e</w:t>
      </w:r>
      <w:r w:rsidRPr="009955C1">
        <w:rPr>
          <w:rStyle w:val="Textoennegrita"/>
          <w:rFonts w:ascii="Times New Roman" w:hAnsi="Times New Roman" w:cs="Times New Roman"/>
          <w:b w:val="0"/>
          <w:i/>
          <w:color w:val="auto"/>
          <w:sz w:val="24"/>
          <w:szCs w:val="24"/>
        </w:rPr>
        <w:t>l deseo de agradar</w:t>
      </w:r>
      <w:r w:rsidR="003C70C5" w:rsidRPr="009955C1">
        <w:rPr>
          <w:rStyle w:val="Textoennegrita"/>
          <w:rFonts w:ascii="Times New Roman" w:hAnsi="Times New Roman" w:cs="Times New Roman"/>
          <w:b w:val="0"/>
          <w:i/>
          <w:color w:val="auto"/>
          <w:sz w:val="24"/>
          <w:szCs w:val="24"/>
        </w:rPr>
        <w:t xml:space="preserve">, </w:t>
      </w:r>
      <w:r w:rsidR="003C70C5" w:rsidRPr="009955C1">
        <w:rPr>
          <w:rStyle w:val="Textoennegrita"/>
          <w:rFonts w:ascii="Times New Roman" w:hAnsi="Times New Roman" w:cs="Times New Roman"/>
          <w:b w:val="0"/>
          <w:color w:val="auto"/>
          <w:sz w:val="24"/>
          <w:szCs w:val="24"/>
        </w:rPr>
        <w:t xml:space="preserve">o el de </w:t>
      </w:r>
      <w:r w:rsidR="003C70C5" w:rsidRPr="009955C1">
        <w:rPr>
          <w:rStyle w:val="Textoennegrita"/>
          <w:rFonts w:ascii="Times New Roman" w:hAnsi="Times New Roman" w:cs="Times New Roman"/>
          <w:b w:val="0"/>
          <w:i/>
          <w:color w:val="auto"/>
          <w:sz w:val="24"/>
          <w:szCs w:val="24"/>
        </w:rPr>
        <w:t xml:space="preserve">evitar la decepción </w:t>
      </w:r>
      <w:r w:rsidR="003C70C5" w:rsidRPr="009955C1">
        <w:rPr>
          <w:rStyle w:val="Textoennegrita"/>
          <w:rFonts w:ascii="Times New Roman" w:hAnsi="Times New Roman" w:cs="Times New Roman"/>
          <w:b w:val="0"/>
          <w:color w:val="auto"/>
          <w:sz w:val="24"/>
          <w:szCs w:val="24"/>
        </w:rPr>
        <w:t xml:space="preserve">de los progenitores, es una constante que puede llevar a modificar la versión de los hechos y, como tal, debe tenerse muy presente. </w:t>
      </w:r>
    </w:p>
    <w:p w:rsidR="001E7946" w:rsidRDefault="003C70C5" w:rsidP="00D344E3">
      <w:pPr>
        <w:spacing w:after="120" w:line="276" w:lineRule="auto"/>
        <w:ind w:firstLine="426"/>
        <w:jc w:val="both"/>
        <w:rPr>
          <w:rFonts w:ascii="Times New Roman" w:hAnsi="Times New Roman" w:cs="Times New Roman"/>
          <w:color w:val="auto"/>
          <w:sz w:val="24"/>
          <w:szCs w:val="24"/>
        </w:rPr>
      </w:pPr>
      <w:r w:rsidRPr="009955C1">
        <w:rPr>
          <w:rFonts w:ascii="Times New Roman" w:hAnsi="Times New Roman" w:cs="Times New Roman"/>
          <w:color w:val="auto"/>
          <w:sz w:val="24"/>
          <w:szCs w:val="24"/>
        </w:rPr>
        <w:t>Por ello e</w:t>
      </w:r>
      <w:r w:rsidR="004F03A3" w:rsidRPr="009955C1">
        <w:rPr>
          <w:rFonts w:ascii="Times New Roman" w:hAnsi="Times New Roman" w:cs="Times New Roman"/>
          <w:color w:val="auto"/>
          <w:sz w:val="24"/>
          <w:szCs w:val="24"/>
        </w:rPr>
        <w:t xml:space="preserve">l juez debe </w:t>
      </w:r>
      <w:r w:rsidRPr="009955C1">
        <w:rPr>
          <w:rFonts w:ascii="Times New Roman" w:hAnsi="Times New Roman" w:cs="Times New Roman"/>
          <w:color w:val="auto"/>
          <w:sz w:val="24"/>
          <w:szCs w:val="24"/>
        </w:rPr>
        <w:t xml:space="preserve">valorar </w:t>
      </w:r>
      <w:r w:rsidR="004F03A3" w:rsidRPr="009955C1">
        <w:rPr>
          <w:rFonts w:ascii="Times New Roman" w:hAnsi="Times New Roman" w:cs="Times New Roman"/>
          <w:color w:val="auto"/>
          <w:sz w:val="24"/>
          <w:szCs w:val="24"/>
        </w:rPr>
        <w:t>el testimonio como parte de un conjunto probatorio, no como prueba única ni absoluta.</w:t>
      </w:r>
      <w:r w:rsidRPr="009955C1">
        <w:rPr>
          <w:rFonts w:ascii="Times New Roman" w:hAnsi="Times New Roman" w:cs="Times New Roman"/>
          <w:color w:val="auto"/>
          <w:sz w:val="24"/>
          <w:szCs w:val="24"/>
        </w:rPr>
        <w:t xml:space="preserve"> Y siempre que se juzga la declaración de un testigo debe tener presente que </w:t>
      </w:r>
      <w:r w:rsidR="004F03A3" w:rsidRPr="009955C1">
        <w:rPr>
          <w:rFonts w:ascii="Times New Roman" w:hAnsi="Times New Roman" w:cs="Times New Roman"/>
          <w:color w:val="auto"/>
          <w:sz w:val="24"/>
          <w:szCs w:val="24"/>
        </w:rPr>
        <w:t>la memoria humana no funciona como una grabadora</w:t>
      </w:r>
      <w:r w:rsidRPr="009955C1">
        <w:rPr>
          <w:rFonts w:ascii="Times New Roman" w:hAnsi="Times New Roman" w:cs="Times New Roman"/>
          <w:color w:val="auto"/>
          <w:sz w:val="24"/>
          <w:szCs w:val="24"/>
        </w:rPr>
        <w:t>, y e</w:t>
      </w:r>
      <w:r w:rsidR="004F03A3" w:rsidRPr="009955C1">
        <w:rPr>
          <w:rFonts w:ascii="Times New Roman" w:hAnsi="Times New Roman" w:cs="Times New Roman"/>
          <w:color w:val="auto"/>
          <w:sz w:val="24"/>
          <w:szCs w:val="24"/>
        </w:rPr>
        <w:t xml:space="preserve">stá sujeta a reconstrucciones, influencias externas y sesgos cognitivos. </w:t>
      </w:r>
      <w:r w:rsidR="001E7946" w:rsidRPr="001E7946">
        <w:rPr>
          <w:rFonts w:ascii="Times New Roman" w:hAnsi="Times New Roman" w:cs="Times New Roman"/>
          <w:color w:val="auto"/>
          <w:sz w:val="24"/>
          <w:szCs w:val="24"/>
        </w:rPr>
        <w:t>Por ello, la sugestión (por parte de personas o medios de comunicación) puede alterar el relato y la presión emocional puede distorsionar la percepción original.</w:t>
      </w:r>
    </w:p>
    <w:p w:rsidR="004F03A3" w:rsidRPr="009955C1" w:rsidRDefault="003C70C5" w:rsidP="00D344E3">
      <w:pPr>
        <w:spacing w:after="120" w:line="276" w:lineRule="auto"/>
        <w:ind w:firstLine="426"/>
        <w:jc w:val="both"/>
        <w:rPr>
          <w:rFonts w:ascii="Times New Roman" w:hAnsi="Times New Roman" w:cs="Times New Roman"/>
          <w:color w:val="auto"/>
          <w:sz w:val="24"/>
          <w:szCs w:val="24"/>
        </w:rPr>
      </w:pPr>
      <w:r w:rsidRPr="009955C1">
        <w:rPr>
          <w:rFonts w:ascii="Times New Roman" w:hAnsi="Times New Roman" w:cs="Times New Roman"/>
          <w:color w:val="auto"/>
          <w:sz w:val="24"/>
          <w:szCs w:val="24"/>
        </w:rPr>
        <w:t>Es un error pensar que l</w:t>
      </w:r>
      <w:r w:rsidR="004F03A3" w:rsidRPr="009955C1">
        <w:rPr>
          <w:rFonts w:ascii="Times New Roman" w:hAnsi="Times New Roman" w:cs="Times New Roman"/>
          <w:color w:val="auto"/>
          <w:sz w:val="24"/>
          <w:szCs w:val="24"/>
        </w:rPr>
        <w:t>a calidad de un testig</w:t>
      </w:r>
      <w:r w:rsidRPr="009955C1">
        <w:rPr>
          <w:rFonts w:ascii="Times New Roman" w:hAnsi="Times New Roman" w:cs="Times New Roman"/>
          <w:color w:val="auto"/>
          <w:sz w:val="24"/>
          <w:szCs w:val="24"/>
        </w:rPr>
        <w:t xml:space="preserve">o y su capacidad de convicción </w:t>
      </w:r>
      <w:r w:rsidR="004F03A3" w:rsidRPr="009955C1">
        <w:rPr>
          <w:rFonts w:ascii="Times New Roman" w:hAnsi="Times New Roman" w:cs="Times New Roman"/>
          <w:color w:val="auto"/>
          <w:sz w:val="24"/>
          <w:szCs w:val="24"/>
        </w:rPr>
        <w:t>dependen únicamente de</w:t>
      </w:r>
      <w:r w:rsidRPr="009955C1">
        <w:rPr>
          <w:rFonts w:ascii="Times New Roman" w:hAnsi="Times New Roman" w:cs="Times New Roman"/>
          <w:color w:val="auto"/>
          <w:sz w:val="24"/>
          <w:szCs w:val="24"/>
        </w:rPr>
        <w:t xml:space="preserve"> su voluntad de decir la verdad. </w:t>
      </w:r>
      <w:r w:rsidR="005129DB" w:rsidRPr="009955C1">
        <w:rPr>
          <w:rFonts w:ascii="Times New Roman" w:hAnsi="Times New Roman" w:cs="Times New Roman"/>
          <w:color w:val="auto"/>
          <w:sz w:val="24"/>
          <w:szCs w:val="24"/>
        </w:rPr>
        <w:t>Eso n</w:t>
      </w:r>
      <w:r w:rsidRPr="009955C1">
        <w:rPr>
          <w:rFonts w:ascii="Times New Roman" w:hAnsi="Times New Roman" w:cs="Times New Roman"/>
          <w:color w:val="auto"/>
          <w:sz w:val="24"/>
          <w:szCs w:val="24"/>
        </w:rPr>
        <w:t>o es así.</w:t>
      </w:r>
      <w:r w:rsidR="004F03A3" w:rsidRPr="009955C1">
        <w:rPr>
          <w:rFonts w:ascii="Times New Roman" w:hAnsi="Times New Roman" w:cs="Times New Roman"/>
          <w:color w:val="auto"/>
          <w:sz w:val="24"/>
          <w:szCs w:val="24"/>
        </w:rPr>
        <w:t xml:space="preserve"> </w:t>
      </w:r>
      <w:r w:rsidR="001066E7" w:rsidRPr="009955C1">
        <w:rPr>
          <w:rFonts w:ascii="Times New Roman" w:hAnsi="Times New Roman" w:cs="Times New Roman"/>
          <w:color w:val="auto"/>
          <w:sz w:val="24"/>
          <w:szCs w:val="24"/>
        </w:rPr>
        <w:t>V</w:t>
      </w:r>
      <w:r w:rsidR="004F03A3" w:rsidRPr="009955C1">
        <w:rPr>
          <w:rFonts w:ascii="Times New Roman" w:hAnsi="Times New Roman" w:cs="Times New Roman"/>
          <w:color w:val="auto"/>
          <w:sz w:val="24"/>
          <w:szCs w:val="24"/>
        </w:rPr>
        <w:t xml:space="preserve">ariables psicológicas, sociales y contextuales influyen tanto en la </w:t>
      </w:r>
      <w:r w:rsidR="004F03A3" w:rsidRPr="009955C1">
        <w:rPr>
          <w:rFonts w:ascii="Times New Roman" w:hAnsi="Times New Roman" w:cs="Times New Roman"/>
          <w:i/>
          <w:color w:val="auto"/>
          <w:sz w:val="24"/>
          <w:szCs w:val="24"/>
        </w:rPr>
        <w:t>percepción</w:t>
      </w:r>
      <w:r w:rsidR="004F03A3" w:rsidRPr="009955C1">
        <w:rPr>
          <w:rFonts w:ascii="Times New Roman" w:hAnsi="Times New Roman" w:cs="Times New Roman"/>
          <w:color w:val="auto"/>
          <w:sz w:val="24"/>
          <w:szCs w:val="24"/>
        </w:rPr>
        <w:t xml:space="preserve"> </w:t>
      </w:r>
      <w:r w:rsidR="001066E7" w:rsidRPr="009955C1">
        <w:rPr>
          <w:rFonts w:ascii="Times New Roman" w:hAnsi="Times New Roman" w:cs="Times New Roman"/>
          <w:color w:val="auto"/>
          <w:sz w:val="24"/>
          <w:szCs w:val="24"/>
        </w:rPr>
        <w:t xml:space="preserve">como en la </w:t>
      </w:r>
      <w:r w:rsidR="004F03A3" w:rsidRPr="009955C1">
        <w:rPr>
          <w:rFonts w:ascii="Times New Roman" w:hAnsi="Times New Roman" w:cs="Times New Roman"/>
          <w:i/>
          <w:color w:val="auto"/>
          <w:sz w:val="24"/>
          <w:szCs w:val="24"/>
        </w:rPr>
        <w:t>codificación</w:t>
      </w:r>
      <w:r w:rsidR="004F03A3" w:rsidRPr="009955C1">
        <w:rPr>
          <w:rFonts w:ascii="Times New Roman" w:hAnsi="Times New Roman" w:cs="Times New Roman"/>
          <w:color w:val="auto"/>
          <w:sz w:val="24"/>
          <w:szCs w:val="24"/>
        </w:rPr>
        <w:t xml:space="preserve"> y</w:t>
      </w:r>
      <w:r w:rsidR="001066E7" w:rsidRPr="009955C1">
        <w:rPr>
          <w:rFonts w:ascii="Times New Roman" w:hAnsi="Times New Roman" w:cs="Times New Roman"/>
          <w:color w:val="auto"/>
          <w:sz w:val="24"/>
          <w:szCs w:val="24"/>
        </w:rPr>
        <w:t xml:space="preserve"> en la</w:t>
      </w:r>
      <w:r w:rsidR="004F03A3" w:rsidRPr="009955C1">
        <w:rPr>
          <w:rFonts w:ascii="Times New Roman" w:hAnsi="Times New Roman" w:cs="Times New Roman"/>
          <w:color w:val="auto"/>
          <w:sz w:val="24"/>
          <w:szCs w:val="24"/>
        </w:rPr>
        <w:t xml:space="preserve"> </w:t>
      </w:r>
      <w:r w:rsidR="004F03A3" w:rsidRPr="009955C1">
        <w:rPr>
          <w:rFonts w:ascii="Times New Roman" w:hAnsi="Times New Roman" w:cs="Times New Roman"/>
          <w:i/>
          <w:color w:val="auto"/>
          <w:sz w:val="24"/>
          <w:szCs w:val="24"/>
        </w:rPr>
        <w:t>recuperación</w:t>
      </w:r>
      <w:r w:rsidR="004F03A3" w:rsidRPr="009955C1">
        <w:rPr>
          <w:rFonts w:ascii="Times New Roman" w:hAnsi="Times New Roman" w:cs="Times New Roman"/>
          <w:color w:val="auto"/>
          <w:sz w:val="24"/>
          <w:szCs w:val="24"/>
        </w:rPr>
        <w:t xml:space="preserve"> de los recuerdos, </w:t>
      </w:r>
      <w:r w:rsidR="001066E7" w:rsidRPr="009955C1">
        <w:rPr>
          <w:rFonts w:ascii="Times New Roman" w:hAnsi="Times New Roman" w:cs="Times New Roman"/>
          <w:color w:val="auto"/>
          <w:sz w:val="24"/>
          <w:szCs w:val="24"/>
        </w:rPr>
        <w:t xml:space="preserve">y encima, </w:t>
      </w:r>
      <w:r w:rsidR="004F03A3" w:rsidRPr="009955C1">
        <w:rPr>
          <w:rFonts w:ascii="Times New Roman" w:hAnsi="Times New Roman" w:cs="Times New Roman"/>
          <w:color w:val="auto"/>
          <w:sz w:val="24"/>
          <w:szCs w:val="24"/>
        </w:rPr>
        <w:t>en la forma en que estos son</w:t>
      </w:r>
      <w:r w:rsidR="001066E7" w:rsidRPr="009955C1">
        <w:rPr>
          <w:rFonts w:ascii="Times New Roman" w:hAnsi="Times New Roman" w:cs="Times New Roman"/>
          <w:color w:val="auto"/>
          <w:sz w:val="24"/>
          <w:szCs w:val="24"/>
        </w:rPr>
        <w:t xml:space="preserve"> más tarde</w:t>
      </w:r>
      <w:r w:rsidR="004F03A3" w:rsidRPr="009955C1">
        <w:rPr>
          <w:rFonts w:ascii="Times New Roman" w:hAnsi="Times New Roman" w:cs="Times New Roman"/>
          <w:color w:val="auto"/>
          <w:sz w:val="24"/>
          <w:szCs w:val="24"/>
        </w:rPr>
        <w:t xml:space="preserve"> transmitidos y recibidos en el ámbito judicial.</w:t>
      </w:r>
    </w:p>
    <w:p w:rsidR="005129DB" w:rsidRPr="009955C1" w:rsidRDefault="005129DB" w:rsidP="00D344E3">
      <w:pPr>
        <w:spacing w:after="120" w:line="276" w:lineRule="auto"/>
        <w:ind w:firstLine="426"/>
        <w:jc w:val="both"/>
        <w:rPr>
          <w:rFonts w:ascii="Times New Roman" w:hAnsi="Times New Roman" w:cs="Times New Roman"/>
          <w:color w:val="auto"/>
          <w:sz w:val="24"/>
          <w:szCs w:val="24"/>
        </w:rPr>
      </w:pPr>
      <w:r w:rsidRPr="009955C1">
        <w:rPr>
          <w:rStyle w:val="Textoennegrita"/>
          <w:rFonts w:ascii="Times New Roman" w:hAnsi="Times New Roman" w:cs="Times New Roman"/>
          <w:b w:val="0"/>
          <w:color w:val="auto"/>
          <w:sz w:val="24"/>
          <w:szCs w:val="24"/>
        </w:rPr>
        <w:t>Por ejemplo, e</w:t>
      </w:r>
      <w:r w:rsidRPr="009955C1">
        <w:rPr>
          <w:rFonts w:ascii="Times New Roman" w:hAnsi="Times New Roman" w:cs="Times New Roman"/>
          <w:color w:val="auto"/>
          <w:sz w:val="24"/>
          <w:szCs w:val="24"/>
        </w:rPr>
        <w:t>l ambiente intimidante puede aumentar la ansiedad del testigo</w:t>
      </w:r>
      <w:r w:rsidRPr="009955C1">
        <w:rPr>
          <w:rFonts w:ascii="Times New Roman" w:hAnsi="Times New Roman" w:cs="Times New Roman"/>
          <w:color w:val="auto"/>
          <w:sz w:val="24"/>
          <w:szCs w:val="24"/>
        </w:rPr>
        <w:t xml:space="preserve"> y eso repercutir en su declaración. La presencia del público p</w:t>
      </w:r>
      <w:r w:rsidRPr="009955C1">
        <w:rPr>
          <w:rFonts w:ascii="Times New Roman" w:hAnsi="Times New Roman" w:cs="Times New Roman"/>
          <w:color w:val="auto"/>
          <w:sz w:val="24"/>
          <w:szCs w:val="24"/>
        </w:rPr>
        <w:t>uede generar presión adicional y afectar el testimonio</w:t>
      </w:r>
      <w:r w:rsidRPr="009955C1">
        <w:rPr>
          <w:rFonts w:ascii="Times New Roman" w:hAnsi="Times New Roman" w:cs="Times New Roman"/>
          <w:color w:val="auto"/>
          <w:sz w:val="24"/>
          <w:szCs w:val="24"/>
        </w:rPr>
        <w:t xml:space="preserve">. </w:t>
      </w:r>
      <w:r w:rsidR="00752CA1" w:rsidRPr="009955C1">
        <w:rPr>
          <w:rStyle w:val="Textoennegrita"/>
          <w:rFonts w:ascii="Times New Roman" w:hAnsi="Times New Roman" w:cs="Times New Roman"/>
          <w:b w:val="0"/>
          <w:color w:val="auto"/>
          <w:sz w:val="24"/>
          <w:szCs w:val="24"/>
        </w:rPr>
        <w:t>Las</w:t>
      </w:r>
      <w:r w:rsidR="00752CA1" w:rsidRPr="009955C1">
        <w:rPr>
          <w:rStyle w:val="Textoennegrita"/>
          <w:rFonts w:ascii="Times New Roman" w:hAnsi="Times New Roman" w:cs="Times New Roman"/>
          <w:color w:val="auto"/>
          <w:sz w:val="24"/>
          <w:szCs w:val="24"/>
        </w:rPr>
        <w:t xml:space="preserve"> </w:t>
      </w:r>
      <w:r w:rsidR="00752CA1" w:rsidRPr="009955C1">
        <w:rPr>
          <w:rFonts w:ascii="Times New Roman" w:hAnsi="Times New Roman" w:cs="Times New Roman"/>
          <w:color w:val="auto"/>
          <w:sz w:val="24"/>
          <w:szCs w:val="24"/>
        </w:rPr>
        <w:t>videoconferencias o grabaciones pueden</w:t>
      </w:r>
      <w:r w:rsidRPr="009955C1">
        <w:rPr>
          <w:rFonts w:ascii="Times New Roman" w:hAnsi="Times New Roman" w:cs="Times New Roman"/>
          <w:color w:val="auto"/>
          <w:sz w:val="24"/>
          <w:szCs w:val="24"/>
        </w:rPr>
        <w:t xml:space="preserve"> alterar la dinámica</w:t>
      </w:r>
      <w:r w:rsidRPr="009955C1">
        <w:rPr>
          <w:rFonts w:ascii="Times New Roman" w:hAnsi="Times New Roman" w:cs="Times New Roman"/>
          <w:color w:val="auto"/>
          <w:sz w:val="24"/>
          <w:szCs w:val="24"/>
        </w:rPr>
        <w:t>. Los p</w:t>
      </w:r>
      <w:r w:rsidRPr="009955C1">
        <w:rPr>
          <w:rFonts w:ascii="Times New Roman" w:hAnsi="Times New Roman" w:cs="Times New Roman"/>
          <w:color w:val="auto"/>
          <w:sz w:val="24"/>
          <w:szCs w:val="24"/>
        </w:rPr>
        <w:t>rocedimientos prolongados pueden fatigar al testigo</w:t>
      </w:r>
      <w:r w:rsidRPr="009955C1">
        <w:rPr>
          <w:rFonts w:ascii="Times New Roman" w:hAnsi="Times New Roman" w:cs="Times New Roman"/>
          <w:color w:val="auto"/>
          <w:sz w:val="24"/>
          <w:szCs w:val="24"/>
        </w:rPr>
        <w:t xml:space="preserve"> y afectar su declaración. Preguntas agresivas y preguntas</w:t>
      </w:r>
      <w:r w:rsidRPr="009955C1">
        <w:rPr>
          <w:rFonts w:ascii="Times New Roman" w:hAnsi="Times New Roman" w:cs="Times New Roman"/>
          <w:color w:val="auto"/>
          <w:sz w:val="24"/>
          <w:szCs w:val="24"/>
        </w:rPr>
        <w:t xml:space="preserve"> empáticas pueden afectar las respuestas</w:t>
      </w:r>
      <w:r w:rsidRPr="009955C1">
        <w:rPr>
          <w:rFonts w:ascii="Times New Roman" w:hAnsi="Times New Roman" w:cs="Times New Roman"/>
          <w:color w:val="auto"/>
          <w:sz w:val="24"/>
          <w:szCs w:val="24"/>
        </w:rPr>
        <w:t xml:space="preserve">. </w:t>
      </w:r>
      <w:r w:rsidRPr="009955C1">
        <w:rPr>
          <w:rFonts w:ascii="Times New Roman" w:hAnsi="Times New Roman" w:cs="Times New Roman"/>
          <w:color w:val="auto"/>
          <w:sz w:val="24"/>
          <w:szCs w:val="24"/>
        </w:rPr>
        <w:t xml:space="preserve">El nivel de </w:t>
      </w:r>
      <w:r w:rsidRPr="009955C1">
        <w:rPr>
          <w:rFonts w:ascii="Times New Roman" w:hAnsi="Times New Roman" w:cs="Times New Roman"/>
          <w:color w:val="auto"/>
          <w:sz w:val="24"/>
          <w:szCs w:val="24"/>
        </w:rPr>
        <w:lastRenderedPageBreak/>
        <w:t>preparación del testigo puede influir en su desempeño</w:t>
      </w:r>
      <w:r w:rsidRPr="009955C1">
        <w:rPr>
          <w:rFonts w:ascii="Times New Roman" w:hAnsi="Times New Roman" w:cs="Times New Roman"/>
          <w:color w:val="auto"/>
          <w:sz w:val="24"/>
          <w:szCs w:val="24"/>
        </w:rPr>
        <w:t>. E</w:t>
      </w:r>
      <w:r w:rsidRPr="009955C1">
        <w:rPr>
          <w:rFonts w:ascii="Times New Roman" w:hAnsi="Times New Roman" w:cs="Times New Roman"/>
          <w:color w:val="auto"/>
          <w:sz w:val="24"/>
          <w:szCs w:val="24"/>
        </w:rPr>
        <w:t xml:space="preserve">l conocimiento sobre el procedimiento </w:t>
      </w:r>
      <w:r w:rsidRPr="009955C1">
        <w:rPr>
          <w:rFonts w:ascii="Times New Roman" w:hAnsi="Times New Roman" w:cs="Times New Roman"/>
          <w:color w:val="auto"/>
          <w:sz w:val="24"/>
          <w:szCs w:val="24"/>
        </w:rPr>
        <w:t xml:space="preserve">tiende a reducir </w:t>
      </w:r>
      <w:r w:rsidRPr="009955C1">
        <w:rPr>
          <w:rFonts w:ascii="Times New Roman" w:hAnsi="Times New Roman" w:cs="Times New Roman"/>
          <w:color w:val="auto"/>
          <w:sz w:val="24"/>
          <w:szCs w:val="24"/>
        </w:rPr>
        <w:t>la ansiedad</w:t>
      </w:r>
      <w:r w:rsidR="00D35DE8" w:rsidRPr="009955C1">
        <w:rPr>
          <w:rFonts w:ascii="Times New Roman" w:hAnsi="Times New Roman" w:cs="Times New Roman"/>
          <w:color w:val="auto"/>
          <w:sz w:val="24"/>
          <w:szCs w:val="24"/>
        </w:rPr>
        <w:t xml:space="preserve"> o nerviosismo, etc.</w:t>
      </w:r>
    </w:p>
    <w:p w:rsidR="004F03A3" w:rsidRPr="009955C1" w:rsidRDefault="004F03A3" w:rsidP="00D344E3">
      <w:pPr>
        <w:spacing w:after="120" w:line="276" w:lineRule="auto"/>
        <w:ind w:firstLine="426"/>
        <w:jc w:val="both"/>
        <w:rPr>
          <w:rFonts w:ascii="Times New Roman" w:hAnsi="Times New Roman" w:cs="Times New Roman"/>
          <w:color w:val="auto"/>
          <w:sz w:val="24"/>
          <w:szCs w:val="24"/>
        </w:rPr>
      </w:pPr>
    </w:p>
    <w:p w:rsidR="004F03A3" w:rsidRPr="009955C1" w:rsidRDefault="004F03A3" w:rsidP="00D344E3">
      <w:pPr>
        <w:pStyle w:val="Ttulo1"/>
        <w:spacing w:after="120" w:line="276" w:lineRule="auto"/>
        <w:ind w:left="0" w:firstLine="426"/>
      </w:pPr>
      <w:r w:rsidRPr="009955C1">
        <w:t>Factores que influyen en la valoración del testimonio.</w:t>
      </w:r>
    </w:p>
    <w:p w:rsidR="004F03A3" w:rsidRPr="001E7946" w:rsidRDefault="004F03A3" w:rsidP="00D344E3">
      <w:pPr>
        <w:pStyle w:val="NormalWeb"/>
        <w:spacing w:before="0" w:beforeAutospacing="0" w:after="120" w:afterAutospacing="0" w:line="276" w:lineRule="auto"/>
        <w:ind w:firstLine="426"/>
        <w:jc w:val="both"/>
      </w:pPr>
      <w:r w:rsidRPr="001E7946">
        <w:t xml:space="preserve">En el ámbito del testimonio, la </w:t>
      </w:r>
      <w:r w:rsidRPr="001E7946">
        <w:rPr>
          <w:bCs/>
          <w:bdr w:val="none" w:sz="0" w:space="0" w:color="auto" w:frame="1"/>
        </w:rPr>
        <w:t>memoria del testigo</w:t>
      </w:r>
      <w:r w:rsidRPr="001E7946">
        <w:t xml:space="preserve"> es fundamental. Sin embargo, no siempre la capacidad de recordar se traduce en la convicción del testimonio. Hay factores que no influyen directamente en el recuerdo, pero sí en la </w:t>
      </w:r>
      <w:r w:rsidRPr="001E7946">
        <w:rPr>
          <w:bCs/>
          <w:bdr w:val="none" w:sz="0" w:space="0" w:color="auto" w:frame="1"/>
        </w:rPr>
        <w:t>credibilidad y la percepción</w:t>
      </w:r>
      <w:r w:rsidRPr="001E7946">
        <w:t xml:space="preserve"> del mismo.</w:t>
      </w:r>
    </w:p>
    <w:p w:rsidR="004F03A3" w:rsidRPr="009955C1" w:rsidRDefault="004F03A3" w:rsidP="00D344E3">
      <w:pPr>
        <w:pStyle w:val="NormalWeb"/>
        <w:spacing w:before="0" w:beforeAutospacing="0" w:after="120" w:afterAutospacing="0" w:line="276" w:lineRule="auto"/>
        <w:ind w:firstLine="426"/>
        <w:jc w:val="both"/>
      </w:pPr>
      <w:r w:rsidRPr="009955C1">
        <w:t>La habilidad de un testigo para articular su experiencia y la capacidad de los funcionarios para interpretar esa declaración son cruciales. Estos son dos factores que afectan la convicción del testimonio.</w:t>
      </w:r>
    </w:p>
    <w:p w:rsidR="004F03A3" w:rsidRPr="009955C1" w:rsidRDefault="004F03A3" w:rsidP="00D344E3">
      <w:pPr>
        <w:pStyle w:val="Ttulo4"/>
        <w:spacing w:before="0" w:after="120" w:line="276" w:lineRule="auto"/>
        <w:ind w:firstLine="426"/>
        <w:jc w:val="both"/>
        <w:rPr>
          <w:rFonts w:ascii="Times New Roman" w:hAnsi="Times New Roman" w:cs="Times New Roman"/>
          <w:i w:val="0"/>
          <w:color w:val="auto"/>
          <w:sz w:val="24"/>
          <w:szCs w:val="24"/>
        </w:rPr>
      </w:pPr>
      <w:r w:rsidRPr="009955C1">
        <w:rPr>
          <w:rFonts w:ascii="Times New Roman" w:hAnsi="Times New Roman" w:cs="Times New Roman"/>
          <w:color w:val="auto"/>
          <w:sz w:val="24"/>
          <w:szCs w:val="24"/>
        </w:rPr>
        <w:t xml:space="preserve">Habilidad del Testigo: </w:t>
      </w:r>
      <w:r w:rsidRPr="009955C1">
        <w:rPr>
          <w:rFonts w:ascii="Times New Roman" w:hAnsi="Times New Roman" w:cs="Times New Roman"/>
          <w:i w:val="0"/>
          <w:color w:val="auto"/>
          <w:sz w:val="24"/>
          <w:szCs w:val="24"/>
        </w:rPr>
        <w:t>La capacidad de un testigo para expresarse es un factor que afecta la convicción de su testimonio. Por ejemplo, una persona que se muestra insegura, utiliza un lenguaje corporal evasivo o tiene dificultades para encontrar las palabras adecuadas, puede ser percibida como poco fiable, incluso si su recuerdo es preciso. Del mismo modo, un testigo con un vocabulario limitado o con un acento poco común puede generar prejuicios en los oyentes. Esto puede hacer que su testimonio se considere menos creíble.</w:t>
      </w:r>
    </w:p>
    <w:p w:rsidR="004F03A3" w:rsidRPr="009955C1" w:rsidRDefault="004F03A3" w:rsidP="00D344E3">
      <w:pPr>
        <w:pStyle w:val="Ttulo4"/>
        <w:spacing w:before="0" w:after="120" w:line="276" w:lineRule="auto"/>
        <w:ind w:firstLine="426"/>
        <w:jc w:val="both"/>
        <w:rPr>
          <w:rFonts w:ascii="Times New Roman" w:hAnsi="Times New Roman" w:cs="Times New Roman"/>
          <w:i w:val="0"/>
          <w:color w:val="auto"/>
          <w:sz w:val="24"/>
          <w:szCs w:val="24"/>
        </w:rPr>
      </w:pPr>
      <w:r w:rsidRPr="009955C1">
        <w:rPr>
          <w:rFonts w:ascii="Times New Roman" w:hAnsi="Times New Roman" w:cs="Times New Roman"/>
          <w:color w:val="auto"/>
          <w:sz w:val="24"/>
          <w:szCs w:val="24"/>
        </w:rPr>
        <w:t xml:space="preserve">Habilidad de los Funcionarios: </w:t>
      </w:r>
      <w:r w:rsidRPr="009955C1">
        <w:rPr>
          <w:rFonts w:ascii="Times New Roman" w:hAnsi="Times New Roman" w:cs="Times New Roman"/>
          <w:i w:val="0"/>
          <w:color w:val="auto"/>
          <w:sz w:val="24"/>
          <w:szCs w:val="24"/>
        </w:rPr>
        <w:t xml:space="preserve">La habilidad de los funcionarios para entender o interpretar la declaración del testigo es el segundo factor que afecta la convicción de un testimonio. Un funcionario estatal (como un policía o un fiscal) puede malinterpretar la declaración de un testigo, especialmente si este utiliza jerga o un dialecto que el funcionario desconoce. Esta mala interpretación puede llevar a una </w:t>
      </w:r>
      <w:r w:rsidRPr="009955C1">
        <w:rPr>
          <w:rFonts w:ascii="Times New Roman" w:hAnsi="Times New Roman" w:cs="Times New Roman"/>
          <w:bCs/>
          <w:i w:val="0"/>
          <w:color w:val="auto"/>
          <w:sz w:val="24"/>
          <w:szCs w:val="24"/>
          <w:bdr w:val="none" w:sz="0" w:space="0" w:color="auto" w:frame="1"/>
        </w:rPr>
        <w:t>traducción inexacta</w:t>
      </w:r>
      <w:r w:rsidRPr="009955C1">
        <w:rPr>
          <w:rFonts w:ascii="Times New Roman" w:hAnsi="Times New Roman" w:cs="Times New Roman"/>
          <w:i w:val="0"/>
          <w:color w:val="auto"/>
          <w:sz w:val="24"/>
          <w:szCs w:val="24"/>
        </w:rPr>
        <w:t xml:space="preserve"> de la declaración al papel, lo que afecta la veracidad del testimonio en el informe oficial.</w:t>
      </w:r>
    </w:p>
    <w:p w:rsidR="004F03A3" w:rsidRPr="009955C1" w:rsidRDefault="004F03A3" w:rsidP="00D344E3">
      <w:pPr>
        <w:pStyle w:val="NormalWeb"/>
        <w:spacing w:before="0" w:beforeAutospacing="0" w:after="120" w:afterAutospacing="0" w:line="276" w:lineRule="auto"/>
        <w:ind w:firstLine="426"/>
        <w:jc w:val="both"/>
      </w:pPr>
      <w:r w:rsidRPr="009955C1">
        <w:t xml:space="preserve">La forma en que se traduce el testimonio a un documento oficial también es determinante. En algunos procesos de naturaleza no penal (procesos civiles, laborales, administrativos, etc.) la práctica tribunalicia alejada de la ley da cuenta de que en ocasiones, las audiencias son tomadas por funcionarios subalternos del órgano jurisdiccional (dactilógrafos o secretarios) y no por el propio juez, lo cual agrega un intermediario que interpreta una declaración y luego, con sus propias limitaciones, las escribe en un papel, alejando más al juez del recuerdo —ya de por sí </w:t>
      </w:r>
      <w:r w:rsidR="00752CA1" w:rsidRPr="009955C1">
        <w:t>distorsionado</w:t>
      </w:r>
      <w:r w:rsidRPr="009955C1">
        <w:t>— del testigo.</w:t>
      </w:r>
    </w:p>
    <w:p w:rsidR="004F03A3" w:rsidRPr="009955C1" w:rsidRDefault="004F03A3" w:rsidP="00D344E3">
      <w:pPr>
        <w:pStyle w:val="NormalWeb"/>
        <w:spacing w:before="0" w:beforeAutospacing="0" w:after="120" w:afterAutospacing="0" w:line="276" w:lineRule="auto"/>
        <w:ind w:firstLine="426"/>
        <w:jc w:val="both"/>
      </w:pPr>
      <w:r w:rsidRPr="009955C1">
        <w:t>Si un funcionario no logra captar la esencia de la declaración o la redacta de forma confusa, el juez o el jurado leerán un testimonio debilitado. Este documento, que es la única evidencia escrita del testimonio, puede no reflejar con precisión lo que el testigo dijo o quiso decir, y así, la percepción de la validez del testimonio se basa en lo que está escrito, no en lo que el testigo realmente dijo o recordó.</w:t>
      </w:r>
    </w:p>
    <w:p w:rsidR="004F03A3" w:rsidRPr="009955C1" w:rsidRDefault="004F03A3" w:rsidP="00D344E3">
      <w:pPr>
        <w:pStyle w:val="NormalWeb"/>
        <w:spacing w:before="0" w:beforeAutospacing="0" w:after="120" w:afterAutospacing="0" w:line="276" w:lineRule="auto"/>
        <w:ind w:firstLine="426"/>
        <w:jc w:val="both"/>
      </w:pPr>
      <w:r w:rsidRPr="009955C1">
        <w:t xml:space="preserve">En conclusión, la convicción de un testimonio no solo depende de la precisión del recuerdo, sino también de </w:t>
      </w:r>
      <w:r w:rsidRPr="001E7946">
        <w:rPr>
          <w:bCs/>
          <w:bdr w:val="none" w:sz="0" w:space="0" w:color="auto" w:frame="1"/>
        </w:rPr>
        <w:t>la comunicación y la</w:t>
      </w:r>
      <w:r w:rsidRPr="009955C1">
        <w:rPr>
          <w:b/>
          <w:bCs/>
          <w:bdr w:val="none" w:sz="0" w:space="0" w:color="auto" w:frame="1"/>
        </w:rPr>
        <w:t xml:space="preserve"> </w:t>
      </w:r>
      <w:r w:rsidRPr="001E7946">
        <w:rPr>
          <w:bCs/>
          <w:bdr w:val="none" w:sz="0" w:space="0" w:color="auto" w:frame="1"/>
        </w:rPr>
        <w:t>interpretación</w:t>
      </w:r>
      <w:r w:rsidRPr="009955C1">
        <w:t xml:space="preserve">. La habilidad del testigo </w:t>
      </w:r>
      <w:r w:rsidRPr="009955C1">
        <w:lastRenderedPageBreak/>
        <w:t xml:space="preserve">para expresarse y la del funcionario para entenderlo y traducirlo al papel son cruciales para la credibilidad y la aceptación del testimonio. </w:t>
      </w:r>
    </w:p>
    <w:p w:rsidR="001A19D0" w:rsidRPr="009955C1" w:rsidRDefault="001A19D0" w:rsidP="00D344E3">
      <w:pPr>
        <w:pStyle w:val="NormalWeb"/>
        <w:spacing w:before="0" w:beforeAutospacing="0" w:after="120" w:afterAutospacing="0" w:line="276" w:lineRule="auto"/>
        <w:ind w:firstLine="426"/>
        <w:jc w:val="both"/>
      </w:pPr>
    </w:p>
    <w:p w:rsidR="001A19D0" w:rsidRPr="009955C1" w:rsidRDefault="001A19D0" w:rsidP="00D344E3">
      <w:pPr>
        <w:pStyle w:val="Ttulo1"/>
        <w:spacing w:after="120" w:line="276" w:lineRule="auto"/>
        <w:ind w:left="0" w:firstLine="426"/>
      </w:pPr>
      <w:r w:rsidRPr="009955C1">
        <w:t>La contaminación de la evidencia en materia penal</w:t>
      </w:r>
    </w:p>
    <w:p w:rsidR="001A19D0" w:rsidRPr="009955C1" w:rsidRDefault="001A19D0" w:rsidP="00D344E3">
      <w:pPr>
        <w:pStyle w:val="NormalWeb"/>
        <w:spacing w:before="0" w:beforeAutospacing="0" w:after="120" w:afterAutospacing="0" w:line="276" w:lineRule="auto"/>
        <w:ind w:firstLine="426"/>
        <w:jc w:val="both"/>
      </w:pPr>
      <w:r w:rsidRPr="009955C1">
        <w:t>La falibilidad de la memoria se agrava cuando las instituciones encargadas de la investigación (Ministerio Público, Policía u otra) utilizan protocolos inadecuados que, de manera involuntaria, la corrompen. Las técnicas de interrogatorio tradicionales son una fuente común de errores. El uso de preguntas cerradas o sugestivas puede llevar a un testigo a recordar detalles que no presenció o a seleccionar respuestas que confirman una hipótesis del investigador. De esta manera se produce una “contaminación de la evidencia”</w:t>
      </w:r>
      <w:r w:rsidR="00F27B0F" w:rsidRPr="009955C1">
        <w:t xml:space="preserve"> con respecto al testimonio</w:t>
      </w:r>
      <w:r w:rsidRPr="009955C1">
        <w:t>, pero</w:t>
      </w:r>
      <w:r w:rsidR="00F27B0F" w:rsidRPr="009955C1">
        <w:t xml:space="preserve"> es un hecho que casi nadie repara en una violación de la cadena de custodia en estos casos. ¿Cómo “custodiar” el recuerdo para evitar contaminaciones?</w:t>
      </w:r>
    </w:p>
    <w:p w:rsidR="001A19D0" w:rsidRPr="009955C1" w:rsidRDefault="00F27B0F" w:rsidP="00D344E3">
      <w:pPr>
        <w:pStyle w:val="NormalWeb"/>
        <w:spacing w:before="0" w:beforeAutospacing="0" w:after="120" w:afterAutospacing="0" w:line="276" w:lineRule="auto"/>
        <w:ind w:firstLine="426"/>
        <w:jc w:val="both"/>
      </w:pPr>
      <w:r w:rsidRPr="009955C1">
        <w:t>En algún punto puede decirse que l</w:t>
      </w:r>
      <w:r w:rsidR="001A19D0" w:rsidRPr="009955C1">
        <w:t xml:space="preserve">a peor persona para interrogar a un testigo es el abogado, ya que su trabajo es, por naturaleza, influir en el testigo para que su versión </w:t>
      </w:r>
      <w:r w:rsidRPr="009955C1">
        <w:t xml:space="preserve">de los hechos se vea favorecida. Para evitar esa contaminación del recuerdo las leyes procesales suelen contener disposiciones que regulan la forma de las preguntas, y mientras se prohíbe dirigirle al testigo preguntas sugestivas, o preguntas que contengan más de un hecho, se exige, por el contrario, que en los casos de “confesión provocada” </w:t>
      </w:r>
      <w:r w:rsidR="00720298" w:rsidRPr="009955C1">
        <w:t xml:space="preserve">cierta parte procesal (en los litigios no penales) </w:t>
      </w:r>
      <w:r w:rsidRPr="009955C1">
        <w:t>absuelva o levante posiciones</w:t>
      </w:r>
      <w:r w:rsidR="00720298" w:rsidRPr="009955C1">
        <w:t>.</w:t>
      </w:r>
    </w:p>
    <w:p w:rsidR="00720298" w:rsidRPr="009955C1" w:rsidRDefault="00720298" w:rsidP="00D344E3">
      <w:pPr>
        <w:pStyle w:val="NormalWeb"/>
        <w:spacing w:before="0" w:beforeAutospacing="0" w:after="120" w:afterAutospacing="0" w:line="276" w:lineRule="auto"/>
        <w:ind w:firstLine="426"/>
        <w:jc w:val="both"/>
      </w:pPr>
      <w:r w:rsidRPr="009955C1">
        <w:t xml:space="preserve">Una mención especial merece la llamada </w:t>
      </w:r>
      <w:r w:rsidR="006F5925" w:rsidRPr="009955C1">
        <w:rPr>
          <w:i/>
        </w:rPr>
        <w:t>rueda</w:t>
      </w:r>
      <w:r w:rsidRPr="009955C1">
        <w:rPr>
          <w:i/>
        </w:rPr>
        <w:t xml:space="preserve"> o ronda</w:t>
      </w:r>
      <w:r w:rsidR="006F5925" w:rsidRPr="009955C1">
        <w:rPr>
          <w:i/>
        </w:rPr>
        <w:t xml:space="preserve"> de reconocimiento</w:t>
      </w:r>
      <w:r w:rsidRPr="009955C1">
        <w:t>, que</w:t>
      </w:r>
      <w:r w:rsidR="006F5925" w:rsidRPr="009955C1">
        <w:t xml:space="preserve"> </w:t>
      </w:r>
      <w:r w:rsidRPr="009955C1">
        <w:t xml:space="preserve">para quien conoce los factores de falibilidad de la memoria, será probablemente otra muestra de error del sistema judicial, y sin duda tiene todo el potencial para erigirse como </w:t>
      </w:r>
      <w:r w:rsidR="006F5925" w:rsidRPr="009955C1">
        <w:t>una de las principa</w:t>
      </w:r>
      <w:r w:rsidRPr="009955C1">
        <w:t>les causas de condenas injustas. ¿Qué tan bien podemos recordar a una persona que vimos —quizá incluso fugazmente</w:t>
      </w:r>
      <w:r w:rsidRPr="009955C1">
        <w:t>—</w:t>
      </w:r>
      <w:r w:rsidRPr="009955C1">
        <w:t xml:space="preserve"> hace ya algún tiempo? ¿Cómo actúan aquí los estereotipos?</w:t>
      </w:r>
      <w:r w:rsidR="00D44652" w:rsidRPr="009955C1">
        <w:t xml:space="preserve"> </w:t>
      </w:r>
    </w:p>
    <w:p w:rsidR="00D44652" w:rsidRPr="009955C1" w:rsidRDefault="006F5925" w:rsidP="00D344E3">
      <w:pPr>
        <w:pStyle w:val="NormalWeb"/>
        <w:spacing w:before="0" w:beforeAutospacing="0" w:after="120" w:afterAutospacing="0" w:line="276" w:lineRule="auto"/>
        <w:ind w:firstLine="426"/>
        <w:jc w:val="both"/>
      </w:pPr>
      <w:r w:rsidRPr="009955C1">
        <w:t>Esta dilige</w:t>
      </w:r>
      <w:r w:rsidR="00D44652" w:rsidRPr="009955C1">
        <w:t>ncia conlleva un “sesgo de respuesta”</w:t>
      </w:r>
      <w:r w:rsidRPr="009955C1">
        <w:t xml:space="preserve">, en el que el testigo tiende </w:t>
      </w:r>
      <w:r w:rsidR="00D44652" w:rsidRPr="009955C1">
        <w:t xml:space="preserve">muchas veces </w:t>
      </w:r>
      <w:r w:rsidRPr="009955C1">
        <w:t>a elegir a uno de los componentes de la rueda, incluso si el autor r</w:t>
      </w:r>
      <w:r w:rsidR="00D44652" w:rsidRPr="009955C1">
        <w:t>eal del delito no está presente</w:t>
      </w:r>
      <w:r w:rsidRPr="009955C1">
        <w:t>.</w:t>
      </w:r>
      <w:r w:rsidR="00D44652" w:rsidRPr="009955C1">
        <w:t xml:space="preserve"> Esto puede llevar a falsas identificaciones porque la presión o la suposición de que el culpable está en la rueda influye en la decisión del testigo.</w:t>
      </w:r>
      <w:r w:rsidRPr="009955C1">
        <w:t xml:space="preserve"> </w:t>
      </w:r>
    </w:p>
    <w:p w:rsidR="00F94597" w:rsidRPr="009955C1" w:rsidRDefault="00F94597" w:rsidP="00D344E3">
      <w:pPr>
        <w:pStyle w:val="my-2"/>
        <w:spacing w:before="0" w:beforeAutospacing="0" w:after="120" w:afterAutospacing="0" w:line="276" w:lineRule="auto"/>
        <w:ind w:firstLine="426"/>
        <w:jc w:val="both"/>
      </w:pPr>
      <w:r w:rsidRPr="009955C1">
        <w:t>Así, l</w:t>
      </w:r>
      <w:r w:rsidR="00D44652" w:rsidRPr="009955C1">
        <w:t>as ru</w:t>
      </w:r>
      <w:r w:rsidRPr="009955C1">
        <w:t>edas o rondas de reconocimiento</w:t>
      </w:r>
      <w:r w:rsidR="00D44652" w:rsidRPr="009955C1">
        <w:t xml:space="preserve"> pueden inducir errores en la memoria del testigo</w:t>
      </w:r>
      <w:r w:rsidRPr="009955C1">
        <w:t>, y e</w:t>
      </w:r>
      <w:r w:rsidR="00D44652" w:rsidRPr="009955C1">
        <w:t xml:space="preserve">l error es mayor si las instrucciones al testigo no le </w:t>
      </w:r>
      <w:r w:rsidRPr="009955C1">
        <w:t xml:space="preserve">advierten </w:t>
      </w:r>
      <w:r w:rsidR="00D44652" w:rsidRPr="009955C1">
        <w:t>que el culpable puede no estar presente, o si hay sugerencias implícitas o explícitas que el sospechoso está en la rueda. También influye el tamaño de la rueda, donde ruedas más grandes pueden distraer y disminuir la precisión.</w:t>
      </w:r>
    </w:p>
    <w:p w:rsidR="00D44652" w:rsidRPr="009955C1" w:rsidRDefault="00D44652" w:rsidP="00D344E3">
      <w:pPr>
        <w:pStyle w:val="my-2"/>
        <w:spacing w:before="0" w:beforeAutospacing="0" w:after="120" w:afterAutospacing="0" w:line="276" w:lineRule="auto"/>
        <w:ind w:firstLine="426"/>
        <w:jc w:val="both"/>
      </w:pPr>
      <w:r w:rsidRPr="009955C1">
        <w:t>Los estereotipos</w:t>
      </w:r>
      <w:r w:rsidR="00F94597" w:rsidRPr="009955C1">
        <w:t xml:space="preserve"> también</w:t>
      </w:r>
      <w:r w:rsidRPr="009955C1">
        <w:t xml:space="preserve"> pueden influir en la identificación. Por ejemplo, la apariencia racial puede generar un "sesgo fenotípico", donde un testigo puede inclinarse a identificar a una persona cuyo fenotipo</w:t>
      </w:r>
      <w:r w:rsidR="00F94597" w:rsidRPr="009955C1">
        <w:t xml:space="preserve"> (</w:t>
      </w:r>
      <w:r w:rsidR="00F94597" w:rsidRPr="009955C1">
        <w:rPr>
          <w:shd w:val="clear" w:color="auto" w:fill="FFFFFF"/>
        </w:rPr>
        <w:t>características observables de un organismo</w:t>
      </w:r>
      <w:r w:rsidR="00F94597" w:rsidRPr="009955C1">
        <w:t>)</w:t>
      </w:r>
      <w:r w:rsidRPr="009955C1">
        <w:t xml:space="preserve"> </w:t>
      </w:r>
      <w:r w:rsidRPr="009955C1">
        <w:lastRenderedPageBreak/>
        <w:t>coincide con expectativas o prejuicios sociales, aumentando la probabilidad de identificar erróneamente a personas inocentes que encajen el perfil estereotípico</w:t>
      </w:r>
      <w:r w:rsidR="00F94597" w:rsidRPr="009955C1">
        <w:rPr>
          <w:rStyle w:val="Refdenotaalpie"/>
        </w:rPr>
        <w:footnoteReference w:id="9"/>
      </w:r>
      <w:r w:rsidRPr="009955C1">
        <w:t>.</w:t>
      </w:r>
      <w:r w:rsidR="00F94597" w:rsidRPr="009955C1">
        <w:t xml:space="preserve"> </w:t>
      </w:r>
    </w:p>
    <w:p w:rsidR="00D44652" w:rsidRPr="009955C1" w:rsidRDefault="003B5E55" w:rsidP="00D344E3">
      <w:pPr>
        <w:pStyle w:val="my-2"/>
        <w:spacing w:before="0" w:beforeAutospacing="0" w:after="120" w:afterAutospacing="0" w:line="276" w:lineRule="auto"/>
        <w:ind w:firstLine="426"/>
        <w:jc w:val="both"/>
      </w:pPr>
      <w:r w:rsidRPr="009955C1">
        <w:t xml:space="preserve">A estos problemas de la rueda de reconocimiento se suma el llamado </w:t>
      </w:r>
      <w:r w:rsidRPr="009955C1">
        <w:rPr>
          <w:i/>
        </w:rPr>
        <w:t>s</w:t>
      </w:r>
      <w:r w:rsidR="00D44652" w:rsidRPr="009955C1">
        <w:rPr>
          <w:rStyle w:val="Textoennegrita"/>
          <w:b w:val="0"/>
          <w:i/>
        </w:rPr>
        <w:t>esgo post-identificación</w:t>
      </w:r>
      <w:r w:rsidRPr="009955C1">
        <w:t>,</w:t>
      </w:r>
      <w:r w:rsidR="00D44652" w:rsidRPr="009955C1">
        <w:t xml:space="preserve"> </w:t>
      </w:r>
      <w:r w:rsidRPr="009955C1">
        <w:t>que consiste en que c</w:t>
      </w:r>
      <w:r w:rsidR="00D44652" w:rsidRPr="009955C1">
        <w:t>onfirmar o dar retroalimentación a un testigo después de elegir un sospechoso puede aumentar la confianza en una identificación errónea, distorsionando la memoria del testigo y la pe</w:t>
      </w:r>
      <w:r w:rsidRPr="009955C1">
        <w:t>rcepción de certeza en el juicio.</w:t>
      </w:r>
    </w:p>
    <w:p w:rsidR="003B5E55" w:rsidRPr="009955C1" w:rsidRDefault="00D44652" w:rsidP="00D344E3">
      <w:pPr>
        <w:pStyle w:val="my-2"/>
        <w:spacing w:before="0" w:beforeAutospacing="0" w:after="120" w:afterAutospacing="0" w:line="276" w:lineRule="auto"/>
        <w:ind w:firstLine="426"/>
        <w:jc w:val="both"/>
      </w:pPr>
      <w:r w:rsidRPr="009955C1">
        <w:t>En conclusión, las ruedas o rondas de reconocimiento pueden inducir errores en los testigos por sesgos de respuesta, instrucciones inadecuadas, tamaño de la rueda, y especialmente el efecto de estereotipos, poniendo en riesgo la justicia al favorecer condenas erróneas. Por ello, hay recomendaciones para mejorar los procedimientos y minimizar estos sesgos, como instruir apropiadamente a los testigos y realizar la administración de la rueda con personal ciego al caso</w:t>
      </w:r>
      <w:r w:rsidR="003B5E55" w:rsidRPr="009955C1">
        <w:t xml:space="preserve">, </w:t>
      </w:r>
      <w:r w:rsidR="00752CA1" w:rsidRPr="009955C1">
        <w:t>etc.</w:t>
      </w:r>
      <w:r w:rsidR="00605094" w:rsidRPr="009955C1">
        <w:rPr>
          <w:rStyle w:val="Refdenotaalpie"/>
        </w:rPr>
        <w:footnoteReference w:id="10"/>
      </w:r>
      <w:r w:rsidRPr="009955C1">
        <w:t>.</w:t>
      </w:r>
    </w:p>
    <w:p w:rsidR="006F5925" w:rsidRPr="009955C1" w:rsidRDefault="003B5E55" w:rsidP="00D344E3">
      <w:pPr>
        <w:pStyle w:val="NormalWeb"/>
        <w:spacing w:before="0" w:beforeAutospacing="0" w:after="120" w:afterAutospacing="0" w:line="276" w:lineRule="auto"/>
        <w:ind w:firstLine="426"/>
        <w:jc w:val="both"/>
      </w:pPr>
      <w:r w:rsidRPr="009955C1">
        <w:t>Por otra parte</w:t>
      </w:r>
      <w:r w:rsidR="006F5925" w:rsidRPr="009955C1">
        <w:t xml:space="preserve">, la previa identificación fotográfica de un sospechoso </w:t>
      </w:r>
      <w:r w:rsidRPr="009955C1">
        <w:t xml:space="preserve">puede </w:t>
      </w:r>
      <w:r w:rsidR="00752CA1" w:rsidRPr="009955C1">
        <w:t>también</w:t>
      </w:r>
      <w:r w:rsidRPr="009955C1">
        <w:t xml:space="preserve"> </w:t>
      </w:r>
      <w:r w:rsidR="006F5925" w:rsidRPr="009955C1">
        <w:t>contamina</w:t>
      </w:r>
      <w:r w:rsidRPr="009955C1">
        <w:t>r</w:t>
      </w:r>
      <w:r w:rsidR="006F5925" w:rsidRPr="009955C1">
        <w:t xml:space="preserve"> la fiabilidad de una identificación posterior en una rueda, ya que el testigo puede elegir a la persona por la simple familiaridad con la fotografía, y no porque la reconozca como el perpetrador.</w:t>
      </w:r>
    </w:p>
    <w:p w:rsidR="003B5E55" w:rsidRPr="009955C1" w:rsidRDefault="003B5E55" w:rsidP="00D344E3">
      <w:pPr>
        <w:pStyle w:val="NormalWeb"/>
        <w:spacing w:before="0" w:beforeAutospacing="0" w:after="120" w:afterAutospacing="0" w:line="276" w:lineRule="auto"/>
        <w:ind w:firstLine="426"/>
        <w:jc w:val="both"/>
      </w:pPr>
      <w:r w:rsidRPr="009955C1">
        <w:t>¿Qué quiere decir todo esto?</w:t>
      </w:r>
    </w:p>
    <w:p w:rsidR="003B5E55" w:rsidRPr="009955C1" w:rsidRDefault="003B5E55" w:rsidP="00D344E3">
      <w:pPr>
        <w:pStyle w:val="NormalWeb"/>
        <w:spacing w:before="0" w:beforeAutospacing="0" w:after="120" w:afterAutospacing="0" w:line="276" w:lineRule="auto"/>
        <w:ind w:firstLine="426"/>
        <w:jc w:val="both"/>
      </w:pPr>
      <w:r w:rsidRPr="009955C1">
        <w:t>Que l</w:t>
      </w:r>
      <w:r w:rsidR="006F5925" w:rsidRPr="009955C1">
        <w:t xml:space="preserve">as instituciones </w:t>
      </w:r>
      <w:r w:rsidRPr="009955C1">
        <w:t>del Estado</w:t>
      </w:r>
      <w:r w:rsidR="006F5925" w:rsidRPr="009955C1">
        <w:t>, en su intento por resolver un caso, pueden sin darse cuenta generar evidencia falsa</w:t>
      </w:r>
      <w:r w:rsidRPr="009955C1">
        <w:t>, o contaminar los recuerdos</w:t>
      </w:r>
      <w:r w:rsidR="006F5925" w:rsidRPr="009955C1">
        <w:t>. Las prácticas policiales sugestivas y las ruedas de reconocimiento sesgadas no solo fallan en obtener la verdad, sino que activamente la corrompen, creando un recuerdo que nunca existió en la mente del testigo. Esto convierte al testigo en un peón involuntario en un proceso de condena injusta. El sistema asume que el testigo puede identificar al culpable. Sin embargo, al usar un protocolo sesgado, el oficial, consciente de quién es el sospechoso, puede dar señales inconscientes. El testigo, que ya tiene una tendencia a elegir a alguien, capta estas señales y se siente presionado para tomar una decisión. Cuando el oficial refuerza la elección del testigo (</w:t>
      </w:r>
      <w:r w:rsidRPr="009955C1">
        <w:t>“¡buen trabajo!”</w:t>
      </w:r>
      <w:r w:rsidR="006F5925" w:rsidRPr="009955C1">
        <w:t>), infla la confianza del testigo en su identi</w:t>
      </w:r>
      <w:r w:rsidRPr="009955C1">
        <w:t>ficación, incluso si es errónea</w:t>
      </w:r>
      <w:r w:rsidR="006F5925" w:rsidRPr="009955C1">
        <w:t xml:space="preserve">. De este modo, el sistema no ha descubierto una prueba incriminatoria; la ha creado. La misma evidencia viciada que conduce a la detención se utiliza más tarde en el </w:t>
      </w:r>
      <w:r w:rsidR="006F5925" w:rsidRPr="009955C1">
        <w:lastRenderedPageBreak/>
        <w:t>juicio, donde el testigo, ahora altamente confiado, la presenta de manera persuasiva ante el jurado, perpetuando así un ciclo de error judicial</w:t>
      </w:r>
      <w:r w:rsidRPr="009955C1">
        <w:t>.</w:t>
      </w:r>
    </w:p>
    <w:p w:rsidR="00C15A40" w:rsidRPr="009955C1" w:rsidRDefault="003B5E55" w:rsidP="00D344E3">
      <w:pPr>
        <w:pStyle w:val="NormalWeb"/>
        <w:spacing w:before="0" w:beforeAutospacing="0" w:after="120" w:afterAutospacing="0" w:line="276" w:lineRule="auto"/>
        <w:ind w:firstLine="426"/>
        <w:jc w:val="both"/>
      </w:pPr>
      <w:r w:rsidRPr="009955C1">
        <w:t>En los casos que generan mayor repudio popular, como por ejemplo los de abuso sexual en niños, todo esto se hace mucho más gravoso</w:t>
      </w:r>
      <w:r w:rsidR="00C15A40" w:rsidRPr="009955C1">
        <w:t xml:space="preserve"> y perverso, haciendo añicos la presunción de inocencia</w:t>
      </w:r>
      <w:r w:rsidRPr="009955C1">
        <w:t xml:space="preserve">, y </w:t>
      </w:r>
      <w:r w:rsidR="00C15A40" w:rsidRPr="009955C1">
        <w:t>basta</w:t>
      </w:r>
      <w:r w:rsidRPr="009955C1">
        <w:t xml:space="preserve"> muchas veces una simple denuncia, aunque sea falsa</w:t>
      </w:r>
      <w:r w:rsidR="00C15A40" w:rsidRPr="009955C1">
        <w:t xml:space="preserve"> y genérica</w:t>
      </w:r>
      <w:r w:rsidRPr="009955C1">
        <w:t>, para que la maquinaria institucional se encargue</w:t>
      </w:r>
      <w:r w:rsidR="00C15A40" w:rsidRPr="009955C1">
        <w:t xml:space="preserve"> de tergiversar todo y convertir a un inocente en culpable. El sólo hecho de ser un hombre, y padre de un niño o niña, parece ser un riesgo demasiado alto en la sociedad actual, en la que debe sobrevivir al acecho de la amenaza siempre latente que supone una cruel denuncia falsa o extorsiva respecto a un supuesto hecho de abuso sexual. Quizá la sociedad todavía no está preparada para afrontar con seriedad y cautela la cuestión, o no tenga la madurez para respetar la presunción de inocencia, o los administradores de justicia no tengan la </w:t>
      </w:r>
      <w:r w:rsidR="00752CA1" w:rsidRPr="009955C1">
        <w:t>templanza</w:t>
      </w:r>
      <w:r w:rsidR="00C15A40" w:rsidRPr="009955C1">
        <w:t xml:space="preserve"> y el coraje para resistir a los movimientos sociales que bajo meros fanatismos y prejuicios realizan imputaciones </w:t>
      </w:r>
      <w:r w:rsidR="003D146B" w:rsidRPr="009955C1">
        <w:t>imprudentes</w:t>
      </w:r>
      <w:r w:rsidR="00C15A40" w:rsidRPr="009955C1">
        <w:t>.</w:t>
      </w:r>
    </w:p>
    <w:p w:rsidR="00E448FD" w:rsidRPr="009955C1" w:rsidRDefault="00E448FD" w:rsidP="00D344E3">
      <w:pPr>
        <w:pStyle w:val="NormalWeb"/>
        <w:spacing w:before="0" w:beforeAutospacing="0" w:after="120" w:afterAutospacing="0" w:line="276" w:lineRule="auto"/>
        <w:ind w:firstLine="426"/>
        <w:jc w:val="both"/>
      </w:pPr>
    </w:p>
    <w:p w:rsidR="006F5925" w:rsidRPr="009955C1" w:rsidRDefault="003D146B" w:rsidP="00D344E3">
      <w:pPr>
        <w:pStyle w:val="Ttulo1"/>
        <w:spacing w:after="120" w:line="276" w:lineRule="auto"/>
        <w:ind w:left="0" w:firstLine="426"/>
      </w:pPr>
      <w:r w:rsidRPr="009955C1">
        <w:t>Muchos casos, pocos aprendizajes</w:t>
      </w:r>
    </w:p>
    <w:p w:rsidR="003D146B" w:rsidRPr="009955C1" w:rsidRDefault="00752CA1" w:rsidP="00D344E3">
      <w:pPr>
        <w:pStyle w:val="NormalWeb"/>
        <w:spacing w:before="0" w:beforeAutospacing="0" w:after="120" w:afterAutospacing="0" w:line="276" w:lineRule="auto"/>
        <w:ind w:firstLine="426"/>
        <w:jc w:val="both"/>
      </w:pPr>
      <w:r w:rsidRPr="009955C1">
        <w:t>Un sinnúmero de casos ya ha</w:t>
      </w:r>
      <w:r w:rsidR="003D146B" w:rsidRPr="009955C1">
        <w:t xml:space="preserve"> mostrado </w:t>
      </w:r>
      <w:r w:rsidR="006F5925" w:rsidRPr="009955C1">
        <w:t>la abrumadora evidencia de la falibilidad del testimonio ocular,</w:t>
      </w:r>
      <w:r w:rsidR="003D146B" w:rsidRPr="009955C1">
        <w:t xml:space="preserve"> pero este, </w:t>
      </w:r>
      <w:r w:rsidRPr="009955C1">
        <w:t>aun</w:t>
      </w:r>
      <w:r w:rsidR="003D146B" w:rsidRPr="009955C1">
        <w:t xml:space="preserve"> así, sigue siendo una de las </w:t>
      </w:r>
      <w:r w:rsidRPr="009955C1">
        <w:t>principales causas</w:t>
      </w:r>
      <w:r w:rsidR="006F5925" w:rsidRPr="009955C1">
        <w:t xml:space="preserve"> de condenas injustas. </w:t>
      </w:r>
      <w:r w:rsidR="003D146B" w:rsidRPr="009955C1">
        <w:t>El estremecedor caso de Tomás Ghisoni, en Argentina, destapado a mediados de 2025, luego de arruinarle la vida a un padre inocente, muestra a las claras la manipulación del sistema procesal y su grave falibilidad.</w:t>
      </w:r>
    </w:p>
    <w:p w:rsidR="006F5925" w:rsidRPr="009955C1" w:rsidRDefault="006F5925" w:rsidP="00D344E3">
      <w:pPr>
        <w:pStyle w:val="NormalWeb"/>
        <w:spacing w:before="0" w:beforeAutospacing="0" w:after="120" w:afterAutospacing="0" w:line="276" w:lineRule="auto"/>
        <w:ind w:firstLine="426"/>
        <w:jc w:val="both"/>
      </w:pPr>
      <w:r w:rsidRPr="009955C1">
        <w:t>El caso de Ronald Cotton</w:t>
      </w:r>
      <w:r w:rsidR="003D146B" w:rsidRPr="009955C1">
        <w:t xml:space="preserve"> también</w:t>
      </w:r>
      <w:r w:rsidRPr="009955C1">
        <w:t xml:space="preserve"> es emblemático de este fenómeno. Condenado por una violación que no cometió, fue identificado erróneamente por la víctima, Jennifer Thompson, a pesar de que ella había estudiado su rostro con gran detalle durante el ataque. Años después, tras su exoneración por pruebas de ADN</w:t>
      </w:r>
      <w:r w:rsidR="003D146B" w:rsidRPr="009955C1">
        <w:t xml:space="preserve"> que mostraron su inocencia</w:t>
      </w:r>
      <w:r w:rsidRPr="009955C1">
        <w:t xml:space="preserve">, el caso se convirtió en un poderoso recordatorio de que la confianza de un testigo no es garantía de precisión. De manera similar, el caso de Gary Reece, quien cumplió 25 años de prisión basándose únicamente en el testimonio de un testigo con un historial de enfermedad mental, ilustra el riesgo de no corroborar el testimonio con otras pruebas, </w:t>
      </w:r>
      <w:r w:rsidR="0082525A" w:rsidRPr="009955C1">
        <w:t xml:space="preserve">ya que se demostró más tarde </w:t>
      </w:r>
      <w:r w:rsidRPr="009955C1">
        <w:t>que la</w:t>
      </w:r>
      <w:r w:rsidR="0082525A" w:rsidRPr="009955C1">
        <w:t xml:space="preserve"> supuesta</w:t>
      </w:r>
      <w:r w:rsidRPr="009955C1">
        <w:t xml:space="preserve"> víctima tenía un historial de automutila</w:t>
      </w:r>
      <w:r w:rsidR="0082525A" w:rsidRPr="009955C1">
        <w:t>ción que explicaba las lesiones</w:t>
      </w:r>
      <w:r w:rsidR="0082525A" w:rsidRPr="009955C1">
        <w:rPr>
          <w:rStyle w:val="Refdenotaalpie"/>
        </w:rPr>
        <w:footnoteReference w:id="11"/>
      </w:r>
      <w:r w:rsidRPr="009955C1">
        <w:t>.</w:t>
      </w:r>
    </w:p>
    <w:p w:rsidR="003D146B" w:rsidRPr="009955C1" w:rsidRDefault="003D146B" w:rsidP="00D344E3">
      <w:pPr>
        <w:pStyle w:val="NormalWeb"/>
        <w:spacing w:before="0" w:beforeAutospacing="0" w:after="120" w:afterAutospacing="0" w:line="276" w:lineRule="auto"/>
        <w:ind w:firstLine="426"/>
        <w:jc w:val="both"/>
      </w:pPr>
    </w:p>
    <w:p w:rsidR="006F5925" w:rsidRPr="009955C1" w:rsidRDefault="003F12F7" w:rsidP="00D344E3">
      <w:pPr>
        <w:pStyle w:val="Ttulo1"/>
        <w:spacing w:after="120" w:line="276" w:lineRule="auto"/>
        <w:ind w:left="0" w:firstLine="426"/>
      </w:pPr>
      <w:r w:rsidRPr="009955C1">
        <w:t>Conclusiones</w:t>
      </w:r>
    </w:p>
    <w:p w:rsidR="00D35DE8" w:rsidRPr="009955C1" w:rsidRDefault="00D35DE8" w:rsidP="00D344E3">
      <w:pPr>
        <w:pStyle w:val="NormalWeb"/>
        <w:spacing w:before="0" w:beforeAutospacing="0" w:after="120" w:afterAutospacing="0" w:line="276" w:lineRule="auto"/>
        <w:ind w:firstLine="426"/>
        <w:jc w:val="both"/>
      </w:pPr>
      <w:r w:rsidRPr="009955C1">
        <w:lastRenderedPageBreak/>
        <w:t>La calidad y credibilidad de un testimonio depende de una compleja interacción de factores que abarcan desde las condiciones físicas durante la percepción inicial hasta las características del contexto judicial donde se presenta. La comprensión de estos factores es esencial para todos los actores del sistema judicial, no solo para evaluar adecuadamente el valor probatorio de los testimonios, sino también para implementar medidas que optimicen la obtención y presentación de esta evidencia crucial.</w:t>
      </w:r>
    </w:p>
    <w:p w:rsidR="00D35DE8" w:rsidRPr="009955C1" w:rsidRDefault="00D35DE8" w:rsidP="00D344E3">
      <w:pPr>
        <w:pStyle w:val="NormalWeb"/>
        <w:spacing w:before="0" w:beforeAutospacing="0" w:after="120" w:afterAutospacing="0" w:line="276" w:lineRule="auto"/>
        <w:ind w:firstLine="426"/>
        <w:jc w:val="both"/>
      </w:pPr>
      <w:r w:rsidRPr="009955C1">
        <w:t xml:space="preserve">La investigación en psicología del testimonio ha demostrado que la memoria humana no funciona como una grabación fiel de los eventos, sino como un proceso </w:t>
      </w:r>
      <w:r w:rsidRPr="009955C1">
        <w:t>“</w:t>
      </w:r>
      <w:r w:rsidRPr="009955C1">
        <w:t>reconstructivo</w:t>
      </w:r>
      <w:r w:rsidRPr="009955C1">
        <w:t>”</w:t>
      </w:r>
      <w:r w:rsidRPr="009955C1">
        <w:t xml:space="preserve"> susceptible a múltiples influencias. Esta realidad no invalida el testimonio como medio probatorio, pero sí exige un enfoque más sofisticado y científicamente informado en su manejo.</w:t>
      </w:r>
      <w:r w:rsidRPr="009955C1">
        <w:t xml:space="preserve"> </w:t>
      </w:r>
      <w:r w:rsidRPr="009955C1">
        <w:t>La implementación de mejores prácticas en la obtención, evaluación y presentación de testimonios no solo mejora la calidad de la justicia, sino que también protege los derechos tanto de los testigos como de las partes en el proceso judicial. El objetivo final debe ser maximizar la obtención de información precisa y confiable, mientras se minimiza el riesgo de distorsión o contaminación del testimonio.</w:t>
      </w:r>
    </w:p>
    <w:p w:rsidR="00D35DE8" w:rsidRPr="009955C1" w:rsidRDefault="00D35DE8" w:rsidP="00D344E3">
      <w:pPr>
        <w:pStyle w:val="NormalWeb"/>
        <w:spacing w:before="0" w:beforeAutospacing="0" w:after="120" w:afterAutospacing="0" w:line="276" w:lineRule="auto"/>
        <w:ind w:firstLine="426"/>
        <w:jc w:val="both"/>
      </w:pPr>
      <w:r w:rsidRPr="009955C1">
        <w:t xml:space="preserve">En última instancia, un sistema judicial efectivo debe equilibrar la necesidad de </w:t>
      </w:r>
      <w:r w:rsidRPr="009955C1">
        <w:t xml:space="preserve">las partes de probar sus afirmaciones </w:t>
      </w:r>
      <w:r w:rsidRPr="009955C1">
        <w:t>con el respeto por la dignidad y limitaciones humanas de quienes brindan testimonio, reconociendo que la perfección absoluta en el testimonio es un ideal inalcanzable, pero que la excelencia en su manejo sí es un</w:t>
      </w:r>
      <w:r w:rsidRPr="009955C1">
        <w:t xml:space="preserve"> objetivo realista y necesario. </w:t>
      </w:r>
    </w:p>
    <w:p w:rsidR="00D35DE8" w:rsidRPr="009955C1" w:rsidRDefault="00D35DE8" w:rsidP="00D344E3">
      <w:pPr>
        <w:pStyle w:val="NormalWeb"/>
        <w:spacing w:before="0" w:beforeAutospacing="0" w:after="120" w:afterAutospacing="0" w:line="276" w:lineRule="auto"/>
        <w:ind w:firstLine="426"/>
        <w:jc w:val="both"/>
      </w:pPr>
      <w:r w:rsidRPr="009955C1">
        <w:t xml:space="preserve">Todo lo señalado apunta a advertir que el testimonio ocular, si bien es una herramienta poderosa para convencer a los jueces o a un jurado popular, es inherentemente frágil. Su fiabilidad, por tanto, no debe presumirse, sino que debe ser </w:t>
      </w:r>
      <w:r w:rsidRPr="009955C1">
        <w:rPr>
          <w:i/>
        </w:rPr>
        <w:t>rigurosamente examinada</w:t>
      </w:r>
      <w:r w:rsidRPr="009955C1">
        <w:t xml:space="preserve">. </w:t>
      </w:r>
    </w:p>
    <w:p w:rsidR="00D35DE8" w:rsidRPr="009955C1" w:rsidRDefault="00D35DE8" w:rsidP="00D344E3">
      <w:pPr>
        <w:pStyle w:val="NormalWeb"/>
        <w:spacing w:before="0" w:beforeAutospacing="0" w:after="120" w:afterAutospacing="0" w:line="276" w:lineRule="auto"/>
        <w:ind w:firstLine="426"/>
        <w:jc w:val="both"/>
      </w:pPr>
      <w:r w:rsidRPr="009955C1">
        <w:t>Los errores en el testimonio, cabe observarlo, no son actos maliciosos, sino el resultado de fallas sistémicas a nivel psicológico, ambiental y procedimental. La disociación entre la confianza del testigo y la precisión de su recuerdo es el punto de falla crítico que el sistema de justicia debe abordar.</w:t>
      </w:r>
    </w:p>
    <w:p w:rsidR="00D35DE8" w:rsidRPr="009955C1" w:rsidRDefault="00D35DE8" w:rsidP="00D344E3">
      <w:pPr>
        <w:pStyle w:val="NormalWeb"/>
        <w:spacing w:before="0" w:beforeAutospacing="0" w:after="120" w:afterAutospacing="0" w:line="276" w:lineRule="auto"/>
        <w:ind w:firstLine="426"/>
        <w:jc w:val="both"/>
      </w:pPr>
      <w:r w:rsidRPr="009955C1">
        <w:t>Por ello deviene crucial p</w:t>
      </w:r>
      <w:r w:rsidRPr="009955C1">
        <w:rPr>
          <w:bCs/>
          <w:bdr w:val="none" w:sz="0" w:space="0" w:color="auto" w:frame="1"/>
        </w:rPr>
        <w:t>ara los fiscales y abogados</w:t>
      </w:r>
      <w:r w:rsidRPr="009955C1">
        <w:rPr>
          <w:b/>
          <w:bCs/>
          <w:bdr w:val="none" w:sz="0" w:space="0" w:color="auto" w:frame="1"/>
        </w:rPr>
        <w:t xml:space="preserve"> c</w:t>
      </w:r>
      <w:r w:rsidRPr="009955C1">
        <w:t xml:space="preserve">apacitarse en psicología del testimonio para identificar y desafiar la evidencia contaminada. La preparación de los testigos debe centrarse en ayudarlos a ser "precisos" y no simplemente en parecer "creíbles". </w:t>
      </w:r>
      <w:r w:rsidRPr="009955C1">
        <w:rPr>
          <w:bCs/>
          <w:bdr w:val="none" w:sz="0" w:space="0" w:color="auto" w:frame="1"/>
        </w:rPr>
        <w:t>Para los jueces y jurados</w:t>
      </w:r>
      <w:r w:rsidRPr="009955C1">
        <w:rPr>
          <w:b/>
          <w:bCs/>
          <w:bdr w:val="none" w:sz="0" w:space="0" w:color="auto" w:frame="1"/>
        </w:rPr>
        <w:t xml:space="preserve"> </w:t>
      </w:r>
      <w:r w:rsidRPr="009955C1">
        <w:rPr>
          <w:bCs/>
          <w:bdr w:val="none" w:sz="0" w:space="0" w:color="auto" w:frame="1"/>
        </w:rPr>
        <w:t>es también muy importante r</w:t>
      </w:r>
      <w:r w:rsidRPr="009955C1">
        <w:t>ecibir capacitación continua sobre la naturaleza reconstructiva de la memoria y la falta de correlación entre la confianza y la fiabilidad. La valoración de la prueba testimonial debe cambiar de un enfoque en la conducta del testigo a un análisis de la credibilidad del testimonio en sí mismo, basándose en la ciencia experimental y no en la intuición o las falsas creencias. Las estadísticas pueden también crear prejuicios, y es necesario advertirlo en su justa medida.</w:t>
      </w:r>
    </w:p>
    <w:p w:rsidR="00D35DE8" w:rsidRPr="009955C1" w:rsidRDefault="00D35DE8" w:rsidP="00D344E3">
      <w:pPr>
        <w:pStyle w:val="NormalWeb"/>
        <w:spacing w:before="0" w:beforeAutospacing="0" w:after="120" w:afterAutospacing="0" w:line="276" w:lineRule="auto"/>
        <w:ind w:firstLine="426"/>
        <w:jc w:val="both"/>
      </w:pPr>
      <w:r w:rsidRPr="009955C1">
        <w:t xml:space="preserve">El poder judicial no puede depender de la intuición o la creencia popular, ni de las pasiones de las masas, ni de los prejuicios creados por los medios de comunicación. Por eso no es fácil ser juez. Hay que tener aptitudes especiales para enfrentar con gallardía y </w:t>
      </w:r>
      <w:r w:rsidRPr="009955C1">
        <w:lastRenderedPageBreak/>
        <w:t xml:space="preserve">estoicismo las críticas y consecuencias cuando deben adoptarse decisiones </w:t>
      </w:r>
      <w:r w:rsidR="00752CA1" w:rsidRPr="009955C1">
        <w:t>contra mayoritarias</w:t>
      </w:r>
      <w:r w:rsidRPr="009955C1">
        <w:t>. Las decisiones impopulares confirman la templanza, la actitud y la firmeza de quien sólo obedece a su consciencia.</w:t>
      </w:r>
    </w:p>
    <w:p w:rsidR="006F5925" w:rsidRPr="009955C1" w:rsidRDefault="006F5925" w:rsidP="009955C1">
      <w:pPr>
        <w:pStyle w:val="NormalWeb"/>
        <w:spacing w:before="0" w:beforeAutospacing="0" w:after="120" w:afterAutospacing="0" w:line="276" w:lineRule="auto"/>
        <w:jc w:val="both"/>
      </w:pPr>
    </w:p>
    <w:p w:rsidR="006F5925" w:rsidRPr="009955C1" w:rsidRDefault="006F5925" w:rsidP="009955C1">
      <w:pPr>
        <w:pStyle w:val="NormalWeb"/>
        <w:spacing w:before="0" w:beforeAutospacing="0" w:after="120" w:afterAutospacing="0" w:line="276" w:lineRule="auto"/>
        <w:jc w:val="both"/>
      </w:pPr>
    </w:p>
    <w:p w:rsidR="00D35DE8" w:rsidRPr="009955C1" w:rsidRDefault="00D35DE8" w:rsidP="009955C1">
      <w:pPr>
        <w:spacing w:after="120" w:line="276" w:lineRule="auto"/>
        <w:ind w:firstLine="426"/>
        <w:jc w:val="both"/>
        <w:rPr>
          <w:rFonts w:ascii="Times New Roman" w:hAnsi="Times New Roman" w:cs="Times New Roman"/>
          <w:color w:val="auto"/>
          <w:sz w:val="24"/>
          <w:szCs w:val="24"/>
        </w:rPr>
      </w:pPr>
      <w:r w:rsidRPr="009955C1">
        <w:rPr>
          <w:rFonts w:ascii="Times New Roman" w:hAnsi="Times New Roman" w:cs="Times New Roman"/>
          <w:color w:val="auto"/>
          <w:sz w:val="24"/>
          <w:szCs w:val="24"/>
        </w:rPr>
        <w:t>Bibliografía:</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Benítez, Elena. "Problemas y Soluciones en el Uso de Testigos Reservados." </w:t>
      </w:r>
      <w:r w:rsidRPr="001E7946">
        <w:rPr>
          <w:rStyle w:val="nfasis"/>
        </w:rPr>
        <w:t>Revista Jurídica del Ministerio Público</w:t>
      </w:r>
      <w:r w:rsidRPr="001E7946">
        <w:t xml:space="preserve"> 6, no. 1 (2021). </w:t>
      </w:r>
      <w:hyperlink r:id="rId8" w:tgtFrame="_blank" w:history="1">
        <w:r w:rsidRPr="001E7946">
          <w:rPr>
            <w:rStyle w:val="Hipervnculo"/>
            <w:color w:val="auto"/>
          </w:rPr>
          <w:t>https://ojs.ministeriopublico.gov.py/index.php/rjmp/article/download/100/104/1428</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Corte Suprema de Justicia de Paraguay. "Reglamento sobre la Protección de Testigos." Asunción, 2017. </w:t>
      </w:r>
      <w:hyperlink r:id="rId9" w:tgtFrame="_blank" w:history="1">
        <w:r w:rsidRPr="001E7946">
          <w:rPr>
            <w:rStyle w:val="Hipervnculo"/>
            <w:color w:val="auto"/>
          </w:rPr>
          <w:t>https://www.csj.gov.py/par97017/reglamentaciones/modulos/repsolotexto.asp?codigo_acord=90</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Cruz, María. "La Vulnerabilidad del Testigo en el Sistema Penal Chileno." </w:t>
      </w:r>
      <w:r w:rsidRPr="001E7946">
        <w:rPr>
          <w:rStyle w:val="nfasis"/>
        </w:rPr>
        <w:t>Revista de Derecho</w:t>
      </w:r>
      <w:r w:rsidRPr="001E7946">
        <w:t xml:space="preserve"> 50, no. 2 (2009): 123-145. </w:t>
      </w:r>
      <w:hyperlink r:id="rId10" w:tgtFrame="_blank" w:history="1">
        <w:r w:rsidRPr="001E7946">
          <w:rPr>
            <w:rStyle w:val="Hipervnculo"/>
            <w:color w:val="auto"/>
          </w:rPr>
          <w:t>https://www.scielo.cl/scielo.php?script=sci_arttext&amp;pid=S0718-68512009000200008</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Escuela Judicial de Colombia. </w:t>
      </w:r>
      <w:r w:rsidRPr="001E7946">
        <w:rPr>
          <w:rStyle w:val="nfasis"/>
        </w:rPr>
        <w:t>Manual para la Protección de Testigos en el Sistema Penal</w:t>
      </w:r>
      <w:r w:rsidRPr="001E7946">
        <w:t xml:space="preserve">. Bogotá, 2019. </w:t>
      </w:r>
      <w:hyperlink r:id="rId11" w:tgtFrame="_blank" w:history="1">
        <w:r w:rsidRPr="001E7946">
          <w:rPr>
            <w:rStyle w:val="Hipervnculo"/>
            <w:color w:val="auto"/>
          </w:rPr>
          <w:t>https://escuelajudicial.ramajudicial.gov.co/sites/default/files/biblioteca/m17-11_0.pdf</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Gómez, Ana. "Testigos Reservados y Derechos Procesales en Colombia." </w:t>
      </w:r>
      <w:r w:rsidRPr="001E7946">
        <w:rPr>
          <w:rStyle w:val="nfasis"/>
        </w:rPr>
        <w:t>Revista Colombiana de Derecho</w:t>
      </w:r>
      <w:r w:rsidRPr="001E7946">
        <w:t xml:space="preserve"> 3, no. 1 (2023): 45-68. </w:t>
      </w:r>
      <w:hyperlink r:id="rId12" w:tgtFrame="_blank" w:history="1">
        <w:r w:rsidRPr="001E7946">
          <w:rPr>
            <w:rStyle w:val="Hipervnculo"/>
            <w:color w:val="auto"/>
          </w:rPr>
          <w:t>http://www.scielo.org.co/scielo.php?script=sci_arttext&amp;pid=S2500-86922023000300158</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Hernández, Marta. "La Valoración del Testimonio en México: Perspectivas y Retos." </w:t>
      </w:r>
      <w:r w:rsidRPr="001E7946">
        <w:rPr>
          <w:rStyle w:val="nfasis"/>
        </w:rPr>
        <w:t>Revista Mexicana de Derecho Procesal</w:t>
      </w:r>
      <w:r w:rsidRPr="001E7946">
        <w:t xml:space="preserve"> 8, no. 1 (2014): 12-29. </w:t>
      </w:r>
      <w:hyperlink r:id="rId13" w:tgtFrame="_blank" w:history="1">
        <w:r w:rsidRPr="001E7946">
          <w:rPr>
            <w:rStyle w:val="Hipervnculo"/>
            <w:color w:val="auto"/>
          </w:rPr>
          <w:t>http://www.scielo.org.mx/scielo.php?script=sci_arttext&amp;pid=S1405-02182014000100005</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Karam, Carlos, et al. </w:t>
      </w:r>
      <w:r w:rsidRPr="001E7946">
        <w:rPr>
          <w:rStyle w:val="nfasis"/>
        </w:rPr>
        <w:t>Análisis Crítico de la Valoración del Testimonio en el Proceso Penal</w:t>
      </w:r>
      <w:r w:rsidRPr="001E7946">
        <w:t xml:space="preserve">. La Plata: Universidad Nacional de La Plata, 2022. </w:t>
      </w:r>
      <w:hyperlink r:id="rId14" w:tgtFrame="_blank" w:history="1">
        <w:r w:rsidRPr="001E7946">
          <w:rPr>
            <w:rStyle w:val="Hipervnculo"/>
            <w:color w:val="auto"/>
          </w:rPr>
          <w:t>http://sedici.unlp.edu.ar/bitstream/handle/10915/171617/Documento_completo.pdf-PDFA.pdf?sequence=1&amp;isAllowed=y</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López, Juan. "Efectos de la Reserva de Identidad en la Defensa Penal." </w:t>
      </w:r>
      <w:r w:rsidRPr="001E7946">
        <w:rPr>
          <w:rStyle w:val="nfasis"/>
        </w:rPr>
        <w:t>El Dial</w:t>
      </w:r>
      <w:r w:rsidRPr="001E7946">
        <w:t xml:space="preserve">, 15 de marzo de 2020. </w:t>
      </w:r>
      <w:hyperlink r:id="rId15" w:tgtFrame="_blank" w:history="1">
        <w:r w:rsidRPr="001E7946">
          <w:rPr>
            <w:rStyle w:val="Hipervnculo"/>
            <w:color w:val="auto"/>
          </w:rPr>
          <w:t>https://www.eldial.com/nuevo/nuevo_diseno/v2/doctrina_a.asp?base=50&amp;id=14823&amp;t=d</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lastRenderedPageBreak/>
        <w:t xml:space="preserve">Martínez Gómez, César, y Ramírez Vera, Ana. "La Protección de los Testigos en el Proceso Penal." </w:t>
      </w:r>
      <w:r w:rsidRPr="001E7946">
        <w:rPr>
          <w:rStyle w:val="nfasis"/>
        </w:rPr>
        <w:t>Revista Jurídica del Ministerio Público</w:t>
      </w:r>
      <w:r w:rsidRPr="001E7946">
        <w:t xml:space="preserve"> 5, no. 2 (2023). </w:t>
      </w:r>
      <w:hyperlink r:id="rId16" w:tgtFrame="_blank" w:history="1">
        <w:r w:rsidRPr="001E7946">
          <w:rPr>
            <w:rStyle w:val="Hipervnculo"/>
            <w:color w:val="auto"/>
          </w:rPr>
          <w:t>https://ojs.ministeriopublico.gov.py/index.php/rjmp/article/download/75/73/230</w:t>
        </w:r>
      </w:hyperlink>
      <w:r w:rsidRPr="001E7946">
        <w:t>.</w:t>
      </w:r>
    </w:p>
    <w:p w:rsidR="001E7946" w:rsidRPr="001E7946" w:rsidRDefault="001E7946" w:rsidP="000229F9">
      <w:pPr>
        <w:pStyle w:val="Textonotapie"/>
        <w:numPr>
          <w:ilvl w:val="0"/>
          <w:numId w:val="3"/>
        </w:numPr>
        <w:spacing w:after="120"/>
        <w:ind w:left="714" w:hanging="357"/>
        <w:jc w:val="both"/>
        <w:rPr>
          <w:rFonts w:ascii="Times New Roman" w:hAnsi="Times New Roman" w:cs="Times New Roman"/>
          <w:sz w:val="24"/>
          <w:szCs w:val="24"/>
        </w:rPr>
      </w:pPr>
      <w:r w:rsidRPr="001E7946">
        <w:rPr>
          <w:rFonts w:ascii="Times New Roman" w:hAnsi="Times New Roman" w:cs="Times New Roman"/>
          <w:sz w:val="24"/>
          <w:szCs w:val="24"/>
        </w:rPr>
        <w:t xml:space="preserve">Mazzoni, Giuliana, </w:t>
      </w:r>
      <w:r w:rsidRPr="001E7946">
        <w:rPr>
          <w:rFonts w:ascii="Times New Roman" w:hAnsi="Times New Roman" w:cs="Times New Roman"/>
          <w:i/>
          <w:sz w:val="24"/>
          <w:szCs w:val="24"/>
        </w:rPr>
        <w:t>Psicología del testimonio</w:t>
      </w:r>
      <w:r w:rsidRPr="001E7946">
        <w:rPr>
          <w:rFonts w:ascii="Times New Roman" w:hAnsi="Times New Roman" w:cs="Times New Roman"/>
          <w:sz w:val="24"/>
          <w:szCs w:val="24"/>
        </w:rPr>
        <w:t xml:space="preserve">, Editorial Trotta, Madrid, 2019. </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Navarro, Victoria. "El Valor y la Valoración del Testimonio en el Proceso Penal." </w:t>
      </w:r>
      <w:r w:rsidRPr="001E7946">
        <w:rPr>
          <w:rStyle w:val="nfasis"/>
        </w:rPr>
        <w:t>Derecho Penal Online</w:t>
      </w:r>
      <w:r w:rsidRPr="001E7946">
        <w:t xml:space="preserve">, 2021. </w:t>
      </w:r>
      <w:hyperlink r:id="rId17" w:tgtFrame="_blank" w:history="1">
        <w:r w:rsidRPr="001E7946">
          <w:rPr>
            <w:rStyle w:val="Hipervnculo"/>
            <w:color w:val="auto"/>
          </w:rPr>
          <w:t>https://derechopenalonline.com/prueba-testimonial-valoracion-testigo-de-oidas-principio-de-contradiccion/</w:t>
        </w:r>
      </w:hyperlink>
      <w:r w:rsidRPr="001E7946">
        <w:t>.</w:t>
      </w:r>
    </w:p>
    <w:p w:rsidR="001E7946" w:rsidRPr="001E7946" w:rsidRDefault="001E7946" w:rsidP="000229F9">
      <w:pPr>
        <w:pStyle w:val="Textonotapie"/>
        <w:numPr>
          <w:ilvl w:val="0"/>
          <w:numId w:val="3"/>
        </w:numPr>
        <w:spacing w:after="120"/>
        <w:ind w:left="714" w:hanging="357"/>
        <w:jc w:val="both"/>
        <w:rPr>
          <w:rFonts w:ascii="Times New Roman" w:hAnsi="Times New Roman" w:cs="Times New Roman"/>
          <w:sz w:val="24"/>
          <w:szCs w:val="24"/>
        </w:rPr>
      </w:pPr>
      <w:r w:rsidRPr="001E7946">
        <w:rPr>
          <w:rFonts w:ascii="Times New Roman" w:hAnsi="Times New Roman" w:cs="Times New Roman"/>
          <w:sz w:val="24"/>
          <w:szCs w:val="24"/>
        </w:rPr>
        <w:t xml:space="preserve">Nisnevich, Alejandro, “Breve introducción a la psicología del testimonio y la valoración de la prueba testimonial”, publicado en </w:t>
      </w:r>
      <w:r w:rsidRPr="001E7946">
        <w:rPr>
          <w:rFonts w:ascii="Times New Roman" w:hAnsi="Times New Roman" w:cs="Times New Roman"/>
          <w:i/>
          <w:sz w:val="24"/>
          <w:szCs w:val="24"/>
        </w:rPr>
        <w:t>elDial DC31AC.</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Poder Judicial de Paraguay. </w:t>
      </w:r>
      <w:r w:rsidRPr="001E7946">
        <w:rPr>
          <w:rStyle w:val="nfasis"/>
        </w:rPr>
        <w:t>Colección de Derecho Penal, Tomo III</w:t>
      </w:r>
      <w:r w:rsidRPr="001E7946">
        <w:t xml:space="preserve">. Asunción, 2019. </w:t>
      </w:r>
      <w:hyperlink r:id="rId18" w:tgtFrame="_blank" w:history="1">
        <w:r w:rsidRPr="001E7946">
          <w:rPr>
            <w:rStyle w:val="Hipervnculo"/>
            <w:color w:val="auto"/>
          </w:rPr>
          <w:t>https://www.pj.gov.py/ebook/libros_files/Coleccion_de_Derecho_Penal_TomoIII.pdf</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Poder Judicial de Paraguay. </w:t>
      </w:r>
      <w:r w:rsidRPr="001E7946">
        <w:rPr>
          <w:rStyle w:val="nfasis"/>
        </w:rPr>
        <w:t>Guía para la Protección de Testigos en el Proceso Penal</w:t>
      </w:r>
      <w:r w:rsidRPr="001E7946">
        <w:t xml:space="preserve">. Asunción, 2018. </w:t>
      </w:r>
      <w:hyperlink r:id="rId19" w:tgtFrame="_blank" w:history="1">
        <w:r w:rsidRPr="001E7946">
          <w:rPr>
            <w:rStyle w:val="Hipervnculo"/>
            <w:color w:val="auto"/>
          </w:rPr>
          <w:t>https://www.pj.gov.py/descargar/ID1-796_guiaprocesopenal.pdf</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Ramírez, Luis. "El Testimonio de Testigos Anónimos en el Proceso Penal." </w:t>
      </w:r>
      <w:r w:rsidRPr="001E7946">
        <w:rPr>
          <w:rStyle w:val="nfasis"/>
        </w:rPr>
        <w:t>Revista de Derecho Procesal</w:t>
      </w:r>
      <w:r w:rsidRPr="001E7946">
        <w:t xml:space="preserve"> 14, no. 3 (2019): 101-119. </w:t>
      </w:r>
      <w:hyperlink r:id="rId20" w:tgtFrame="_blank" w:history="1">
        <w:r w:rsidRPr="001E7946">
          <w:rPr>
            <w:rStyle w:val="Hipervnculo"/>
            <w:color w:val="auto"/>
          </w:rPr>
          <w:t>https://dialnet.unirioja.es/descarga/articulo/7731755.pdf</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Ríos Leiva, Erick. </w:t>
      </w:r>
      <w:r w:rsidRPr="001E7946">
        <w:rPr>
          <w:rStyle w:val="nfasis"/>
        </w:rPr>
        <w:t>La Admisibilidad de la Declaración de Testigos Desconocidos por la Defensa: Propuesta de un Estatuto Consistente con un Sistema Adversarial</w:t>
      </w:r>
      <w:r w:rsidRPr="001E7946">
        <w:t xml:space="preserve">. 2020. </w:t>
      </w:r>
      <w:hyperlink r:id="rId21" w:tgtFrame="_blank" w:history="1">
        <w:r w:rsidRPr="001E7946">
          <w:rPr>
            <w:rStyle w:val="Hipervnculo"/>
            <w:color w:val="auto"/>
          </w:rPr>
          <w:t>https://cejamericas.org/wp-content/uploads/2020/09/ERIOS_laadmisibilidaddeladeclaraciondetestigos.pdf</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Rodríguez, Juan Carlos. "Garantías Procesales y Protección de Testigos." </w:t>
      </w:r>
      <w:r w:rsidRPr="001E7946">
        <w:rPr>
          <w:rStyle w:val="nfasis"/>
        </w:rPr>
        <w:t>Revista Colombiana de Derecho</w:t>
      </w:r>
      <w:r w:rsidRPr="001E7946">
        <w:t xml:space="preserve"> 10, no. 2 (2021): 34-52. </w:t>
      </w:r>
      <w:hyperlink r:id="rId22" w:tgtFrame="_blank" w:history="1">
        <w:r w:rsidRPr="001E7946">
          <w:rPr>
            <w:rStyle w:val="Hipervnculo"/>
            <w:color w:val="auto"/>
          </w:rPr>
          <w:t>http://www.scielo.org.co/scielo.php?script=sci_arttext&amp;pid=S0121-182X2021000200053</w:t>
        </w:r>
      </w:hyperlink>
      <w:r w:rsidRPr="001E7946">
        <w:t>.</w:t>
      </w:r>
    </w:p>
    <w:p w:rsidR="001E7946" w:rsidRPr="001E7946" w:rsidRDefault="001E7946" w:rsidP="000229F9">
      <w:pPr>
        <w:pStyle w:val="my-2"/>
        <w:numPr>
          <w:ilvl w:val="0"/>
          <w:numId w:val="3"/>
        </w:numPr>
        <w:spacing w:before="0" w:beforeAutospacing="0" w:after="120" w:afterAutospacing="0" w:line="276" w:lineRule="auto"/>
        <w:ind w:left="714" w:hanging="357"/>
        <w:jc w:val="both"/>
      </w:pPr>
      <w:r w:rsidRPr="001E7946">
        <w:t xml:space="preserve">Universidad Externado de Colombia. </w:t>
      </w:r>
      <w:r w:rsidRPr="001E7946">
        <w:rPr>
          <w:rStyle w:val="nfasis"/>
        </w:rPr>
        <w:t>Documentos de Protección a Testigos</w:t>
      </w:r>
      <w:r w:rsidRPr="001E7946">
        <w:t xml:space="preserve">. Bogotá, 2020. </w:t>
      </w:r>
      <w:hyperlink r:id="rId23" w:tgtFrame="_blank" w:history="1">
        <w:r w:rsidRPr="001E7946">
          <w:rPr>
            <w:rStyle w:val="Hipervnculo"/>
            <w:color w:val="auto"/>
          </w:rPr>
          <w:t>https://bdigital.uexternado.edu.co/bitstreams/760138d0-e679-4f4c-ad54-8b56e760c32e/download</w:t>
        </w:r>
      </w:hyperlink>
      <w:r w:rsidRPr="001E7946">
        <w:t>.</w:t>
      </w:r>
    </w:p>
    <w:p w:rsidR="00752CA1" w:rsidRPr="009955C1" w:rsidRDefault="00752CA1" w:rsidP="001E7946">
      <w:pPr>
        <w:pStyle w:val="my-2"/>
        <w:spacing w:before="0" w:beforeAutospacing="0" w:after="120" w:afterAutospacing="0" w:line="276" w:lineRule="auto"/>
        <w:ind w:left="720"/>
        <w:jc w:val="both"/>
      </w:pPr>
    </w:p>
    <w:p w:rsidR="004F03A3" w:rsidRDefault="004F03A3" w:rsidP="009955C1">
      <w:pPr>
        <w:pStyle w:val="my-2"/>
        <w:spacing w:before="0" w:beforeAutospacing="0" w:after="120" w:afterAutospacing="0" w:line="276" w:lineRule="auto"/>
        <w:jc w:val="both"/>
      </w:pPr>
    </w:p>
    <w:p w:rsidR="005F2881" w:rsidRPr="009955C1" w:rsidRDefault="005F2881" w:rsidP="009955C1">
      <w:pPr>
        <w:spacing w:after="120" w:line="276" w:lineRule="auto"/>
        <w:ind w:firstLine="426"/>
        <w:jc w:val="both"/>
        <w:rPr>
          <w:rFonts w:ascii="Times New Roman" w:hAnsi="Times New Roman" w:cs="Times New Roman"/>
          <w:color w:val="auto"/>
          <w:sz w:val="24"/>
          <w:szCs w:val="24"/>
        </w:rPr>
      </w:pPr>
    </w:p>
    <w:p w:rsidR="005F2881" w:rsidRPr="009955C1" w:rsidRDefault="005F2881" w:rsidP="009955C1">
      <w:pPr>
        <w:spacing w:after="120" w:line="276" w:lineRule="auto"/>
        <w:ind w:firstLine="426"/>
        <w:jc w:val="both"/>
        <w:rPr>
          <w:rFonts w:ascii="Times New Roman" w:hAnsi="Times New Roman" w:cs="Times New Roman"/>
          <w:color w:val="auto"/>
          <w:sz w:val="24"/>
          <w:szCs w:val="24"/>
        </w:rPr>
      </w:pPr>
    </w:p>
    <w:p w:rsidR="005F2881" w:rsidRPr="009955C1" w:rsidRDefault="005F2881" w:rsidP="009955C1">
      <w:pPr>
        <w:spacing w:after="120" w:line="276" w:lineRule="auto"/>
        <w:ind w:firstLine="426"/>
        <w:jc w:val="both"/>
        <w:rPr>
          <w:rFonts w:ascii="Times New Roman" w:hAnsi="Times New Roman" w:cs="Times New Roman"/>
          <w:color w:val="auto"/>
          <w:sz w:val="24"/>
          <w:szCs w:val="24"/>
        </w:rPr>
      </w:pPr>
      <w:bookmarkStart w:id="0" w:name="_GoBack"/>
      <w:bookmarkEnd w:id="0"/>
    </w:p>
    <w:sectPr w:rsidR="005F2881" w:rsidRPr="009955C1" w:rsidSect="00CF2E16">
      <w:pgSz w:w="11918" w:h="16858"/>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9F9" w:rsidRDefault="000229F9" w:rsidP="0014488A">
      <w:pPr>
        <w:spacing w:after="0" w:line="240" w:lineRule="auto"/>
      </w:pPr>
      <w:r>
        <w:separator/>
      </w:r>
    </w:p>
  </w:endnote>
  <w:endnote w:type="continuationSeparator" w:id="0">
    <w:p w:rsidR="000229F9" w:rsidRDefault="000229F9" w:rsidP="00144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9F9" w:rsidRDefault="000229F9" w:rsidP="0014488A">
      <w:pPr>
        <w:spacing w:after="0" w:line="240" w:lineRule="auto"/>
      </w:pPr>
      <w:r>
        <w:separator/>
      </w:r>
    </w:p>
  </w:footnote>
  <w:footnote w:type="continuationSeparator" w:id="0">
    <w:p w:rsidR="000229F9" w:rsidRDefault="000229F9" w:rsidP="0014488A">
      <w:pPr>
        <w:spacing w:after="0" w:line="240" w:lineRule="auto"/>
      </w:pPr>
      <w:r>
        <w:continuationSeparator/>
      </w:r>
    </w:p>
  </w:footnote>
  <w:footnote w:id="1">
    <w:p w:rsidR="001A19D0" w:rsidRPr="001E7946" w:rsidRDefault="001A19D0" w:rsidP="003F20E3">
      <w:pPr>
        <w:pStyle w:val="Textonotapie"/>
        <w:jc w:val="both"/>
        <w:rPr>
          <w:rFonts w:ascii="Times New Roman" w:hAnsi="Times New Roman" w:cs="Times New Roman"/>
          <w:color w:val="auto"/>
        </w:rPr>
      </w:pPr>
      <w:r w:rsidRPr="001E7946">
        <w:rPr>
          <w:rStyle w:val="Refdenotaalpie"/>
          <w:rFonts w:ascii="Times New Roman" w:hAnsi="Times New Roman" w:cs="Times New Roman"/>
          <w:color w:val="auto"/>
        </w:rPr>
        <w:footnoteRef/>
      </w:r>
      <w:r w:rsidRPr="001E7946">
        <w:rPr>
          <w:rFonts w:ascii="Times New Roman" w:hAnsi="Times New Roman" w:cs="Times New Roman"/>
          <w:color w:val="auto"/>
        </w:rPr>
        <w:t xml:space="preserve"> Abogado por la Universidad Católica “Nuestra señora de la Asunción”, con diploma de honor “Sobresaliente”. Especialista en Derecho Procesal Civil por la Universidad de Buenos Aires, Argentina. Especialista en Derecho Procesal Civil por la Universidad Privada del Este, Paraguay. Especialista en Justicia Constitucional y Derechos Humanos por la Universidad de Bolonia, Italia. Magister en Derecho Procesal por la Universidad Nacional de Rosario, Argentina. Doctor en Derecho por la Universidad Nacional de Rosario, Argentina. Presidente del Instituto Panamericano de Derecho Procesal, capítulo Paraguay. Docente de postgrado en diversas universidades. Autor del libro "Estructura básica de los discursos garantista y activista del Derecho Procesal", publicado en Argentina, Paraguay, Perú, Chile y Colombia.</w:t>
      </w:r>
    </w:p>
  </w:footnote>
  <w:footnote w:id="2">
    <w:p w:rsidR="001A19D0" w:rsidRPr="001E7946" w:rsidRDefault="001A19D0" w:rsidP="003F20E3">
      <w:pPr>
        <w:pStyle w:val="Textonotapie"/>
        <w:jc w:val="both"/>
        <w:rPr>
          <w:rFonts w:ascii="Times New Roman" w:hAnsi="Times New Roman" w:cs="Times New Roman"/>
          <w:color w:val="auto"/>
        </w:rPr>
      </w:pPr>
      <w:r w:rsidRPr="001E7946">
        <w:rPr>
          <w:rStyle w:val="Refdenotaalpie"/>
          <w:rFonts w:ascii="Times New Roman" w:hAnsi="Times New Roman" w:cs="Times New Roman"/>
          <w:color w:val="auto"/>
        </w:rPr>
        <w:footnoteRef/>
      </w:r>
      <w:r w:rsidRPr="001E7946">
        <w:rPr>
          <w:rFonts w:ascii="Times New Roman" w:hAnsi="Times New Roman" w:cs="Times New Roman"/>
          <w:color w:val="auto"/>
        </w:rPr>
        <w:t xml:space="preserve"> Un pequeño pero interesante libro que siempre recomiendo a mis alumnos para adentrarse en el tema es el de Mazzoni, Giuliana, </w:t>
      </w:r>
      <w:r w:rsidRPr="001E7946">
        <w:rPr>
          <w:rFonts w:ascii="Times New Roman" w:hAnsi="Times New Roman" w:cs="Times New Roman"/>
          <w:i/>
          <w:color w:val="auto"/>
        </w:rPr>
        <w:t>Psicología del testimonio</w:t>
      </w:r>
      <w:r w:rsidRPr="001E7946">
        <w:rPr>
          <w:rFonts w:ascii="Times New Roman" w:hAnsi="Times New Roman" w:cs="Times New Roman"/>
          <w:color w:val="auto"/>
        </w:rPr>
        <w:t xml:space="preserve">, Editorial Trotta, Madrid, 2019. Se trata de un pequeño libro de 140 páginas, pero que condensa y resume muy bien los aspectos más esenciales del tema. Un trabajo aún más breve pero no menos interesante es el de Nisnevich, Alejandro, “Breve introducción a la psicología del testimonio y la valoración de la prueba testimonial”, publicado en </w:t>
      </w:r>
      <w:r w:rsidRPr="001E7946">
        <w:rPr>
          <w:rFonts w:ascii="Times New Roman" w:hAnsi="Times New Roman" w:cs="Times New Roman"/>
          <w:i/>
          <w:color w:val="auto"/>
        </w:rPr>
        <w:t>elDial DC31AC.</w:t>
      </w:r>
    </w:p>
  </w:footnote>
  <w:footnote w:id="3">
    <w:p w:rsidR="001A19D0" w:rsidRPr="001E7946" w:rsidRDefault="001A19D0" w:rsidP="003F20E3">
      <w:pPr>
        <w:pStyle w:val="Textonotapie"/>
        <w:jc w:val="both"/>
        <w:rPr>
          <w:rFonts w:ascii="Times New Roman" w:hAnsi="Times New Roman" w:cs="Times New Roman"/>
          <w:color w:val="auto"/>
        </w:rPr>
      </w:pPr>
      <w:r w:rsidRPr="001E7946">
        <w:rPr>
          <w:rStyle w:val="Refdenotaalpie"/>
          <w:rFonts w:ascii="Times New Roman" w:hAnsi="Times New Roman" w:cs="Times New Roman"/>
          <w:color w:val="auto"/>
        </w:rPr>
        <w:footnoteRef/>
      </w:r>
      <w:r w:rsidRPr="001E7946">
        <w:rPr>
          <w:rFonts w:ascii="Times New Roman" w:hAnsi="Times New Roman" w:cs="Times New Roman"/>
          <w:color w:val="auto"/>
        </w:rPr>
        <w:t xml:space="preserve"> Prueba de esto son los casos de condenas basadas en falsas denuncias de la mal llamada “violencia de género”, o de supuestos abusos sexuales que en realidad no existieron. Recientemente, el caso de Tomás Ghisoni en Argentina fue tan dramático y perturbador que dio origen a un gran movimiento contra las falsas denuncias, que penosamente, en muchos casos siguen siendo suficientes para condenar.</w:t>
      </w:r>
    </w:p>
  </w:footnote>
  <w:footnote w:id="4">
    <w:p w:rsidR="001A19D0" w:rsidRPr="001E7946" w:rsidRDefault="001A19D0" w:rsidP="003F20E3">
      <w:pPr>
        <w:spacing w:after="0" w:line="240" w:lineRule="auto"/>
        <w:jc w:val="both"/>
        <w:rPr>
          <w:rFonts w:ascii="Times New Roman" w:hAnsi="Times New Roman" w:cs="Times New Roman"/>
          <w:color w:val="auto"/>
          <w:sz w:val="20"/>
          <w:szCs w:val="20"/>
        </w:rPr>
      </w:pPr>
      <w:r w:rsidRPr="001E7946">
        <w:rPr>
          <w:rStyle w:val="Refdenotaalpie"/>
          <w:rFonts w:ascii="Times New Roman" w:hAnsi="Times New Roman" w:cs="Times New Roman"/>
          <w:color w:val="auto"/>
          <w:sz w:val="20"/>
          <w:szCs w:val="20"/>
        </w:rPr>
        <w:footnoteRef/>
      </w:r>
      <w:r w:rsidRPr="001E7946">
        <w:rPr>
          <w:rFonts w:ascii="Times New Roman" w:hAnsi="Times New Roman" w:cs="Times New Roman"/>
          <w:color w:val="auto"/>
          <w:sz w:val="20"/>
          <w:szCs w:val="20"/>
        </w:rPr>
        <w:t xml:space="preserve"> </w:t>
      </w:r>
      <w:r w:rsidRPr="001E7946">
        <w:rPr>
          <w:rFonts w:ascii="Times New Roman" w:eastAsia="Times New Roman" w:hAnsi="Times New Roman" w:cs="Times New Roman"/>
          <w:color w:val="auto"/>
          <w:sz w:val="20"/>
          <w:szCs w:val="20"/>
        </w:rPr>
        <w:t xml:space="preserve">Varios estudios y revisiones científicas coinciden en que estas alteraciones pueden incluso contribuir a problemas cognitivos más graves a largo plazo, como ansiedad, depresión y mayor riesgo de enfermedades neurodegenerativas. Se ha destacado incluso que el estrés produce dificultades para recordar detalles minuciosos y puede inducir cambios en los recuerdos ya formados al momento de recuperarlos, dificultando la precisión en el recuerdo de hechos estresantes. Entre los diversos estudios sobre el tema, ver: 1) </w:t>
      </w:r>
      <w:r w:rsidRPr="001E7946">
        <w:rPr>
          <w:rFonts w:ascii="Times New Roman" w:hAnsi="Times New Roman" w:cs="Times New Roman"/>
          <w:color w:val="auto"/>
          <w:sz w:val="20"/>
          <w:szCs w:val="20"/>
        </w:rPr>
        <w:t xml:space="preserve">Peavy, Guerry M., David P. Salmon, Mark W. Jacobson, Aaron Hervey, Anthony C. Gamst, Tanya Wolfson, Thomas L. Patterson, Sherry Goldman, Paul J. Mills, Srikrishna Khandrika, y Douglas Galasko. "Effects of Chronic Stress on Memory Decline in Cognitively Normal and Mildly Impaired Older Adults." American Journal of Psychiatry 166, no. 12 (2009): 1384–1391. </w:t>
      </w:r>
      <w:hyperlink r:id="rId1" w:history="1">
        <w:r w:rsidRPr="001E7946">
          <w:rPr>
            <w:rStyle w:val="Hipervnculo"/>
            <w:rFonts w:ascii="Times New Roman" w:hAnsi="Times New Roman" w:cs="Times New Roman"/>
            <w:color w:val="auto"/>
            <w:sz w:val="20"/>
            <w:szCs w:val="20"/>
          </w:rPr>
          <w:t>https://doi.org/10.1176/appi.ajp.2009.09040461</w:t>
        </w:r>
      </w:hyperlink>
      <w:r w:rsidR="001E7946">
        <w:rPr>
          <w:rFonts w:ascii="Times New Roman" w:hAnsi="Times New Roman" w:cs="Times New Roman"/>
          <w:color w:val="auto"/>
          <w:sz w:val="20"/>
          <w:szCs w:val="20"/>
        </w:rPr>
        <w:t xml:space="preserve">; </w:t>
      </w:r>
      <w:r w:rsidRPr="001E7946">
        <w:rPr>
          <w:rFonts w:ascii="Times New Roman" w:eastAsia="Times New Roman" w:hAnsi="Times New Roman" w:cs="Times New Roman"/>
          <w:color w:val="auto"/>
          <w:sz w:val="20"/>
          <w:szCs w:val="20"/>
        </w:rPr>
        <w:t xml:space="preserve">2) </w:t>
      </w:r>
      <w:r w:rsidRPr="001E7946">
        <w:rPr>
          <w:rFonts w:ascii="Times New Roman" w:hAnsi="Times New Roman" w:cs="Times New Roman"/>
          <w:color w:val="auto"/>
          <w:sz w:val="20"/>
          <w:szCs w:val="20"/>
        </w:rPr>
        <w:t xml:space="preserve">Pepe, Alessia. "El estrés crónico afecta a la memoria." Centro Médico Quirónsalud Tenerife, 11 de agosto de 2022. </w:t>
      </w:r>
      <w:hyperlink r:id="rId2" w:history="1">
        <w:r w:rsidRPr="001E7946">
          <w:rPr>
            <w:rStyle w:val="Hipervnculo"/>
            <w:rFonts w:ascii="Times New Roman" w:hAnsi="Times New Roman" w:cs="Times New Roman"/>
            <w:color w:val="auto"/>
            <w:sz w:val="20"/>
            <w:szCs w:val="20"/>
          </w:rPr>
          <w:t>https://www.quironsalud.com/es/comunicacion/actualidad/estres-cronico-afecta-memoria</w:t>
        </w:r>
      </w:hyperlink>
      <w:r w:rsidR="001E7946">
        <w:rPr>
          <w:rFonts w:ascii="Times New Roman" w:hAnsi="Times New Roman" w:cs="Times New Roman"/>
          <w:color w:val="auto"/>
          <w:sz w:val="20"/>
          <w:szCs w:val="20"/>
        </w:rPr>
        <w:t xml:space="preserve">; </w:t>
      </w:r>
      <w:r w:rsidRPr="001E7946">
        <w:rPr>
          <w:rFonts w:ascii="Times New Roman" w:eastAsia="Times New Roman" w:hAnsi="Times New Roman" w:cs="Times New Roman"/>
          <w:color w:val="auto"/>
          <w:sz w:val="20"/>
          <w:szCs w:val="20"/>
        </w:rPr>
        <w:t xml:space="preserve">3) </w:t>
      </w:r>
      <w:r w:rsidRPr="001E7946">
        <w:rPr>
          <w:rFonts w:ascii="Times New Roman" w:hAnsi="Times New Roman" w:cs="Times New Roman"/>
          <w:color w:val="auto"/>
          <w:sz w:val="20"/>
          <w:szCs w:val="20"/>
        </w:rPr>
        <w:t xml:space="preserve">Marr, Carey, Henry Otgaar, Melanie Sauerland, Conny W. E. M. Quaedflieg, y Lorraine Hope. "The Effects of Stress on Eyewitness Memory: A Survey of Memory Experts and Laypeople." Memory &amp; Cognition 49, no. 3 (2021): 401–421. </w:t>
      </w:r>
      <w:hyperlink r:id="rId3" w:history="1">
        <w:r w:rsidRPr="001E7946">
          <w:rPr>
            <w:rStyle w:val="Hipervnculo"/>
            <w:rFonts w:ascii="Times New Roman" w:hAnsi="Times New Roman" w:cs="Times New Roman"/>
            <w:color w:val="auto"/>
            <w:sz w:val="20"/>
            <w:szCs w:val="20"/>
          </w:rPr>
          <w:t>https://doi.org/10.3758/s13421-020-01115-4</w:t>
        </w:r>
      </w:hyperlink>
      <w:r w:rsidR="001E7946">
        <w:rPr>
          <w:rFonts w:ascii="Times New Roman" w:eastAsia="Times New Roman" w:hAnsi="Times New Roman" w:cs="Times New Roman"/>
          <w:color w:val="auto"/>
          <w:sz w:val="20"/>
          <w:szCs w:val="20"/>
        </w:rPr>
        <w:t xml:space="preserve">; </w:t>
      </w:r>
      <w:r w:rsidRPr="001E7946">
        <w:rPr>
          <w:rFonts w:ascii="Times New Roman" w:eastAsia="Times New Roman" w:hAnsi="Times New Roman" w:cs="Times New Roman"/>
          <w:color w:val="auto"/>
          <w:sz w:val="20"/>
          <w:szCs w:val="20"/>
        </w:rPr>
        <w:t xml:space="preserve">4) </w:t>
      </w:r>
      <w:r w:rsidRPr="001E7946">
        <w:rPr>
          <w:rFonts w:ascii="Times New Roman" w:hAnsi="Times New Roman" w:cs="Times New Roman"/>
          <w:color w:val="auto"/>
          <w:sz w:val="20"/>
          <w:szCs w:val="20"/>
        </w:rPr>
        <w:t xml:space="preserve">Josselyn, Sheena y Matthew Hill. "Los científicos descubren cómo el estrés altera la memoria." La Vanguardia, 15 de noviembre de 2024. </w:t>
      </w:r>
      <w:hyperlink r:id="rId4" w:history="1">
        <w:r w:rsidRPr="001E7946">
          <w:rPr>
            <w:rStyle w:val="Hipervnculo"/>
            <w:rFonts w:ascii="Times New Roman" w:hAnsi="Times New Roman" w:cs="Times New Roman"/>
            <w:color w:val="auto"/>
            <w:sz w:val="20"/>
            <w:szCs w:val="20"/>
          </w:rPr>
          <w:t>https://www.lavanguardia.com/ciencia/20241115/10110676/cientificos-descubren-como-estres-altera-memoria.html</w:t>
        </w:r>
      </w:hyperlink>
      <w:r w:rsidRPr="001E7946">
        <w:rPr>
          <w:rFonts w:ascii="Times New Roman" w:hAnsi="Times New Roman" w:cs="Times New Roman"/>
          <w:color w:val="auto"/>
          <w:sz w:val="20"/>
          <w:szCs w:val="20"/>
        </w:rPr>
        <w:t>.</w:t>
      </w:r>
    </w:p>
  </w:footnote>
  <w:footnote w:id="5">
    <w:p w:rsidR="001A19D0" w:rsidRPr="001E7946" w:rsidRDefault="001A19D0" w:rsidP="003F20E3">
      <w:pPr>
        <w:pStyle w:val="my-2"/>
        <w:spacing w:before="0" w:beforeAutospacing="0" w:after="0" w:afterAutospacing="0"/>
        <w:jc w:val="both"/>
        <w:rPr>
          <w:sz w:val="20"/>
          <w:szCs w:val="20"/>
        </w:rPr>
      </w:pPr>
      <w:r w:rsidRPr="001E7946">
        <w:rPr>
          <w:rStyle w:val="Refdenotaalpie"/>
          <w:sz w:val="20"/>
          <w:szCs w:val="20"/>
        </w:rPr>
        <w:footnoteRef/>
      </w:r>
      <w:r w:rsidRPr="001E7946">
        <w:rPr>
          <w:sz w:val="20"/>
          <w:szCs w:val="20"/>
        </w:rPr>
        <w:t xml:space="preserve"> Sobre el tema, ver:</w:t>
      </w:r>
      <w:r w:rsidR="001E7946">
        <w:rPr>
          <w:sz w:val="20"/>
          <w:szCs w:val="20"/>
        </w:rPr>
        <w:t xml:space="preserve"> </w:t>
      </w:r>
      <w:r w:rsidRPr="001E7946">
        <w:rPr>
          <w:sz w:val="20"/>
          <w:szCs w:val="20"/>
        </w:rPr>
        <w:t xml:space="preserve">González-Cabrera, José et al. "Descubren cómo el cerebro supera los recuerdos que generan miedo." </w:t>
      </w:r>
      <w:r w:rsidRPr="001E7946">
        <w:rPr>
          <w:rStyle w:val="nfasis"/>
          <w:sz w:val="20"/>
          <w:szCs w:val="20"/>
        </w:rPr>
        <w:t>Infobae</w:t>
      </w:r>
      <w:r w:rsidRPr="001E7946">
        <w:rPr>
          <w:sz w:val="20"/>
          <w:szCs w:val="20"/>
        </w:rPr>
        <w:t xml:space="preserve"> (25 de agosto de 2025). </w:t>
      </w:r>
      <w:hyperlink r:id="rId5" w:tgtFrame="_blank" w:history="1">
        <w:r w:rsidRPr="001E7946">
          <w:rPr>
            <w:rStyle w:val="Hipervnculo"/>
            <w:color w:val="auto"/>
            <w:sz w:val="20"/>
            <w:szCs w:val="20"/>
          </w:rPr>
          <w:t>https://www.infobae.com/salud/ciencia/2025/08/25/descubren-como-el-cerebro-supera-los-recuerdos-que-generan-miedo/</w:t>
        </w:r>
      </w:hyperlink>
      <w:r w:rsidR="001E7946">
        <w:rPr>
          <w:sz w:val="20"/>
          <w:szCs w:val="20"/>
        </w:rPr>
        <w:t xml:space="preserve">; </w:t>
      </w:r>
      <w:r w:rsidRPr="001E7946">
        <w:rPr>
          <w:sz w:val="20"/>
          <w:szCs w:val="20"/>
        </w:rPr>
        <w:t xml:space="preserve">LeDoux, Joseph E. "Accepting fear." </w:t>
      </w:r>
      <w:r w:rsidRPr="001E7946">
        <w:rPr>
          <w:rStyle w:val="nfasis"/>
          <w:sz w:val="20"/>
          <w:szCs w:val="20"/>
        </w:rPr>
        <w:t>Proceedings of the National Academy of Sciences</w:t>
      </w:r>
      <w:r w:rsidRPr="001E7946">
        <w:rPr>
          <w:sz w:val="20"/>
          <w:szCs w:val="20"/>
        </w:rPr>
        <w:t xml:space="preserve"> 111, no. 39 (2014): 14033-14035. </w:t>
      </w:r>
      <w:hyperlink r:id="rId6" w:tgtFrame="_blank" w:history="1">
        <w:r w:rsidRPr="001E7946">
          <w:rPr>
            <w:rStyle w:val="Hipervnculo"/>
            <w:color w:val="auto"/>
            <w:sz w:val="20"/>
            <w:szCs w:val="20"/>
          </w:rPr>
          <w:t>https://doi.org/10.1073/pnas.1400335111</w:t>
        </w:r>
      </w:hyperlink>
      <w:r w:rsidR="001E7946">
        <w:rPr>
          <w:sz w:val="20"/>
          <w:szCs w:val="20"/>
        </w:rPr>
        <w:t xml:space="preserve">; </w:t>
      </w:r>
      <w:r w:rsidRPr="001E7946">
        <w:rPr>
          <w:sz w:val="20"/>
          <w:szCs w:val="20"/>
        </w:rPr>
        <w:t xml:space="preserve">Deng, Jie et al. "La inhibición inducida por propranolol de la memoria del miedo." </w:t>
      </w:r>
      <w:r w:rsidRPr="001E7946">
        <w:rPr>
          <w:rStyle w:val="nfasis"/>
          <w:sz w:val="20"/>
          <w:szCs w:val="20"/>
        </w:rPr>
        <w:t>Nature Communications</w:t>
      </w:r>
      <w:r w:rsidRPr="001E7946">
        <w:rPr>
          <w:sz w:val="20"/>
          <w:szCs w:val="20"/>
        </w:rPr>
        <w:t xml:space="preserve"> 11 (2020). </w:t>
      </w:r>
      <w:hyperlink r:id="rId7" w:tgtFrame="_blank" w:history="1">
        <w:r w:rsidRPr="001E7946">
          <w:rPr>
            <w:rStyle w:val="Hipervnculo"/>
            <w:color w:val="auto"/>
            <w:sz w:val="20"/>
            <w:szCs w:val="20"/>
          </w:rPr>
          <w:t>https://doi.org/10.1038/s41398-020-01023-w</w:t>
        </w:r>
      </w:hyperlink>
      <w:r w:rsidR="001E7946">
        <w:rPr>
          <w:sz w:val="20"/>
          <w:szCs w:val="20"/>
        </w:rPr>
        <w:t xml:space="preserve">; </w:t>
      </w:r>
      <w:r w:rsidRPr="001E7946">
        <w:rPr>
          <w:sz w:val="20"/>
          <w:szCs w:val="20"/>
        </w:rPr>
        <w:t xml:space="preserve">Tortora, Francesco et al. "El papel de la serotonina en el aprendizaje y la memoria del miedo: una revisión sistemática de estudios en humanos." </w:t>
      </w:r>
      <w:r w:rsidRPr="001E7946">
        <w:rPr>
          <w:rStyle w:val="nfasis"/>
          <w:sz w:val="20"/>
          <w:szCs w:val="20"/>
        </w:rPr>
        <w:t>Brain Sciences</w:t>
      </w:r>
      <w:r w:rsidRPr="001E7946">
        <w:rPr>
          <w:sz w:val="20"/>
          <w:szCs w:val="20"/>
        </w:rPr>
        <w:t xml:space="preserve"> 13, no. 8 (2023): 1197. </w:t>
      </w:r>
      <w:hyperlink r:id="rId8" w:tgtFrame="_blank" w:history="1">
        <w:r w:rsidRPr="001E7946">
          <w:rPr>
            <w:rStyle w:val="Hipervnculo"/>
            <w:color w:val="auto"/>
            <w:sz w:val="20"/>
            <w:szCs w:val="20"/>
          </w:rPr>
          <w:t>https://doi.org/10.3390/brainsci13081197</w:t>
        </w:r>
      </w:hyperlink>
      <w:r w:rsidR="001E7946">
        <w:rPr>
          <w:sz w:val="20"/>
          <w:szCs w:val="20"/>
        </w:rPr>
        <w:t xml:space="preserve">; </w:t>
      </w:r>
      <w:r w:rsidRPr="001E7946">
        <w:rPr>
          <w:sz w:val="20"/>
          <w:szCs w:val="20"/>
        </w:rPr>
        <w:t xml:space="preserve">LeDoux, Joseph E. "Uso de la neurociencia para comprender el miedo y sus circuitos." </w:t>
      </w:r>
      <w:r w:rsidRPr="001E7946">
        <w:rPr>
          <w:rStyle w:val="nfasis"/>
          <w:sz w:val="20"/>
          <w:szCs w:val="20"/>
        </w:rPr>
        <w:t>American Journal of Psychiatry</w:t>
      </w:r>
      <w:r w:rsidRPr="001E7946">
        <w:rPr>
          <w:sz w:val="20"/>
          <w:szCs w:val="20"/>
        </w:rPr>
        <w:t xml:space="preserve"> 173, no. 8 (2016): 686-693. </w:t>
      </w:r>
      <w:hyperlink r:id="rId9" w:tgtFrame="_blank" w:history="1">
        <w:r w:rsidRPr="001E7946">
          <w:rPr>
            <w:rStyle w:val="Hipervnculo"/>
            <w:color w:val="auto"/>
            <w:sz w:val="20"/>
            <w:szCs w:val="20"/>
          </w:rPr>
          <w:t>https://doi.org/10.1176/appi.ajp.2016.16030353</w:t>
        </w:r>
      </w:hyperlink>
      <w:r w:rsidRPr="001E7946">
        <w:rPr>
          <w:sz w:val="20"/>
          <w:szCs w:val="20"/>
        </w:rPr>
        <w:t>.</w:t>
      </w:r>
    </w:p>
    <w:p w:rsidR="001A19D0" w:rsidRPr="001E7946" w:rsidRDefault="001A19D0" w:rsidP="003F20E3">
      <w:pPr>
        <w:pStyle w:val="Textonotapie"/>
        <w:jc w:val="both"/>
        <w:rPr>
          <w:rFonts w:ascii="Times New Roman" w:hAnsi="Times New Roman" w:cs="Times New Roman"/>
          <w:color w:val="auto"/>
        </w:rPr>
      </w:pPr>
    </w:p>
  </w:footnote>
  <w:footnote w:id="6">
    <w:p w:rsidR="001A19D0" w:rsidRPr="001E7946" w:rsidRDefault="001A19D0" w:rsidP="003F20E3">
      <w:pPr>
        <w:pStyle w:val="Textonotapie"/>
        <w:jc w:val="both"/>
        <w:rPr>
          <w:rFonts w:ascii="Times New Roman" w:hAnsi="Times New Roman" w:cs="Times New Roman"/>
          <w:color w:val="auto"/>
        </w:rPr>
      </w:pPr>
      <w:r w:rsidRPr="001E7946">
        <w:rPr>
          <w:rStyle w:val="Refdenotaalpie"/>
          <w:rFonts w:ascii="Times New Roman" w:hAnsi="Times New Roman" w:cs="Times New Roman"/>
          <w:color w:val="auto"/>
        </w:rPr>
        <w:footnoteRef/>
      </w:r>
      <w:r w:rsidRPr="001E7946">
        <w:rPr>
          <w:rFonts w:ascii="Times New Roman" w:hAnsi="Times New Roman" w:cs="Times New Roman"/>
          <w:color w:val="auto"/>
        </w:rPr>
        <w:t xml:space="preserve"> La psicología forense reconoce este efecto, y numerosos estudios han confirmado que la presencia de un arma atrae la atención de los testigos y deteriora su recuerdo de la persona que la sostiene y otros detalles del crimen. Este fenómeno limita la capacidad de dar una descripción precisa del agresor y puede afectar la precisión del testimonio en juicios. Ver Skeem, Jennifer L., y Jennifer L. Golding. "Enfoque e</w:t>
      </w:r>
      <w:r w:rsidR="00752CA1" w:rsidRPr="001E7946">
        <w:rPr>
          <w:rFonts w:ascii="Times New Roman" w:hAnsi="Times New Roman" w:cs="Times New Roman"/>
          <w:color w:val="auto"/>
        </w:rPr>
        <w:t>n armas (psicología forense)." EBSCO Research Starters</w:t>
      </w:r>
      <w:r w:rsidRPr="001E7946">
        <w:rPr>
          <w:rFonts w:ascii="Times New Roman" w:hAnsi="Times New Roman" w:cs="Times New Roman"/>
          <w:color w:val="auto"/>
        </w:rPr>
        <w:t xml:space="preserve">. Accedido el 15 de septiembre de 2025. </w:t>
      </w:r>
      <w:hyperlink r:id="rId10" w:history="1">
        <w:r w:rsidRPr="001E7946">
          <w:rPr>
            <w:rStyle w:val="Hipervnculo"/>
            <w:rFonts w:ascii="Times New Roman" w:hAnsi="Times New Roman" w:cs="Times New Roman"/>
            <w:color w:val="auto"/>
          </w:rPr>
          <w:t>https://www.ebsco.com/research-starters/psychology/weapon-focus-forensic-psychology</w:t>
        </w:r>
      </w:hyperlink>
      <w:r w:rsidRPr="001E7946">
        <w:rPr>
          <w:rFonts w:ascii="Times New Roman" w:hAnsi="Times New Roman" w:cs="Times New Roman"/>
          <w:color w:val="auto"/>
        </w:rPr>
        <w:t>. También Saborío Valverde, Carlos. "Estrategias de evaluación psic</w:t>
      </w:r>
      <w:r w:rsidR="00752CA1" w:rsidRPr="001E7946">
        <w:rPr>
          <w:rFonts w:ascii="Times New Roman" w:hAnsi="Times New Roman" w:cs="Times New Roman"/>
          <w:color w:val="auto"/>
        </w:rPr>
        <w:t>ológica en el ámbito forense." Medicina Legal Costa Rica</w:t>
      </w:r>
      <w:r w:rsidRPr="001E7946">
        <w:rPr>
          <w:rFonts w:ascii="Times New Roman" w:hAnsi="Times New Roman" w:cs="Times New Roman"/>
          <w:color w:val="auto"/>
        </w:rPr>
        <w:t xml:space="preserve"> 22, no. 1 (2005): 23-35. </w:t>
      </w:r>
      <w:hyperlink r:id="rId11" w:history="1">
        <w:r w:rsidRPr="001E7946">
          <w:rPr>
            <w:rStyle w:val="Hipervnculo"/>
            <w:rFonts w:ascii="Times New Roman" w:hAnsi="Times New Roman" w:cs="Times New Roman"/>
            <w:color w:val="auto"/>
          </w:rPr>
          <w:t>http://www.scielo.sa.cr/scielo.php?script=sci_arttext&amp;pid=S1409-00152005000100004</w:t>
        </w:r>
      </w:hyperlink>
      <w:r w:rsidRPr="001E7946">
        <w:rPr>
          <w:rFonts w:ascii="Times New Roman" w:hAnsi="Times New Roman" w:cs="Times New Roman"/>
          <w:color w:val="auto"/>
        </w:rPr>
        <w:t>.</w:t>
      </w:r>
    </w:p>
  </w:footnote>
  <w:footnote w:id="7">
    <w:p w:rsidR="001A19D0" w:rsidRPr="001E7946" w:rsidRDefault="001A19D0" w:rsidP="003F20E3">
      <w:pPr>
        <w:pStyle w:val="Textonotapie"/>
        <w:jc w:val="both"/>
        <w:rPr>
          <w:rFonts w:ascii="Times New Roman" w:hAnsi="Times New Roman" w:cs="Times New Roman"/>
          <w:color w:val="auto"/>
        </w:rPr>
      </w:pPr>
      <w:r w:rsidRPr="001E7946">
        <w:rPr>
          <w:rStyle w:val="Refdenotaalpie"/>
          <w:rFonts w:ascii="Times New Roman" w:hAnsi="Times New Roman" w:cs="Times New Roman"/>
          <w:color w:val="auto"/>
        </w:rPr>
        <w:footnoteRef/>
      </w:r>
      <w:r w:rsidRPr="001E7946">
        <w:rPr>
          <w:rFonts w:ascii="Times New Roman" w:hAnsi="Times New Roman" w:cs="Times New Roman"/>
          <w:color w:val="auto"/>
        </w:rPr>
        <w:t xml:space="preserve"> </w:t>
      </w:r>
      <w:r w:rsidRPr="001E7946">
        <w:rPr>
          <w:rFonts w:ascii="Times New Roman" w:hAnsi="Times New Roman" w:cs="Times New Roman"/>
          <w:color w:val="auto"/>
          <w:spacing w:val="1"/>
        </w:rPr>
        <w:t>Elizabeth Loftus es una renombrada psicóloga estadounidense conocida por su trabajo pionero en el estudio de los falsos recuerdos. Entre sus contribuciones está un artículo muy influyente titulado "Creating False Memories" (Creando recuerdos falsos), publicado en Scientific American en 1997, donde explica cómo la memoria puede ser manipulada y cómo se pueden implantar recuerdos falsos mediante la sugestión.</w:t>
      </w:r>
    </w:p>
  </w:footnote>
  <w:footnote w:id="8">
    <w:p w:rsidR="001A19D0" w:rsidRPr="001E7946" w:rsidRDefault="001A19D0" w:rsidP="003F20E3">
      <w:pPr>
        <w:pStyle w:val="Textonotapie"/>
        <w:jc w:val="both"/>
        <w:rPr>
          <w:rFonts w:ascii="Times New Roman" w:hAnsi="Times New Roman" w:cs="Times New Roman"/>
          <w:color w:val="auto"/>
        </w:rPr>
      </w:pPr>
      <w:r w:rsidRPr="001E7946">
        <w:rPr>
          <w:rStyle w:val="Refdenotaalpie"/>
          <w:rFonts w:ascii="Times New Roman" w:hAnsi="Times New Roman" w:cs="Times New Roman"/>
          <w:color w:val="auto"/>
        </w:rPr>
        <w:footnoteRef/>
      </w:r>
      <w:r w:rsidRPr="001E7946">
        <w:rPr>
          <w:rFonts w:ascii="Times New Roman" w:hAnsi="Times New Roman" w:cs="Times New Roman"/>
          <w:color w:val="auto"/>
        </w:rPr>
        <w:t xml:space="preserve"> Ver Alonso-Quecuty, María L., y Laura Campos. "Psicología del testimonio y memoria de conversaciones: recordando palabras que matan." Revista de Motivación y Emoción 6, no. 1 (2012): 47-57. También Wulff, Anne N., et al. "The Dynamic and Fragile Nature of Eyewitness Memory." Frontiers in Psychology 12 (2021): 666724. </w:t>
      </w:r>
      <w:hyperlink r:id="rId12" w:history="1">
        <w:r w:rsidRPr="001E7946">
          <w:rPr>
            <w:rStyle w:val="Hipervnculo"/>
            <w:rFonts w:ascii="Times New Roman" w:hAnsi="Times New Roman" w:cs="Times New Roman"/>
            <w:color w:val="auto"/>
          </w:rPr>
          <w:t>https://doi.org/10.3389/fpsyg.2021.666724</w:t>
        </w:r>
      </w:hyperlink>
      <w:r w:rsidRPr="001E7946">
        <w:rPr>
          <w:rFonts w:ascii="Times New Roman" w:hAnsi="Times New Roman" w:cs="Times New Roman"/>
          <w:color w:val="auto"/>
        </w:rPr>
        <w:t xml:space="preserve">. Mitchell, K. J., et al. "External and Internal Influences Produce False Memories in Legal Settings." Frontiers in Psychology 14 (2023). </w:t>
      </w:r>
      <w:hyperlink r:id="rId13" w:history="1">
        <w:r w:rsidRPr="001E7946">
          <w:rPr>
            <w:rStyle w:val="Hipervnculo"/>
            <w:rFonts w:ascii="Times New Roman" w:hAnsi="Times New Roman" w:cs="Times New Roman"/>
            <w:color w:val="auto"/>
          </w:rPr>
          <w:t>https://doi.org/10.3389/fpsyg.2023.10494980</w:t>
        </w:r>
      </w:hyperlink>
      <w:r w:rsidR="00752CA1" w:rsidRPr="001E7946">
        <w:rPr>
          <w:rFonts w:ascii="Times New Roman" w:hAnsi="Times New Roman" w:cs="Times New Roman"/>
          <w:color w:val="auto"/>
        </w:rPr>
        <w:t>.</w:t>
      </w:r>
    </w:p>
  </w:footnote>
  <w:footnote w:id="9">
    <w:p w:rsidR="00F94597" w:rsidRPr="001E7946" w:rsidRDefault="00F94597" w:rsidP="003F20E3">
      <w:pPr>
        <w:pStyle w:val="Textonotapie"/>
        <w:jc w:val="both"/>
        <w:rPr>
          <w:rFonts w:ascii="Times New Roman" w:hAnsi="Times New Roman" w:cs="Times New Roman"/>
          <w:color w:val="auto"/>
        </w:rPr>
      </w:pPr>
      <w:r w:rsidRPr="001E7946">
        <w:rPr>
          <w:rStyle w:val="Refdenotaalpie"/>
          <w:rFonts w:ascii="Times New Roman" w:hAnsi="Times New Roman" w:cs="Times New Roman"/>
          <w:color w:val="auto"/>
        </w:rPr>
        <w:footnoteRef/>
      </w:r>
      <w:r w:rsidRPr="001E7946">
        <w:rPr>
          <w:rFonts w:ascii="Times New Roman" w:hAnsi="Times New Roman" w:cs="Times New Roman"/>
          <w:color w:val="auto"/>
        </w:rPr>
        <w:t xml:space="preserve"> J. M. Jones, J. Katzman, y M. B. Kovera, «Phenotypic mismatch between suspects and fillers but not phenotypic bias increases eyewitness identifications of Black suspects», Frontiers in Psychology 15 (2024): 1233782, </w:t>
      </w:r>
      <w:hyperlink r:id="rId14" w:history="1">
        <w:r w:rsidRPr="001E7946">
          <w:rPr>
            <w:rStyle w:val="Hipervnculo"/>
            <w:rFonts w:ascii="Times New Roman" w:hAnsi="Times New Roman" w:cs="Times New Roman"/>
            <w:color w:val="auto"/>
          </w:rPr>
          <w:t>https://doi.org/10.3389/fpsyg.2024.1233782</w:t>
        </w:r>
      </w:hyperlink>
      <w:r w:rsidRPr="001E7946">
        <w:rPr>
          <w:rFonts w:ascii="Times New Roman" w:hAnsi="Times New Roman" w:cs="Times New Roman"/>
          <w:color w:val="auto"/>
        </w:rPr>
        <w:t xml:space="preserve">. En este interesante trabajo, cuyo título </w:t>
      </w:r>
      <w:r w:rsidRPr="001E7946">
        <w:rPr>
          <w:rFonts w:ascii="Times New Roman" w:hAnsi="Times New Roman" w:cs="Times New Roman"/>
          <w:color w:val="auto"/>
        </w:rPr>
        <w:t>traducido al castellano sería “</w:t>
      </w:r>
      <w:r w:rsidRPr="001E7946">
        <w:rPr>
          <w:rFonts w:ascii="Times New Roman" w:hAnsi="Times New Roman" w:cs="Times New Roman"/>
          <w:color w:val="auto"/>
        </w:rPr>
        <w:t>e</w:t>
      </w:r>
      <w:r w:rsidRPr="001E7946">
        <w:rPr>
          <w:rFonts w:ascii="Times New Roman" w:hAnsi="Times New Roman" w:cs="Times New Roman"/>
          <w:color w:val="auto"/>
        </w:rPr>
        <w:t>l desajuste fenotípico entre sospechosos y rellenos, pero no el sesgo fenotípico, aumenta las identificaciones de sospechosos negros por parte de testigos oculares”</w:t>
      </w:r>
      <w:r w:rsidRPr="001E7946">
        <w:rPr>
          <w:rFonts w:ascii="Times New Roman" w:hAnsi="Times New Roman" w:cs="Times New Roman"/>
          <w:color w:val="auto"/>
        </w:rPr>
        <w:t>, los investigadores concluyeron que los testigos identificaron más a sospechosos cuando los “rellenos” no coincidían con el fenotipo del sospechoso que cuando todos los miembros de la rueda de reconocimiento poseían rasgos fenotípicos similares.</w:t>
      </w:r>
    </w:p>
  </w:footnote>
  <w:footnote w:id="10">
    <w:p w:rsidR="00605094" w:rsidRPr="001E7946" w:rsidRDefault="00605094" w:rsidP="003F20E3">
      <w:pPr>
        <w:pStyle w:val="NormalWeb"/>
        <w:spacing w:before="0" w:beforeAutospacing="0" w:after="0" w:afterAutospacing="0"/>
        <w:jc w:val="both"/>
        <w:rPr>
          <w:sz w:val="20"/>
          <w:szCs w:val="20"/>
        </w:rPr>
      </w:pPr>
      <w:r w:rsidRPr="001E7946">
        <w:rPr>
          <w:rStyle w:val="Refdenotaalpie"/>
          <w:sz w:val="20"/>
          <w:szCs w:val="20"/>
        </w:rPr>
        <w:footnoteRef/>
      </w:r>
      <w:r w:rsidRPr="001E7946">
        <w:rPr>
          <w:sz w:val="20"/>
          <w:szCs w:val="20"/>
        </w:rPr>
        <w:t xml:space="preserve"> </w:t>
      </w:r>
      <w:r w:rsidRPr="001E7946">
        <w:rPr>
          <w:sz w:val="20"/>
          <w:szCs w:val="20"/>
        </w:rPr>
        <w:t xml:space="preserve">Un protocolo clave </w:t>
      </w:r>
      <w:r w:rsidRPr="001E7946">
        <w:rPr>
          <w:sz w:val="20"/>
          <w:szCs w:val="20"/>
        </w:rPr>
        <w:t xml:space="preserve">que viene ganando terreno en los últimos años </w:t>
      </w:r>
      <w:r w:rsidRPr="001E7946">
        <w:rPr>
          <w:sz w:val="20"/>
          <w:szCs w:val="20"/>
        </w:rPr>
        <w:t xml:space="preserve">es el </w:t>
      </w:r>
      <w:r w:rsidRPr="001E7946">
        <w:rPr>
          <w:sz w:val="20"/>
          <w:szCs w:val="20"/>
        </w:rPr>
        <w:t>llamado</w:t>
      </w:r>
      <w:r w:rsidRPr="001E7946">
        <w:rPr>
          <w:sz w:val="20"/>
          <w:szCs w:val="20"/>
        </w:rPr>
        <w:t xml:space="preserve"> </w:t>
      </w:r>
      <w:r w:rsidRPr="001E7946">
        <w:rPr>
          <w:bCs/>
          <w:i/>
          <w:sz w:val="20"/>
          <w:szCs w:val="20"/>
          <w:bdr w:val="none" w:sz="0" w:space="0" w:color="auto" w:frame="1"/>
        </w:rPr>
        <w:t>“</w:t>
      </w:r>
      <w:r w:rsidRPr="001E7946">
        <w:rPr>
          <w:bCs/>
          <w:i/>
          <w:sz w:val="20"/>
          <w:szCs w:val="20"/>
          <w:bdr w:val="none" w:sz="0" w:space="0" w:color="auto" w:frame="1"/>
        </w:rPr>
        <w:t>doble ciego</w:t>
      </w:r>
      <w:r w:rsidRPr="001E7946">
        <w:rPr>
          <w:bCs/>
          <w:i/>
          <w:sz w:val="20"/>
          <w:szCs w:val="20"/>
          <w:bdr w:val="none" w:sz="0" w:space="0" w:color="auto" w:frame="1"/>
        </w:rPr>
        <w:t>”</w:t>
      </w:r>
      <w:r w:rsidRPr="001E7946">
        <w:rPr>
          <w:sz w:val="20"/>
          <w:szCs w:val="20"/>
        </w:rPr>
        <w:t xml:space="preserve">, </w:t>
      </w:r>
      <w:r w:rsidRPr="001E7946">
        <w:rPr>
          <w:sz w:val="20"/>
          <w:szCs w:val="20"/>
        </w:rPr>
        <w:t xml:space="preserve">que consiste en que </w:t>
      </w:r>
      <w:r w:rsidRPr="001E7946">
        <w:rPr>
          <w:sz w:val="20"/>
          <w:szCs w:val="20"/>
        </w:rPr>
        <w:t>el administrador de la rueda</w:t>
      </w:r>
      <w:r w:rsidRPr="001E7946">
        <w:rPr>
          <w:sz w:val="20"/>
          <w:szCs w:val="20"/>
        </w:rPr>
        <w:t xml:space="preserve"> de reconocimiento</w:t>
      </w:r>
      <w:r w:rsidRPr="001E7946">
        <w:rPr>
          <w:sz w:val="20"/>
          <w:szCs w:val="20"/>
        </w:rPr>
        <w:t xml:space="preserve"> desconoce la identidad del sospechoso, evitando así cualquier pista, ya sea intencional o no</w:t>
      </w:r>
      <w:r w:rsidRPr="001E7946">
        <w:rPr>
          <w:sz w:val="20"/>
          <w:szCs w:val="20"/>
        </w:rPr>
        <w:t xml:space="preserve">. </w:t>
      </w:r>
      <w:r w:rsidRPr="001E7946">
        <w:rPr>
          <w:sz w:val="20"/>
          <w:szCs w:val="20"/>
        </w:rPr>
        <w:t xml:space="preserve">Otra práctica es la rueda </w:t>
      </w:r>
      <w:r w:rsidRPr="001E7946">
        <w:rPr>
          <w:bCs/>
          <w:i/>
          <w:sz w:val="20"/>
          <w:szCs w:val="20"/>
          <w:bdr w:val="none" w:sz="0" w:space="0" w:color="auto" w:frame="1"/>
        </w:rPr>
        <w:t>“</w:t>
      </w:r>
      <w:r w:rsidRPr="001E7946">
        <w:rPr>
          <w:bCs/>
          <w:i/>
          <w:sz w:val="20"/>
          <w:szCs w:val="20"/>
          <w:bdr w:val="none" w:sz="0" w:space="0" w:color="auto" w:frame="1"/>
        </w:rPr>
        <w:t>secuencial</w:t>
      </w:r>
      <w:r w:rsidRPr="001E7946">
        <w:rPr>
          <w:bCs/>
          <w:i/>
          <w:sz w:val="20"/>
          <w:szCs w:val="20"/>
          <w:bdr w:val="none" w:sz="0" w:space="0" w:color="auto" w:frame="1"/>
        </w:rPr>
        <w:t>”</w:t>
      </w:r>
      <w:r w:rsidRPr="001E7946">
        <w:rPr>
          <w:i/>
          <w:sz w:val="20"/>
          <w:szCs w:val="20"/>
        </w:rPr>
        <w:t>,</w:t>
      </w:r>
      <w:r w:rsidRPr="001E7946">
        <w:rPr>
          <w:sz w:val="20"/>
          <w:szCs w:val="20"/>
        </w:rPr>
        <w:t xml:space="preserve"> que consiste en presentar a los sospechosos uno a uno, en lugar de todos a la vez. Este método reduce la probabilidad de que el testigo elija a la persona que más se parece al perpetrador, en lugar de realizar una identificación </w:t>
      </w:r>
      <w:r w:rsidRPr="001E7946">
        <w:rPr>
          <w:sz w:val="20"/>
          <w:szCs w:val="20"/>
        </w:rPr>
        <w:t>basada en un verdadero recuerdo. Otra</w:t>
      </w:r>
      <w:r w:rsidRPr="001E7946">
        <w:rPr>
          <w:sz w:val="20"/>
          <w:szCs w:val="20"/>
        </w:rPr>
        <w:t xml:space="preserve"> buena práctica </w:t>
      </w:r>
      <w:r w:rsidRPr="001E7946">
        <w:rPr>
          <w:sz w:val="20"/>
          <w:szCs w:val="20"/>
        </w:rPr>
        <w:t xml:space="preserve">que se sugiere es </w:t>
      </w:r>
      <w:r w:rsidRPr="001E7946">
        <w:rPr>
          <w:sz w:val="20"/>
          <w:szCs w:val="20"/>
        </w:rPr>
        <w:t>dar instrucciones imparciales al testigo,</w:t>
      </w:r>
      <w:r w:rsidRPr="001E7946">
        <w:rPr>
          <w:sz w:val="20"/>
          <w:szCs w:val="20"/>
        </w:rPr>
        <w:t xml:space="preserve"> usar “rellenos”</w:t>
      </w:r>
      <w:r w:rsidRPr="001E7946">
        <w:rPr>
          <w:sz w:val="20"/>
          <w:szCs w:val="20"/>
        </w:rPr>
        <w:t xml:space="preserve"> que coincidan con la descripción del sospechoso y grabar en video todo el proceso</w:t>
      </w:r>
      <w:r w:rsidRPr="001E7946">
        <w:rPr>
          <w:rStyle w:val="CdigoHTML"/>
          <w:rFonts w:ascii="Times New Roman" w:hAnsi="Times New Roman" w:cs="Times New Roman"/>
          <w:bdr w:val="none" w:sz="0" w:space="0" w:color="auto" w:frame="1"/>
        </w:rPr>
        <w:t xml:space="preserve">. La </w:t>
      </w:r>
      <w:r w:rsidR="00752CA1" w:rsidRPr="001E7946">
        <w:rPr>
          <w:rStyle w:val="CdigoHTML"/>
          <w:rFonts w:ascii="Times New Roman" w:hAnsi="Times New Roman" w:cs="Times New Roman"/>
          <w:bdr w:val="none" w:sz="0" w:space="0" w:color="auto" w:frame="1"/>
        </w:rPr>
        <w:t>implementación</w:t>
      </w:r>
      <w:r w:rsidRPr="001E7946">
        <w:rPr>
          <w:rStyle w:val="CdigoHTML"/>
          <w:rFonts w:ascii="Times New Roman" w:hAnsi="Times New Roman" w:cs="Times New Roman"/>
          <w:bdr w:val="none" w:sz="0" w:space="0" w:color="auto" w:frame="1"/>
        </w:rPr>
        <w:t xml:space="preserve"> de todos estos cambios, sin embargo, en un desafío en muchos países, e implica voluntad política e inversiones.</w:t>
      </w:r>
    </w:p>
  </w:footnote>
  <w:footnote w:id="11">
    <w:p w:rsidR="0082525A" w:rsidRPr="001E7946" w:rsidRDefault="0082525A" w:rsidP="003F20E3">
      <w:pPr>
        <w:pStyle w:val="NormalWeb"/>
        <w:spacing w:before="0" w:beforeAutospacing="0" w:after="0" w:afterAutospacing="0"/>
        <w:jc w:val="both"/>
        <w:rPr>
          <w:sz w:val="20"/>
          <w:szCs w:val="20"/>
        </w:rPr>
      </w:pPr>
      <w:r w:rsidRPr="001E7946">
        <w:rPr>
          <w:rStyle w:val="Refdenotaalpie"/>
          <w:sz w:val="20"/>
          <w:szCs w:val="20"/>
        </w:rPr>
        <w:footnoteRef/>
      </w:r>
      <w:r w:rsidRPr="001E7946">
        <w:rPr>
          <w:sz w:val="20"/>
          <w:szCs w:val="20"/>
        </w:rPr>
        <w:t xml:space="preserve"> </w:t>
      </w:r>
      <w:r w:rsidRPr="001E7946">
        <w:rPr>
          <w:sz w:val="20"/>
          <w:szCs w:val="20"/>
        </w:rPr>
        <w:t>En contra de todo esto</w:t>
      </w:r>
      <w:r w:rsidRPr="001E7946">
        <w:rPr>
          <w:sz w:val="20"/>
          <w:szCs w:val="20"/>
        </w:rPr>
        <w:t>,</w:t>
      </w:r>
      <w:r w:rsidRPr="001E7946">
        <w:rPr>
          <w:sz w:val="20"/>
          <w:szCs w:val="20"/>
        </w:rPr>
        <w:t xml:space="preserve"> </w:t>
      </w:r>
      <w:r w:rsidRPr="001E7946">
        <w:rPr>
          <w:sz w:val="20"/>
          <w:szCs w:val="20"/>
        </w:rPr>
        <w:t>algunos países, como</w:t>
      </w:r>
      <w:r w:rsidRPr="001E7946">
        <w:rPr>
          <w:sz w:val="20"/>
          <w:szCs w:val="20"/>
        </w:rPr>
        <w:t xml:space="preserve"> Paraguay</w:t>
      </w:r>
      <w:r w:rsidRPr="001E7946">
        <w:rPr>
          <w:sz w:val="20"/>
          <w:szCs w:val="20"/>
        </w:rPr>
        <w:t>, tienen insólitamente leyes “contra toda forma de violencia contra la mujer” que alientan estas prácticas institucionales prejuiciosas, manipuladoras y atentatorias contra el sagrado principio de la presunción de inocencia, incluso ya de antemano llamando “víctima” a quien técnicamente es “denunciante”. Y así como se prejuzga indebidamente sobre el carácter de “víctima” se prejuzga también, inconstitucionalmente, sobre el carácter de “victimario” o “culpable” del simple denunciado. La perversida</w:t>
      </w:r>
      <w:r w:rsidR="00605094" w:rsidRPr="001E7946">
        <w:rPr>
          <w:sz w:val="20"/>
          <w:szCs w:val="20"/>
        </w:rPr>
        <w:t>d del sistema se encarga de que</w:t>
      </w:r>
      <w:r w:rsidRPr="001E7946">
        <w:rPr>
          <w:sz w:val="20"/>
          <w:szCs w:val="20"/>
        </w:rPr>
        <w:t xml:space="preserve"> todo lo que viene después </w:t>
      </w:r>
      <w:r w:rsidR="00752CA1" w:rsidRPr="001E7946">
        <w:rPr>
          <w:sz w:val="20"/>
          <w:szCs w:val="20"/>
        </w:rPr>
        <w:t>sea un</w:t>
      </w:r>
      <w:r w:rsidRPr="001E7946">
        <w:rPr>
          <w:sz w:val="20"/>
          <w:szCs w:val="20"/>
        </w:rPr>
        <w:t xml:space="preserve"> mero trámite y de que cualquier intento de debate serio sea condenado de antemano al fracaso.</w:t>
      </w:r>
      <w:r w:rsidR="00605094" w:rsidRPr="001E7946">
        <w:rPr>
          <w:sz w:val="20"/>
          <w:szCs w:val="20"/>
        </w:rPr>
        <w:t xml:space="preserve"> Quizá cuando Adolfo Alvarado Velloso escribió </w:t>
      </w:r>
      <w:r w:rsidR="00605094" w:rsidRPr="001E7946">
        <w:rPr>
          <w:i/>
          <w:sz w:val="20"/>
          <w:szCs w:val="20"/>
        </w:rPr>
        <w:t>El fracaso de la justicia</w:t>
      </w:r>
      <w:r w:rsidR="00605094" w:rsidRPr="001E7946">
        <w:rPr>
          <w:sz w:val="20"/>
          <w:szCs w:val="20"/>
        </w:rPr>
        <w:t>, haya estado, en parte, pensando en estos aspectos.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A549C"/>
    <w:multiLevelType w:val="hybridMultilevel"/>
    <w:tmpl w:val="6C485D16"/>
    <w:lvl w:ilvl="0" w:tplc="39CE184E">
      <w:start w:val="1"/>
      <w:numFmt w:val="decimal"/>
      <w:lvlText w:val="3.%1)"/>
      <w:lvlJc w:val="left"/>
      <w:pPr>
        <w:ind w:left="1146" w:hanging="360"/>
      </w:pPr>
      <w:rPr>
        <w:rFonts w:hint="default"/>
      </w:rPr>
    </w:lvl>
    <w:lvl w:ilvl="1" w:tplc="3C0A0019" w:tentative="1">
      <w:start w:val="1"/>
      <w:numFmt w:val="lowerLetter"/>
      <w:lvlText w:val="%2."/>
      <w:lvlJc w:val="left"/>
      <w:pPr>
        <w:ind w:left="1866" w:hanging="360"/>
      </w:pPr>
    </w:lvl>
    <w:lvl w:ilvl="2" w:tplc="3C0A001B" w:tentative="1">
      <w:start w:val="1"/>
      <w:numFmt w:val="lowerRoman"/>
      <w:lvlText w:val="%3."/>
      <w:lvlJc w:val="right"/>
      <w:pPr>
        <w:ind w:left="2586" w:hanging="180"/>
      </w:pPr>
    </w:lvl>
    <w:lvl w:ilvl="3" w:tplc="3C0A000F" w:tentative="1">
      <w:start w:val="1"/>
      <w:numFmt w:val="decimal"/>
      <w:lvlText w:val="%4."/>
      <w:lvlJc w:val="left"/>
      <w:pPr>
        <w:ind w:left="3306" w:hanging="360"/>
      </w:pPr>
    </w:lvl>
    <w:lvl w:ilvl="4" w:tplc="3C0A0019" w:tentative="1">
      <w:start w:val="1"/>
      <w:numFmt w:val="lowerLetter"/>
      <w:lvlText w:val="%5."/>
      <w:lvlJc w:val="left"/>
      <w:pPr>
        <w:ind w:left="4026" w:hanging="360"/>
      </w:pPr>
    </w:lvl>
    <w:lvl w:ilvl="5" w:tplc="3C0A001B" w:tentative="1">
      <w:start w:val="1"/>
      <w:numFmt w:val="lowerRoman"/>
      <w:lvlText w:val="%6."/>
      <w:lvlJc w:val="right"/>
      <w:pPr>
        <w:ind w:left="4746" w:hanging="180"/>
      </w:pPr>
    </w:lvl>
    <w:lvl w:ilvl="6" w:tplc="3C0A000F" w:tentative="1">
      <w:start w:val="1"/>
      <w:numFmt w:val="decimal"/>
      <w:lvlText w:val="%7."/>
      <w:lvlJc w:val="left"/>
      <w:pPr>
        <w:ind w:left="5466" w:hanging="360"/>
      </w:pPr>
    </w:lvl>
    <w:lvl w:ilvl="7" w:tplc="3C0A0019" w:tentative="1">
      <w:start w:val="1"/>
      <w:numFmt w:val="lowerLetter"/>
      <w:lvlText w:val="%8."/>
      <w:lvlJc w:val="left"/>
      <w:pPr>
        <w:ind w:left="6186" w:hanging="360"/>
      </w:pPr>
    </w:lvl>
    <w:lvl w:ilvl="8" w:tplc="3C0A001B" w:tentative="1">
      <w:start w:val="1"/>
      <w:numFmt w:val="lowerRoman"/>
      <w:lvlText w:val="%9."/>
      <w:lvlJc w:val="right"/>
      <w:pPr>
        <w:ind w:left="6906" w:hanging="180"/>
      </w:pPr>
    </w:lvl>
  </w:abstractNum>
  <w:abstractNum w:abstractNumId="1" w15:restartNumberingAfterBreak="0">
    <w:nsid w:val="12D5288C"/>
    <w:multiLevelType w:val="hybridMultilevel"/>
    <w:tmpl w:val="9BCC662C"/>
    <w:lvl w:ilvl="0" w:tplc="3C0A0017">
      <w:start w:val="1"/>
      <w:numFmt w:val="lowerLetter"/>
      <w:lvlText w:val="%1)"/>
      <w:lvlJc w:val="left"/>
      <w:pPr>
        <w:ind w:left="1146" w:hanging="360"/>
      </w:pPr>
    </w:lvl>
    <w:lvl w:ilvl="1" w:tplc="2FCC25A0">
      <w:start w:val="1"/>
      <w:numFmt w:val="lowerLetter"/>
      <w:pStyle w:val="Ttulo3"/>
      <w:lvlText w:val="%2."/>
      <w:lvlJc w:val="left"/>
      <w:pPr>
        <w:ind w:left="1866" w:hanging="360"/>
      </w:pPr>
    </w:lvl>
    <w:lvl w:ilvl="2" w:tplc="3C0A001B" w:tentative="1">
      <w:start w:val="1"/>
      <w:numFmt w:val="lowerRoman"/>
      <w:lvlText w:val="%3."/>
      <w:lvlJc w:val="right"/>
      <w:pPr>
        <w:ind w:left="2586" w:hanging="180"/>
      </w:pPr>
    </w:lvl>
    <w:lvl w:ilvl="3" w:tplc="3C0A000F" w:tentative="1">
      <w:start w:val="1"/>
      <w:numFmt w:val="decimal"/>
      <w:lvlText w:val="%4."/>
      <w:lvlJc w:val="left"/>
      <w:pPr>
        <w:ind w:left="3306" w:hanging="360"/>
      </w:pPr>
    </w:lvl>
    <w:lvl w:ilvl="4" w:tplc="3C0A0019" w:tentative="1">
      <w:start w:val="1"/>
      <w:numFmt w:val="lowerLetter"/>
      <w:lvlText w:val="%5."/>
      <w:lvlJc w:val="left"/>
      <w:pPr>
        <w:ind w:left="4026" w:hanging="360"/>
      </w:pPr>
    </w:lvl>
    <w:lvl w:ilvl="5" w:tplc="3C0A001B" w:tentative="1">
      <w:start w:val="1"/>
      <w:numFmt w:val="lowerRoman"/>
      <w:lvlText w:val="%6."/>
      <w:lvlJc w:val="right"/>
      <w:pPr>
        <w:ind w:left="4746" w:hanging="180"/>
      </w:pPr>
    </w:lvl>
    <w:lvl w:ilvl="6" w:tplc="3C0A000F" w:tentative="1">
      <w:start w:val="1"/>
      <w:numFmt w:val="decimal"/>
      <w:lvlText w:val="%7."/>
      <w:lvlJc w:val="left"/>
      <w:pPr>
        <w:ind w:left="5466" w:hanging="360"/>
      </w:pPr>
    </w:lvl>
    <w:lvl w:ilvl="7" w:tplc="3C0A0019" w:tentative="1">
      <w:start w:val="1"/>
      <w:numFmt w:val="lowerLetter"/>
      <w:lvlText w:val="%8."/>
      <w:lvlJc w:val="left"/>
      <w:pPr>
        <w:ind w:left="6186" w:hanging="360"/>
      </w:pPr>
    </w:lvl>
    <w:lvl w:ilvl="8" w:tplc="3C0A001B" w:tentative="1">
      <w:start w:val="1"/>
      <w:numFmt w:val="lowerRoman"/>
      <w:lvlText w:val="%9."/>
      <w:lvlJc w:val="right"/>
      <w:pPr>
        <w:ind w:left="6906" w:hanging="180"/>
      </w:pPr>
    </w:lvl>
  </w:abstractNum>
  <w:abstractNum w:abstractNumId="2" w15:restartNumberingAfterBreak="0">
    <w:nsid w:val="14F93930"/>
    <w:multiLevelType w:val="multilevel"/>
    <w:tmpl w:val="4AE0F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905EF0"/>
    <w:multiLevelType w:val="hybridMultilevel"/>
    <w:tmpl w:val="49EEA1A4"/>
    <w:lvl w:ilvl="0" w:tplc="1A00C4DE">
      <w:start w:val="1"/>
      <w:numFmt w:val="decimal"/>
      <w:pStyle w:val="Ttulo1"/>
      <w:lvlText w:val="%1."/>
      <w:lvlJc w:val="left"/>
      <w:pPr>
        <w:ind w:left="1146" w:hanging="360"/>
      </w:pPr>
    </w:lvl>
    <w:lvl w:ilvl="1" w:tplc="D778D3A2">
      <w:start w:val="2"/>
      <w:numFmt w:val="bullet"/>
      <w:lvlText w:val="•"/>
      <w:lvlJc w:val="left"/>
      <w:pPr>
        <w:ind w:left="1866" w:hanging="360"/>
      </w:pPr>
      <w:rPr>
        <w:rFonts w:ascii="Times New Roman" w:eastAsia="Calibri" w:hAnsi="Times New Roman" w:cs="Times New Roman" w:hint="default"/>
      </w:rPr>
    </w:lvl>
    <w:lvl w:ilvl="2" w:tplc="3C0A001B" w:tentative="1">
      <w:start w:val="1"/>
      <w:numFmt w:val="lowerRoman"/>
      <w:lvlText w:val="%3."/>
      <w:lvlJc w:val="right"/>
      <w:pPr>
        <w:ind w:left="2586" w:hanging="180"/>
      </w:pPr>
    </w:lvl>
    <w:lvl w:ilvl="3" w:tplc="3C0A000F" w:tentative="1">
      <w:start w:val="1"/>
      <w:numFmt w:val="decimal"/>
      <w:lvlText w:val="%4."/>
      <w:lvlJc w:val="left"/>
      <w:pPr>
        <w:ind w:left="3306" w:hanging="360"/>
      </w:pPr>
    </w:lvl>
    <w:lvl w:ilvl="4" w:tplc="3C0A0019" w:tentative="1">
      <w:start w:val="1"/>
      <w:numFmt w:val="lowerLetter"/>
      <w:lvlText w:val="%5."/>
      <w:lvlJc w:val="left"/>
      <w:pPr>
        <w:ind w:left="4026" w:hanging="360"/>
      </w:pPr>
    </w:lvl>
    <w:lvl w:ilvl="5" w:tplc="3C0A001B" w:tentative="1">
      <w:start w:val="1"/>
      <w:numFmt w:val="lowerRoman"/>
      <w:lvlText w:val="%6."/>
      <w:lvlJc w:val="right"/>
      <w:pPr>
        <w:ind w:left="4746" w:hanging="180"/>
      </w:pPr>
    </w:lvl>
    <w:lvl w:ilvl="6" w:tplc="3C0A000F" w:tentative="1">
      <w:start w:val="1"/>
      <w:numFmt w:val="decimal"/>
      <w:lvlText w:val="%7."/>
      <w:lvlJc w:val="left"/>
      <w:pPr>
        <w:ind w:left="5466" w:hanging="360"/>
      </w:pPr>
    </w:lvl>
    <w:lvl w:ilvl="7" w:tplc="3C0A0019" w:tentative="1">
      <w:start w:val="1"/>
      <w:numFmt w:val="lowerLetter"/>
      <w:lvlText w:val="%8."/>
      <w:lvlJc w:val="left"/>
      <w:pPr>
        <w:ind w:left="6186" w:hanging="360"/>
      </w:pPr>
    </w:lvl>
    <w:lvl w:ilvl="8" w:tplc="3C0A001B" w:tentative="1">
      <w:start w:val="1"/>
      <w:numFmt w:val="lowerRoman"/>
      <w:lvlText w:val="%9."/>
      <w:lvlJc w:val="right"/>
      <w:pPr>
        <w:ind w:left="6906" w:hanging="180"/>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901"/>
    <w:rsid w:val="00000BD6"/>
    <w:rsid w:val="00006E59"/>
    <w:rsid w:val="000229F9"/>
    <w:rsid w:val="0007239B"/>
    <w:rsid w:val="00083E4B"/>
    <w:rsid w:val="000926A5"/>
    <w:rsid w:val="00096E1E"/>
    <w:rsid w:val="000A5410"/>
    <w:rsid w:val="000A61A6"/>
    <w:rsid w:val="000D0D6D"/>
    <w:rsid w:val="000D3465"/>
    <w:rsid w:val="000F0F92"/>
    <w:rsid w:val="001066E7"/>
    <w:rsid w:val="00134023"/>
    <w:rsid w:val="0013559E"/>
    <w:rsid w:val="0014488A"/>
    <w:rsid w:val="00162AF4"/>
    <w:rsid w:val="00182E7D"/>
    <w:rsid w:val="00186F7C"/>
    <w:rsid w:val="00195B2C"/>
    <w:rsid w:val="001A19D0"/>
    <w:rsid w:val="001B31D6"/>
    <w:rsid w:val="001C09D7"/>
    <w:rsid w:val="001D0A7B"/>
    <w:rsid w:val="001E7946"/>
    <w:rsid w:val="002258B5"/>
    <w:rsid w:val="00226AB8"/>
    <w:rsid w:val="0023329E"/>
    <w:rsid w:val="00234F8F"/>
    <w:rsid w:val="00235223"/>
    <w:rsid w:val="00236A5E"/>
    <w:rsid w:val="00260C24"/>
    <w:rsid w:val="00272680"/>
    <w:rsid w:val="002E5BCC"/>
    <w:rsid w:val="00312D80"/>
    <w:rsid w:val="00314A81"/>
    <w:rsid w:val="00323029"/>
    <w:rsid w:val="00355485"/>
    <w:rsid w:val="0036659D"/>
    <w:rsid w:val="003A0E66"/>
    <w:rsid w:val="003B1B7B"/>
    <w:rsid w:val="003B5E55"/>
    <w:rsid w:val="003C6C94"/>
    <w:rsid w:val="003C70C5"/>
    <w:rsid w:val="003D146B"/>
    <w:rsid w:val="003E038B"/>
    <w:rsid w:val="003F12F7"/>
    <w:rsid w:val="003F1DF1"/>
    <w:rsid w:val="003F20E3"/>
    <w:rsid w:val="00401FDF"/>
    <w:rsid w:val="0042277E"/>
    <w:rsid w:val="00424F8E"/>
    <w:rsid w:val="00426D04"/>
    <w:rsid w:val="0045303A"/>
    <w:rsid w:val="004B3ED6"/>
    <w:rsid w:val="004C3050"/>
    <w:rsid w:val="004C4169"/>
    <w:rsid w:val="004D08B2"/>
    <w:rsid w:val="004E6E7E"/>
    <w:rsid w:val="004F03A3"/>
    <w:rsid w:val="005129DB"/>
    <w:rsid w:val="00513A71"/>
    <w:rsid w:val="00530DA1"/>
    <w:rsid w:val="0054177D"/>
    <w:rsid w:val="0054671D"/>
    <w:rsid w:val="00590178"/>
    <w:rsid w:val="005C72CF"/>
    <w:rsid w:val="005D6E69"/>
    <w:rsid w:val="005D7ED9"/>
    <w:rsid w:val="005E7B0D"/>
    <w:rsid w:val="005F2881"/>
    <w:rsid w:val="00605094"/>
    <w:rsid w:val="006265D8"/>
    <w:rsid w:val="00640AE4"/>
    <w:rsid w:val="00651535"/>
    <w:rsid w:val="00671E48"/>
    <w:rsid w:val="00672C16"/>
    <w:rsid w:val="00673807"/>
    <w:rsid w:val="00675CCB"/>
    <w:rsid w:val="006C4E03"/>
    <w:rsid w:val="006D65B5"/>
    <w:rsid w:val="006E65ED"/>
    <w:rsid w:val="006E75DB"/>
    <w:rsid w:val="006E7901"/>
    <w:rsid w:val="006F5925"/>
    <w:rsid w:val="00702419"/>
    <w:rsid w:val="00702CEC"/>
    <w:rsid w:val="00720298"/>
    <w:rsid w:val="00723703"/>
    <w:rsid w:val="00751823"/>
    <w:rsid w:val="00752CA1"/>
    <w:rsid w:val="00771F21"/>
    <w:rsid w:val="00774F50"/>
    <w:rsid w:val="007C6C5D"/>
    <w:rsid w:val="007F1EE5"/>
    <w:rsid w:val="007F2405"/>
    <w:rsid w:val="0082525A"/>
    <w:rsid w:val="00867EBE"/>
    <w:rsid w:val="008A146C"/>
    <w:rsid w:val="008C27DC"/>
    <w:rsid w:val="00912783"/>
    <w:rsid w:val="009263F4"/>
    <w:rsid w:val="0094075B"/>
    <w:rsid w:val="00963140"/>
    <w:rsid w:val="00991F78"/>
    <w:rsid w:val="009955C1"/>
    <w:rsid w:val="009A2E52"/>
    <w:rsid w:val="009C7DAD"/>
    <w:rsid w:val="009E119D"/>
    <w:rsid w:val="00A30CBE"/>
    <w:rsid w:val="00A76A2F"/>
    <w:rsid w:val="00AA4656"/>
    <w:rsid w:val="00AB0F08"/>
    <w:rsid w:val="00AE0C06"/>
    <w:rsid w:val="00B07A33"/>
    <w:rsid w:val="00B245C1"/>
    <w:rsid w:val="00B46C22"/>
    <w:rsid w:val="00B475EB"/>
    <w:rsid w:val="00B639FE"/>
    <w:rsid w:val="00B86A35"/>
    <w:rsid w:val="00BA525A"/>
    <w:rsid w:val="00BB6197"/>
    <w:rsid w:val="00BE6CDD"/>
    <w:rsid w:val="00C02419"/>
    <w:rsid w:val="00C15A40"/>
    <w:rsid w:val="00C24FB2"/>
    <w:rsid w:val="00C27434"/>
    <w:rsid w:val="00C542E4"/>
    <w:rsid w:val="00C5798E"/>
    <w:rsid w:val="00C611E9"/>
    <w:rsid w:val="00C96235"/>
    <w:rsid w:val="00C96C3A"/>
    <w:rsid w:val="00CF2E16"/>
    <w:rsid w:val="00CF6504"/>
    <w:rsid w:val="00D0140C"/>
    <w:rsid w:val="00D1193A"/>
    <w:rsid w:val="00D12A75"/>
    <w:rsid w:val="00D21C9E"/>
    <w:rsid w:val="00D344E3"/>
    <w:rsid w:val="00D35DE8"/>
    <w:rsid w:val="00D44652"/>
    <w:rsid w:val="00D467BE"/>
    <w:rsid w:val="00D5545D"/>
    <w:rsid w:val="00D72C0D"/>
    <w:rsid w:val="00DA5818"/>
    <w:rsid w:val="00E15197"/>
    <w:rsid w:val="00E16C04"/>
    <w:rsid w:val="00E301C1"/>
    <w:rsid w:val="00E448FD"/>
    <w:rsid w:val="00E81B38"/>
    <w:rsid w:val="00E82B2A"/>
    <w:rsid w:val="00E842A7"/>
    <w:rsid w:val="00E86A3F"/>
    <w:rsid w:val="00E90957"/>
    <w:rsid w:val="00E957C5"/>
    <w:rsid w:val="00E969DF"/>
    <w:rsid w:val="00EA17DB"/>
    <w:rsid w:val="00ED4794"/>
    <w:rsid w:val="00F27B0F"/>
    <w:rsid w:val="00F42960"/>
    <w:rsid w:val="00F644F9"/>
    <w:rsid w:val="00F94597"/>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A0D63"/>
  <w15:docId w15:val="{0BA76B63-5B3B-4E45-937F-5D3F96BA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PY" w:eastAsia="es-P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Ttulo1">
    <w:name w:val="heading 1"/>
    <w:basedOn w:val="Prrafodelista"/>
    <w:next w:val="Normal"/>
    <w:link w:val="Ttulo1Car"/>
    <w:uiPriority w:val="9"/>
    <w:unhideWhenUsed/>
    <w:qFormat/>
    <w:rsid w:val="004D08B2"/>
    <w:pPr>
      <w:numPr>
        <w:numId w:val="1"/>
      </w:numPr>
      <w:spacing w:line="360" w:lineRule="auto"/>
      <w:jc w:val="both"/>
      <w:outlineLvl w:val="0"/>
    </w:pPr>
    <w:rPr>
      <w:rFonts w:ascii="Times New Roman" w:hAnsi="Times New Roman" w:cs="Times New Roman"/>
      <w:b/>
      <w:sz w:val="24"/>
      <w:szCs w:val="24"/>
    </w:rPr>
  </w:style>
  <w:style w:type="paragraph" w:styleId="Ttulo2">
    <w:name w:val="heading 2"/>
    <w:basedOn w:val="Ttulo3"/>
    <w:next w:val="Normal"/>
    <w:link w:val="Ttulo2Car"/>
    <w:uiPriority w:val="9"/>
    <w:unhideWhenUsed/>
    <w:qFormat/>
    <w:rsid w:val="00D344E3"/>
    <w:pPr>
      <w:numPr>
        <w:ilvl w:val="0"/>
        <w:numId w:val="0"/>
      </w:numPr>
      <w:spacing w:after="120" w:line="276" w:lineRule="auto"/>
      <w:ind w:left="426"/>
      <w:outlineLvl w:val="1"/>
    </w:pPr>
  </w:style>
  <w:style w:type="paragraph" w:styleId="Ttulo3">
    <w:name w:val="heading 3"/>
    <w:basedOn w:val="Prrafodelista"/>
    <w:next w:val="Normal"/>
    <w:link w:val="Ttulo3Car"/>
    <w:uiPriority w:val="9"/>
    <w:unhideWhenUsed/>
    <w:qFormat/>
    <w:rsid w:val="00E90957"/>
    <w:pPr>
      <w:numPr>
        <w:ilvl w:val="1"/>
        <w:numId w:val="2"/>
      </w:numPr>
      <w:spacing w:line="360" w:lineRule="auto"/>
      <w:jc w:val="both"/>
      <w:outlineLvl w:val="2"/>
    </w:pPr>
    <w:rPr>
      <w:rFonts w:ascii="Times New Roman" w:hAnsi="Times New Roman" w:cs="Times New Roman"/>
      <w:b/>
      <w:sz w:val="24"/>
      <w:szCs w:val="24"/>
    </w:rPr>
  </w:style>
  <w:style w:type="paragraph" w:styleId="Ttulo4">
    <w:name w:val="heading 4"/>
    <w:basedOn w:val="Normal"/>
    <w:next w:val="Normal"/>
    <w:link w:val="Ttulo4Car"/>
    <w:uiPriority w:val="9"/>
    <w:unhideWhenUsed/>
    <w:qFormat/>
    <w:rsid w:val="002E5BC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D344E3"/>
    <w:rPr>
      <w:rFonts w:ascii="Times New Roman" w:eastAsiaTheme="minorHAnsi" w:hAnsi="Times New Roman" w:cs="Times New Roman"/>
      <w:b/>
      <w:sz w:val="24"/>
      <w:szCs w:val="24"/>
      <w:lang w:val="es-AR" w:eastAsia="en-US"/>
    </w:rPr>
  </w:style>
  <w:style w:type="character" w:customStyle="1" w:styleId="Ttulo1Car">
    <w:name w:val="Título 1 Car"/>
    <w:link w:val="Ttulo1"/>
    <w:uiPriority w:val="9"/>
    <w:rsid w:val="004D08B2"/>
    <w:rPr>
      <w:rFonts w:ascii="Times New Roman" w:eastAsiaTheme="minorHAnsi" w:hAnsi="Times New Roman" w:cs="Times New Roman"/>
      <w:b/>
      <w:sz w:val="24"/>
      <w:szCs w:val="24"/>
      <w:lang w:val="es-AR" w:eastAsia="en-US"/>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14488A"/>
    <w:pPr>
      <w:ind w:left="720"/>
      <w:contextualSpacing/>
    </w:pPr>
    <w:rPr>
      <w:rFonts w:asciiTheme="minorHAnsi" w:eastAsiaTheme="minorHAnsi" w:hAnsiTheme="minorHAnsi" w:cstheme="minorBidi"/>
      <w:color w:val="auto"/>
      <w:lang w:val="es-AR" w:eastAsia="en-US"/>
    </w:rPr>
  </w:style>
  <w:style w:type="paragraph" w:styleId="Textonotapie">
    <w:name w:val="footnote text"/>
    <w:basedOn w:val="Normal"/>
    <w:link w:val="TextonotapieCar"/>
    <w:uiPriority w:val="99"/>
    <w:unhideWhenUsed/>
    <w:rsid w:val="0014488A"/>
    <w:pPr>
      <w:spacing w:after="0" w:line="240" w:lineRule="auto"/>
    </w:pPr>
    <w:rPr>
      <w:sz w:val="20"/>
      <w:szCs w:val="20"/>
    </w:rPr>
  </w:style>
  <w:style w:type="character" w:customStyle="1" w:styleId="TextonotapieCar">
    <w:name w:val="Texto nota pie Car"/>
    <w:basedOn w:val="Fuentedeprrafopredeter"/>
    <w:link w:val="Textonotapie"/>
    <w:uiPriority w:val="99"/>
    <w:rsid w:val="0014488A"/>
    <w:rPr>
      <w:rFonts w:ascii="Calibri" w:eastAsia="Calibri" w:hAnsi="Calibri" w:cs="Calibri"/>
      <w:color w:val="000000"/>
      <w:sz w:val="20"/>
      <w:szCs w:val="20"/>
    </w:rPr>
  </w:style>
  <w:style w:type="character" w:styleId="Refdenotaalpie">
    <w:name w:val="footnote reference"/>
    <w:basedOn w:val="Fuentedeprrafopredeter"/>
    <w:uiPriority w:val="99"/>
    <w:unhideWhenUsed/>
    <w:rsid w:val="0014488A"/>
    <w:rPr>
      <w:vertAlign w:val="superscript"/>
    </w:rPr>
  </w:style>
  <w:style w:type="character" w:customStyle="1" w:styleId="Ttulo3Car">
    <w:name w:val="Título 3 Car"/>
    <w:basedOn w:val="Fuentedeprrafopredeter"/>
    <w:link w:val="Ttulo3"/>
    <w:uiPriority w:val="9"/>
    <w:rsid w:val="00E90957"/>
    <w:rPr>
      <w:rFonts w:ascii="Times New Roman" w:eastAsiaTheme="minorHAnsi" w:hAnsi="Times New Roman" w:cs="Times New Roman"/>
      <w:b/>
      <w:sz w:val="24"/>
      <w:szCs w:val="24"/>
      <w:lang w:val="es-AR" w:eastAsia="en-US"/>
    </w:rPr>
  </w:style>
  <w:style w:type="paragraph" w:styleId="NormalWeb">
    <w:name w:val="Normal (Web)"/>
    <w:basedOn w:val="Normal"/>
    <w:uiPriority w:val="99"/>
    <w:unhideWhenUsed/>
    <w:rsid w:val="003E038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Psubttulo">
    <w:name w:val="SP subtítulo"/>
    <w:basedOn w:val="Normal"/>
    <w:rsid w:val="0042277E"/>
    <w:pPr>
      <w:tabs>
        <w:tab w:val="left" w:pos="720"/>
      </w:tabs>
      <w:spacing w:before="240" w:after="120" w:line="240" w:lineRule="auto"/>
      <w:jc w:val="both"/>
    </w:pPr>
    <w:rPr>
      <w:rFonts w:ascii="Arial" w:eastAsia="Times New Roman" w:hAnsi="Arial" w:cs="Arial"/>
      <w:color w:val="auto"/>
      <w:lang w:val="es-ES_tradnl" w:eastAsia="es-ES"/>
    </w:rPr>
  </w:style>
  <w:style w:type="paragraph" w:customStyle="1" w:styleId="parrafo">
    <w:name w:val="parrafo"/>
    <w:basedOn w:val="Normal"/>
    <w:rsid w:val="0042277E"/>
    <w:pPr>
      <w:widowControl w:val="0"/>
      <w:tabs>
        <w:tab w:val="left" w:pos="360"/>
      </w:tabs>
      <w:spacing w:after="240" w:line="260" w:lineRule="exact"/>
      <w:jc w:val="both"/>
    </w:pPr>
    <w:rPr>
      <w:rFonts w:ascii="Arial" w:eastAsia="Times New Roman" w:hAnsi="Arial" w:cs="Times New Roman"/>
      <w:color w:val="auto"/>
      <w:sz w:val="20"/>
      <w:szCs w:val="20"/>
      <w:lang w:val="es-ES_tradnl" w:eastAsia="es-ES"/>
    </w:rPr>
  </w:style>
  <w:style w:type="paragraph" w:customStyle="1" w:styleId="my-0">
    <w:name w:val="my-0"/>
    <w:basedOn w:val="Normal"/>
    <w:rsid w:val="00186F7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Textoennegrita">
    <w:name w:val="Strong"/>
    <w:basedOn w:val="Fuentedeprrafopredeter"/>
    <w:uiPriority w:val="22"/>
    <w:qFormat/>
    <w:rsid w:val="00186F7C"/>
    <w:rPr>
      <w:b/>
      <w:bCs/>
    </w:rPr>
  </w:style>
  <w:style w:type="paragraph" w:styleId="Sinespaciado">
    <w:name w:val="No Spacing"/>
    <w:uiPriority w:val="1"/>
    <w:qFormat/>
    <w:rsid w:val="00590178"/>
    <w:pPr>
      <w:spacing w:after="0" w:line="240" w:lineRule="auto"/>
    </w:pPr>
    <w:rPr>
      <w:rFonts w:ascii="Calibri" w:eastAsia="Calibri" w:hAnsi="Calibri" w:cs="Calibri"/>
      <w:color w:val="000000"/>
    </w:rPr>
  </w:style>
  <w:style w:type="character" w:customStyle="1" w:styleId="label">
    <w:name w:val="label"/>
    <w:basedOn w:val="Fuentedeprrafopredeter"/>
    <w:rsid w:val="005F2881"/>
  </w:style>
  <w:style w:type="paragraph" w:customStyle="1" w:styleId="my-2">
    <w:name w:val="my-2"/>
    <w:basedOn w:val="Normal"/>
    <w:rsid w:val="005F288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itation">
    <w:name w:val="citation"/>
    <w:basedOn w:val="Fuentedeprrafopredeter"/>
    <w:rsid w:val="005F2881"/>
  </w:style>
  <w:style w:type="character" w:styleId="Hipervnculo">
    <w:name w:val="Hyperlink"/>
    <w:basedOn w:val="Fuentedeprrafopredeter"/>
    <w:uiPriority w:val="99"/>
    <w:unhideWhenUsed/>
    <w:rsid w:val="005F2881"/>
    <w:rPr>
      <w:color w:val="0000FF"/>
      <w:u w:val="single"/>
    </w:rPr>
  </w:style>
  <w:style w:type="character" w:customStyle="1" w:styleId="relative">
    <w:name w:val="relative"/>
    <w:basedOn w:val="Fuentedeprrafopredeter"/>
    <w:rsid w:val="005F2881"/>
  </w:style>
  <w:style w:type="character" w:customStyle="1" w:styleId="opacity-50">
    <w:name w:val="opacity-50"/>
    <w:basedOn w:val="Fuentedeprrafopredeter"/>
    <w:rsid w:val="005F2881"/>
  </w:style>
  <w:style w:type="character" w:styleId="CdigoHTML">
    <w:name w:val="HTML Code"/>
    <w:basedOn w:val="Fuentedeprrafopredeter"/>
    <w:uiPriority w:val="99"/>
    <w:semiHidden/>
    <w:unhideWhenUsed/>
    <w:rsid w:val="006F5925"/>
    <w:rPr>
      <w:rFonts w:ascii="Courier New" w:eastAsia="Times New Roman" w:hAnsi="Courier New" w:cs="Courier New"/>
      <w:sz w:val="20"/>
      <w:szCs w:val="20"/>
    </w:rPr>
  </w:style>
  <w:style w:type="character" w:styleId="nfasis">
    <w:name w:val="Emphasis"/>
    <w:basedOn w:val="Fuentedeprrafopredeter"/>
    <w:uiPriority w:val="20"/>
    <w:qFormat/>
    <w:rsid w:val="00236A5E"/>
    <w:rPr>
      <w:i/>
      <w:iCs/>
    </w:rPr>
  </w:style>
  <w:style w:type="character" w:styleId="Hipervnculovisitado">
    <w:name w:val="FollowedHyperlink"/>
    <w:basedOn w:val="Fuentedeprrafopredeter"/>
    <w:uiPriority w:val="99"/>
    <w:semiHidden/>
    <w:unhideWhenUsed/>
    <w:rsid w:val="00182E7D"/>
    <w:rPr>
      <w:color w:val="954F72" w:themeColor="followedHyperlink"/>
      <w:u w:val="single"/>
    </w:rPr>
  </w:style>
  <w:style w:type="character" w:customStyle="1" w:styleId="Ttulo4Car">
    <w:name w:val="Título 4 Car"/>
    <w:basedOn w:val="Fuentedeprrafopredeter"/>
    <w:link w:val="Ttulo4"/>
    <w:uiPriority w:val="9"/>
    <w:rsid w:val="002E5BCC"/>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15479">
      <w:bodyDiv w:val="1"/>
      <w:marLeft w:val="0"/>
      <w:marRight w:val="0"/>
      <w:marTop w:val="0"/>
      <w:marBottom w:val="0"/>
      <w:divBdr>
        <w:top w:val="none" w:sz="0" w:space="0" w:color="auto"/>
        <w:left w:val="none" w:sz="0" w:space="0" w:color="auto"/>
        <w:bottom w:val="none" w:sz="0" w:space="0" w:color="auto"/>
        <w:right w:val="none" w:sz="0" w:space="0" w:color="auto"/>
      </w:divBdr>
    </w:div>
    <w:div w:id="104080168">
      <w:bodyDiv w:val="1"/>
      <w:marLeft w:val="0"/>
      <w:marRight w:val="0"/>
      <w:marTop w:val="0"/>
      <w:marBottom w:val="0"/>
      <w:divBdr>
        <w:top w:val="none" w:sz="0" w:space="0" w:color="auto"/>
        <w:left w:val="none" w:sz="0" w:space="0" w:color="auto"/>
        <w:bottom w:val="none" w:sz="0" w:space="0" w:color="auto"/>
        <w:right w:val="none" w:sz="0" w:space="0" w:color="auto"/>
      </w:divBdr>
      <w:divsChild>
        <w:div w:id="1908297071">
          <w:marLeft w:val="0"/>
          <w:marRight w:val="0"/>
          <w:marTop w:val="0"/>
          <w:marBottom w:val="0"/>
          <w:divBdr>
            <w:top w:val="none" w:sz="0" w:space="0" w:color="auto"/>
            <w:left w:val="none" w:sz="0" w:space="0" w:color="auto"/>
            <w:bottom w:val="none" w:sz="0" w:space="0" w:color="auto"/>
            <w:right w:val="none" w:sz="0" w:space="0" w:color="auto"/>
          </w:divBdr>
        </w:div>
      </w:divsChild>
    </w:div>
    <w:div w:id="296299357">
      <w:bodyDiv w:val="1"/>
      <w:marLeft w:val="0"/>
      <w:marRight w:val="0"/>
      <w:marTop w:val="0"/>
      <w:marBottom w:val="0"/>
      <w:divBdr>
        <w:top w:val="none" w:sz="0" w:space="0" w:color="auto"/>
        <w:left w:val="none" w:sz="0" w:space="0" w:color="auto"/>
        <w:bottom w:val="none" w:sz="0" w:space="0" w:color="auto"/>
        <w:right w:val="none" w:sz="0" w:space="0" w:color="auto"/>
      </w:divBdr>
      <w:divsChild>
        <w:div w:id="2074695053">
          <w:marLeft w:val="0"/>
          <w:marRight w:val="0"/>
          <w:marTop w:val="0"/>
          <w:marBottom w:val="0"/>
          <w:divBdr>
            <w:top w:val="none" w:sz="0" w:space="0" w:color="auto"/>
            <w:left w:val="none" w:sz="0" w:space="0" w:color="auto"/>
            <w:bottom w:val="none" w:sz="0" w:space="0" w:color="auto"/>
            <w:right w:val="none" w:sz="0" w:space="0" w:color="auto"/>
          </w:divBdr>
          <w:divsChild>
            <w:div w:id="16925977">
              <w:marLeft w:val="0"/>
              <w:marRight w:val="0"/>
              <w:marTop w:val="0"/>
              <w:marBottom w:val="0"/>
              <w:divBdr>
                <w:top w:val="none" w:sz="0" w:space="0" w:color="auto"/>
                <w:left w:val="none" w:sz="0" w:space="0" w:color="auto"/>
                <w:bottom w:val="none" w:sz="0" w:space="0" w:color="auto"/>
                <w:right w:val="none" w:sz="0" w:space="0" w:color="auto"/>
              </w:divBdr>
              <w:divsChild>
                <w:div w:id="530193406">
                  <w:blockQuote w:val="1"/>
                  <w:marLeft w:val="720"/>
                  <w:marRight w:val="720"/>
                  <w:marTop w:val="100"/>
                  <w:marBottom w:val="100"/>
                  <w:divBdr>
                    <w:top w:val="none" w:sz="0" w:space="0" w:color="auto"/>
                    <w:left w:val="none" w:sz="0" w:space="0" w:color="auto"/>
                    <w:bottom w:val="none" w:sz="0" w:space="0" w:color="auto"/>
                    <w:right w:val="none" w:sz="0" w:space="0" w:color="auto"/>
                  </w:divBdr>
                </w:div>
                <w:div w:id="668362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25001342">
      <w:bodyDiv w:val="1"/>
      <w:marLeft w:val="0"/>
      <w:marRight w:val="0"/>
      <w:marTop w:val="0"/>
      <w:marBottom w:val="0"/>
      <w:divBdr>
        <w:top w:val="none" w:sz="0" w:space="0" w:color="auto"/>
        <w:left w:val="none" w:sz="0" w:space="0" w:color="auto"/>
        <w:bottom w:val="none" w:sz="0" w:space="0" w:color="auto"/>
        <w:right w:val="none" w:sz="0" w:space="0" w:color="auto"/>
      </w:divBdr>
    </w:div>
    <w:div w:id="471944432">
      <w:bodyDiv w:val="1"/>
      <w:marLeft w:val="0"/>
      <w:marRight w:val="0"/>
      <w:marTop w:val="0"/>
      <w:marBottom w:val="0"/>
      <w:divBdr>
        <w:top w:val="none" w:sz="0" w:space="0" w:color="auto"/>
        <w:left w:val="none" w:sz="0" w:space="0" w:color="auto"/>
        <w:bottom w:val="none" w:sz="0" w:space="0" w:color="auto"/>
        <w:right w:val="none" w:sz="0" w:space="0" w:color="auto"/>
      </w:divBdr>
    </w:div>
    <w:div w:id="494226220">
      <w:bodyDiv w:val="1"/>
      <w:marLeft w:val="0"/>
      <w:marRight w:val="0"/>
      <w:marTop w:val="0"/>
      <w:marBottom w:val="0"/>
      <w:divBdr>
        <w:top w:val="none" w:sz="0" w:space="0" w:color="auto"/>
        <w:left w:val="none" w:sz="0" w:space="0" w:color="auto"/>
        <w:bottom w:val="none" w:sz="0" w:space="0" w:color="auto"/>
        <w:right w:val="none" w:sz="0" w:space="0" w:color="auto"/>
      </w:divBdr>
    </w:div>
    <w:div w:id="553388989">
      <w:bodyDiv w:val="1"/>
      <w:marLeft w:val="0"/>
      <w:marRight w:val="0"/>
      <w:marTop w:val="0"/>
      <w:marBottom w:val="0"/>
      <w:divBdr>
        <w:top w:val="none" w:sz="0" w:space="0" w:color="auto"/>
        <w:left w:val="none" w:sz="0" w:space="0" w:color="auto"/>
        <w:bottom w:val="none" w:sz="0" w:space="0" w:color="auto"/>
        <w:right w:val="none" w:sz="0" w:space="0" w:color="auto"/>
      </w:divBdr>
    </w:div>
    <w:div w:id="746003339">
      <w:bodyDiv w:val="1"/>
      <w:marLeft w:val="0"/>
      <w:marRight w:val="0"/>
      <w:marTop w:val="0"/>
      <w:marBottom w:val="0"/>
      <w:divBdr>
        <w:top w:val="none" w:sz="0" w:space="0" w:color="auto"/>
        <w:left w:val="none" w:sz="0" w:space="0" w:color="auto"/>
        <w:bottom w:val="none" w:sz="0" w:space="0" w:color="auto"/>
        <w:right w:val="none" w:sz="0" w:space="0" w:color="auto"/>
      </w:divBdr>
    </w:div>
    <w:div w:id="769399482">
      <w:bodyDiv w:val="1"/>
      <w:marLeft w:val="0"/>
      <w:marRight w:val="0"/>
      <w:marTop w:val="0"/>
      <w:marBottom w:val="0"/>
      <w:divBdr>
        <w:top w:val="none" w:sz="0" w:space="0" w:color="auto"/>
        <w:left w:val="none" w:sz="0" w:space="0" w:color="auto"/>
        <w:bottom w:val="none" w:sz="0" w:space="0" w:color="auto"/>
        <w:right w:val="none" w:sz="0" w:space="0" w:color="auto"/>
      </w:divBdr>
    </w:div>
    <w:div w:id="798576183">
      <w:bodyDiv w:val="1"/>
      <w:marLeft w:val="0"/>
      <w:marRight w:val="0"/>
      <w:marTop w:val="0"/>
      <w:marBottom w:val="0"/>
      <w:divBdr>
        <w:top w:val="none" w:sz="0" w:space="0" w:color="auto"/>
        <w:left w:val="none" w:sz="0" w:space="0" w:color="auto"/>
        <w:bottom w:val="none" w:sz="0" w:space="0" w:color="auto"/>
        <w:right w:val="none" w:sz="0" w:space="0" w:color="auto"/>
      </w:divBdr>
    </w:div>
    <w:div w:id="852232815">
      <w:bodyDiv w:val="1"/>
      <w:marLeft w:val="0"/>
      <w:marRight w:val="0"/>
      <w:marTop w:val="0"/>
      <w:marBottom w:val="0"/>
      <w:divBdr>
        <w:top w:val="none" w:sz="0" w:space="0" w:color="auto"/>
        <w:left w:val="none" w:sz="0" w:space="0" w:color="auto"/>
        <w:bottom w:val="none" w:sz="0" w:space="0" w:color="auto"/>
        <w:right w:val="none" w:sz="0" w:space="0" w:color="auto"/>
      </w:divBdr>
    </w:div>
    <w:div w:id="862745422">
      <w:bodyDiv w:val="1"/>
      <w:marLeft w:val="0"/>
      <w:marRight w:val="0"/>
      <w:marTop w:val="0"/>
      <w:marBottom w:val="0"/>
      <w:divBdr>
        <w:top w:val="none" w:sz="0" w:space="0" w:color="auto"/>
        <w:left w:val="none" w:sz="0" w:space="0" w:color="auto"/>
        <w:bottom w:val="none" w:sz="0" w:space="0" w:color="auto"/>
        <w:right w:val="none" w:sz="0" w:space="0" w:color="auto"/>
      </w:divBdr>
    </w:div>
    <w:div w:id="984091264">
      <w:bodyDiv w:val="1"/>
      <w:marLeft w:val="0"/>
      <w:marRight w:val="0"/>
      <w:marTop w:val="0"/>
      <w:marBottom w:val="0"/>
      <w:divBdr>
        <w:top w:val="none" w:sz="0" w:space="0" w:color="auto"/>
        <w:left w:val="none" w:sz="0" w:space="0" w:color="auto"/>
        <w:bottom w:val="none" w:sz="0" w:space="0" w:color="auto"/>
        <w:right w:val="none" w:sz="0" w:space="0" w:color="auto"/>
      </w:divBdr>
      <w:divsChild>
        <w:div w:id="1945913462">
          <w:marLeft w:val="0"/>
          <w:marRight w:val="0"/>
          <w:marTop w:val="0"/>
          <w:marBottom w:val="0"/>
          <w:divBdr>
            <w:top w:val="single" w:sz="2" w:space="0" w:color="auto"/>
            <w:left w:val="single" w:sz="2" w:space="0" w:color="auto"/>
            <w:bottom w:val="single" w:sz="2" w:space="0" w:color="auto"/>
            <w:right w:val="single" w:sz="2" w:space="0" w:color="auto"/>
          </w:divBdr>
          <w:divsChild>
            <w:div w:id="1803381687">
              <w:marLeft w:val="0"/>
              <w:marRight w:val="0"/>
              <w:marTop w:val="0"/>
              <w:marBottom w:val="0"/>
              <w:divBdr>
                <w:top w:val="single" w:sz="2" w:space="0" w:color="auto"/>
                <w:left w:val="single" w:sz="2" w:space="0" w:color="auto"/>
                <w:bottom w:val="single" w:sz="2" w:space="0" w:color="auto"/>
                <w:right w:val="single" w:sz="2" w:space="0" w:color="auto"/>
              </w:divBdr>
              <w:divsChild>
                <w:div w:id="1432050450">
                  <w:marLeft w:val="0"/>
                  <w:marRight w:val="0"/>
                  <w:marTop w:val="0"/>
                  <w:marBottom w:val="0"/>
                  <w:divBdr>
                    <w:top w:val="single" w:sz="2" w:space="0" w:color="auto"/>
                    <w:left w:val="single" w:sz="2" w:space="0" w:color="auto"/>
                    <w:bottom w:val="single" w:sz="2" w:space="0" w:color="auto"/>
                    <w:right w:val="single" w:sz="2" w:space="0" w:color="auto"/>
                  </w:divBdr>
                  <w:divsChild>
                    <w:div w:id="407188647">
                      <w:marLeft w:val="0"/>
                      <w:marRight w:val="0"/>
                      <w:marTop w:val="0"/>
                      <w:marBottom w:val="0"/>
                      <w:divBdr>
                        <w:top w:val="single" w:sz="2" w:space="0" w:color="auto"/>
                        <w:left w:val="single" w:sz="2" w:space="0" w:color="auto"/>
                        <w:bottom w:val="single" w:sz="2" w:space="0" w:color="auto"/>
                        <w:right w:val="single" w:sz="2" w:space="0" w:color="auto"/>
                      </w:divBdr>
                      <w:divsChild>
                        <w:div w:id="2113352445">
                          <w:marLeft w:val="0"/>
                          <w:marRight w:val="0"/>
                          <w:marTop w:val="0"/>
                          <w:marBottom w:val="0"/>
                          <w:divBdr>
                            <w:top w:val="single" w:sz="2" w:space="0" w:color="auto"/>
                            <w:left w:val="single" w:sz="2" w:space="0" w:color="auto"/>
                            <w:bottom w:val="single" w:sz="2" w:space="0" w:color="auto"/>
                            <w:right w:val="single" w:sz="2" w:space="0" w:color="auto"/>
                          </w:divBdr>
                          <w:divsChild>
                            <w:div w:id="1612394219">
                              <w:marLeft w:val="0"/>
                              <w:marRight w:val="0"/>
                              <w:marTop w:val="0"/>
                              <w:marBottom w:val="0"/>
                              <w:divBdr>
                                <w:top w:val="single" w:sz="2" w:space="6" w:color="auto"/>
                                <w:left w:val="single" w:sz="2" w:space="0" w:color="auto"/>
                                <w:bottom w:val="single" w:sz="2" w:space="0" w:color="auto"/>
                                <w:right w:val="single" w:sz="2" w:space="0" w:color="auto"/>
                              </w:divBdr>
                              <w:divsChild>
                                <w:div w:id="1216427264">
                                  <w:marLeft w:val="0"/>
                                  <w:marRight w:val="0"/>
                                  <w:marTop w:val="0"/>
                                  <w:marBottom w:val="0"/>
                                  <w:divBdr>
                                    <w:top w:val="single" w:sz="2" w:space="0" w:color="auto"/>
                                    <w:left w:val="single" w:sz="2" w:space="12" w:color="auto"/>
                                    <w:bottom w:val="single" w:sz="2" w:space="0" w:color="auto"/>
                                    <w:right w:val="single" w:sz="2" w:space="12" w:color="auto"/>
                                  </w:divBdr>
                                  <w:divsChild>
                                    <w:div w:id="1046636316">
                                      <w:marLeft w:val="0"/>
                                      <w:marRight w:val="0"/>
                                      <w:marTop w:val="0"/>
                                      <w:marBottom w:val="0"/>
                                      <w:divBdr>
                                        <w:top w:val="single" w:sz="2" w:space="0" w:color="auto"/>
                                        <w:left w:val="single" w:sz="2" w:space="0" w:color="auto"/>
                                        <w:bottom w:val="single" w:sz="6" w:space="0" w:color="auto"/>
                                        <w:right w:val="single" w:sz="2" w:space="0" w:color="auto"/>
                                      </w:divBdr>
                                      <w:divsChild>
                                        <w:div w:id="1845241900">
                                          <w:marLeft w:val="0"/>
                                          <w:marRight w:val="0"/>
                                          <w:marTop w:val="0"/>
                                          <w:marBottom w:val="0"/>
                                          <w:divBdr>
                                            <w:top w:val="single" w:sz="2" w:space="0" w:color="auto"/>
                                            <w:left w:val="single" w:sz="2" w:space="0" w:color="auto"/>
                                            <w:bottom w:val="single" w:sz="2" w:space="0" w:color="auto"/>
                                            <w:right w:val="single" w:sz="2" w:space="0" w:color="auto"/>
                                          </w:divBdr>
                                          <w:divsChild>
                                            <w:div w:id="32315029">
                                              <w:marLeft w:val="0"/>
                                              <w:marRight w:val="0"/>
                                              <w:marTop w:val="0"/>
                                              <w:marBottom w:val="0"/>
                                              <w:divBdr>
                                                <w:top w:val="single" w:sz="2" w:space="0" w:color="auto"/>
                                                <w:left w:val="single" w:sz="2" w:space="0" w:color="auto"/>
                                                <w:bottom w:val="single" w:sz="2" w:space="0" w:color="auto"/>
                                                <w:right w:val="single" w:sz="2" w:space="0" w:color="auto"/>
                                              </w:divBdr>
                                              <w:divsChild>
                                                <w:div w:id="935098400">
                                                  <w:marLeft w:val="0"/>
                                                  <w:marRight w:val="0"/>
                                                  <w:marTop w:val="0"/>
                                                  <w:marBottom w:val="0"/>
                                                  <w:divBdr>
                                                    <w:top w:val="single" w:sz="2" w:space="0" w:color="auto"/>
                                                    <w:left w:val="single" w:sz="2" w:space="0" w:color="auto"/>
                                                    <w:bottom w:val="single" w:sz="2" w:space="0" w:color="auto"/>
                                                    <w:right w:val="single" w:sz="2" w:space="0" w:color="auto"/>
                                                  </w:divBdr>
                                                  <w:divsChild>
                                                    <w:div w:id="1407143402">
                                                      <w:marLeft w:val="0"/>
                                                      <w:marRight w:val="0"/>
                                                      <w:marTop w:val="0"/>
                                                      <w:marBottom w:val="0"/>
                                                      <w:divBdr>
                                                        <w:top w:val="single" w:sz="2" w:space="0" w:color="auto"/>
                                                        <w:left w:val="single" w:sz="2" w:space="0" w:color="auto"/>
                                                        <w:bottom w:val="single" w:sz="2" w:space="0" w:color="auto"/>
                                                        <w:right w:val="single" w:sz="2" w:space="0" w:color="auto"/>
                                                      </w:divBdr>
                                                      <w:divsChild>
                                                        <w:div w:id="1065836016">
                                                          <w:marLeft w:val="0"/>
                                                          <w:marRight w:val="0"/>
                                                          <w:marTop w:val="0"/>
                                                          <w:marBottom w:val="0"/>
                                                          <w:divBdr>
                                                            <w:top w:val="single" w:sz="2" w:space="0" w:color="auto"/>
                                                            <w:left w:val="single" w:sz="2" w:space="0" w:color="auto"/>
                                                            <w:bottom w:val="single" w:sz="2" w:space="0" w:color="auto"/>
                                                            <w:right w:val="single" w:sz="2" w:space="0" w:color="auto"/>
                                                          </w:divBdr>
                                                          <w:divsChild>
                                                            <w:div w:id="943342782">
                                                              <w:marLeft w:val="0"/>
                                                              <w:marRight w:val="0"/>
                                                              <w:marTop w:val="0"/>
                                                              <w:marBottom w:val="0"/>
                                                              <w:divBdr>
                                                                <w:top w:val="single" w:sz="2" w:space="0" w:color="auto"/>
                                                                <w:left w:val="single" w:sz="2" w:space="0" w:color="auto"/>
                                                                <w:bottom w:val="single" w:sz="2" w:space="0" w:color="auto"/>
                                                                <w:right w:val="single" w:sz="2" w:space="0" w:color="auto"/>
                                                              </w:divBdr>
                                                              <w:divsChild>
                                                                <w:div w:id="1308900741">
                                                                  <w:marLeft w:val="0"/>
                                                                  <w:marRight w:val="0"/>
                                                                  <w:marTop w:val="0"/>
                                                                  <w:marBottom w:val="0"/>
                                                                  <w:divBdr>
                                                                    <w:top w:val="single" w:sz="2" w:space="0" w:color="auto"/>
                                                                    <w:left w:val="single" w:sz="2" w:space="0" w:color="auto"/>
                                                                    <w:bottom w:val="single" w:sz="2" w:space="0" w:color="auto"/>
                                                                    <w:right w:val="single" w:sz="2" w:space="0" w:color="auto"/>
                                                                  </w:divBdr>
                                                                  <w:divsChild>
                                                                    <w:div w:id="1380086003">
                                                                      <w:marLeft w:val="0"/>
                                                                      <w:marRight w:val="0"/>
                                                                      <w:marTop w:val="0"/>
                                                                      <w:marBottom w:val="0"/>
                                                                      <w:divBdr>
                                                                        <w:top w:val="single" w:sz="2" w:space="0" w:color="auto"/>
                                                                        <w:left w:val="single" w:sz="2" w:space="0" w:color="auto"/>
                                                                        <w:bottom w:val="single" w:sz="2" w:space="0" w:color="auto"/>
                                                                        <w:right w:val="single" w:sz="2" w:space="0" w:color="auto"/>
                                                                      </w:divBdr>
                                                                      <w:divsChild>
                                                                        <w:div w:id="63573979">
                                                                          <w:marLeft w:val="0"/>
                                                                          <w:marRight w:val="0"/>
                                                                          <w:marTop w:val="0"/>
                                                                          <w:marBottom w:val="0"/>
                                                                          <w:divBdr>
                                                                            <w:top w:val="single" w:sz="2" w:space="0" w:color="auto"/>
                                                                            <w:left w:val="single" w:sz="2" w:space="0" w:color="auto"/>
                                                                            <w:bottom w:val="single" w:sz="2" w:space="0" w:color="auto"/>
                                                                            <w:right w:val="single" w:sz="2" w:space="0" w:color="auto"/>
                                                                          </w:divBdr>
                                                                          <w:divsChild>
                                                                            <w:div w:id="13917357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 w:id="1575820589">
                      <w:marLeft w:val="0"/>
                      <w:marRight w:val="0"/>
                      <w:marTop w:val="0"/>
                      <w:marBottom w:val="0"/>
                      <w:divBdr>
                        <w:top w:val="single" w:sz="2" w:space="0" w:color="auto"/>
                        <w:left w:val="single" w:sz="2" w:space="0" w:color="auto"/>
                        <w:bottom w:val="single" w:sz="2" w:space="0" w:color="auto"/>
                        <w:right w:val="single" w:sz="2" w:space="0" w:color="auto"/>
                      </w:divBdr>
                      <w:divsChild>
                        <w:div w:id="240406536">
                          <w:marLeft w:val="0"/>
                          <w:marRight w:val="0"/>
                          <w:marTop w:val="0"/>
                          <w:marBottom w:val="0"/>
                          <w:divBdr>
                            <w:top w:val="single" w:sz="2" w:space="0" w:color="auto"/>
                            <w:left w:val="single" w:sz="2" w:space="0" w:color="auto"/>
                            <w:bottom w:val="single" w:sz="2" w:space="0" w:color="auto"/>
                            <w:right w:val="single" w:sz="2" w:space="0" w:color="auto"/>
                          </w:divBdr>
                          <w:divsChild>
                            <w:div w:id="1076198245">
                              <w:marLeft w:val="0"/>
                              <w:marRight w:val="0"/>
                              <w:marTop w:val="0"/>
                              <w:marBottom w:val="0"/>
                              <w:divBdr>
                                <w:top w:val="single" w:sz="2" w:space="0" w:color="auto"/>
                                <w:left w:val="single" w:sz="2" w:space="0" w:color="auto"/>
                                <w:bottom w:val="single" w:sz="2" w:space="31" w:color="auto"/>
                                <w:right w:val="single" w:sz="2" w:space="0" w:color="auto"/>
                              </w:divBdr>
                              <w:divsChild>
                                <w:div w:id="1348141194">
                                  <w:marLeft w:val="0"/>
                                  <w:marRight w:val="0"/>
                                  <w:marTop w:val="0"/>
                                  <w:marBottom w:val="0"/>
                                  <w:divBdr>
                                    <w:top w:val="single" w:sz="2" w:space="0" w:color="auto"/>
                                    <w:left w:val="single" w:sz="2" w:space="12" w:color="auto"/>
                                    <w:bottom w:val="single" w:sz="2" w:space="0" w:color="auto"/>
                                    <w:right w:val="single" w:sz="2" w:space="12" w:color="auto"/>
                                  </w:divBdr>
                                  <w:divsChild>
                                    <w:div w:id="302004869">
                                      <w:marLeft w:val="0"/>
                                      <w:marRight w:val="0"/>
                                      <w:marTop w:val="0"/>
                                      <w:marBottom w:val="0"/>
                                      <w:divBdr>
                                        <w:top w:val="single" w:sz="2" w:space="0" w:color="auto"/>
                                        <w:left w:val="single" w:sz="2" w:space="0" w:color="auto"/>
                                        <w:bottom w:val="single" w:sz="2" w:space="0" w:color="auto"/>
                                        <w:right w:val="single" w:sz="2" w:space="0" w:color="auto"/>
                                      </w:divBdr>
                                      <w:divsChild>
                                        <w:div w:id="766779568">
                                          <w:marLeft w:val="0"/>
                                          <w:marRight w:val="0"/>
                                          <w:marTop w:val="0"/>
                                          <w:marBottom w:val="0"/>
                                          <w:divBdr>
                                            <w:top w:val="single" w:sz="2" w:space="0" w:color="auto"/>
                                            <w:left w:val="single" w:sz="2" w:space="0" w:color="auto"/>
                                            <w:bottom w:val="single" w:sz="2" w:space="0" w:color="auto"/>
                                            <w:right w:val="single" w:sz="2" w:space="0" w:color="auto"/>
                                          </w:divBdr>
                                          <w:divsChild>
                                            <w:div w:id="1218397784">
                                              <w:marLeft w:val="0"/>
                                              <w:marRight w:val="0"/>
                                              <w:marTop w:val="0"/>
                                              <w:marBottom w:val="0"/>
                                              <w:divBdr>
                                                <w:top w:val="single" w:sz="2" w:space="0" w:color="auto"/>
                                                <w:left w:val="single" w:sz="2" w:space="0" w:color="auto"/>
                                                <w:bottom w:val="single" w:sz="2" w:space="0" w:color="auto"/>
                                                <w:right w:val="single" w:sz="2" w:space="0" w:color="auto"/>
                                              </w:divBdr>
                                              <w:divsChild>
                                                <w:div w:id="1982614929">
                                                  <w:marLeft w:val="0"/>
                                                  <w:marRight w:val="0"/>
                                                  <w:marTop w:val="0"/>
                                                  <w:marBottom w:val="60"/>
                                                  <w:divBdr>
                                                    <w:top w:val="single" w:sz="2" w:space="0" w:color="auto"/>
                                                    <w:left w:val="single" w:sz="2" w:space="0" w:color="auto"/>
                                                    <w:bottom w:val="single" w:sz="2" w:space="0" w:color="auto"/>
                                                    <w:right w:val="single" w:sz="2" w:space="0" w:color="auto"/>
                                                  </w:divBdr>
                                                  <w:divsChild>
                                                    <w:div w:id="1249003084">
                                                      <w:marLeft w:val="0"/>
                                                      <w:marRight w:val="720"/>
                                                      <w:marTop w:val="0"/>
                                                      <w:marBottom w:val="0"/>
                                                      <w:divBdr>
                                                        <w:top w:val="single" w:sz="2" w:space="0" w:color="auto"/>
                                                        <w:left w:val="single" w:sz="2" w:space="0" w:color="auto"/>
                                                        <w:bottom w:val="single" w:sz="2" w:space="0" w:color="auto"/>
                                                        <w:right w:val="single" w:sz="2" w:space="0" w:color="auto"/>
                                                      </w:divBdr>
                                                      <w:divsChild>
                                                        <w:div w:id="764425812">
                                                          <w:marLeft w:val="0"/>
                                                          <w:marRight w:val="0"/>
                                                          <w:marTop w:val="0"/>
                                                          <w:marBottom w:val="0"/>
                                                          <w:divBdr>
                                                            <w:top w:val="single" w:sz="2" w:space="0" w:color="auto"/>
                                                            <w:left w:val="single" w:sz="2" w:space="0" w:color="auto"/>
                                                            <w:bottom w:val="single" w:sz="2" w:space="0" w:color="auto"/>
                                                            <w:right w:val="single" w:sz="2" w:space="0" w:color="auto"/>
                                                          </w:divBdr>
                                                          <w:divsChild>
                                                            <w:div w:id="1722941604">
                                                              <w:marLeft w:val="0"/>
                                                              <w:marRight w:val="0"/>
                                                              <w:marTop w:val="0"/>
                                                              <w:marBottom w:val="0"/>
                                                              <w:divBdr>
                                                                <w:top w:val="single" w:sz="2" w:space="0" w:color="auto"/>
                                                                <w:left w:val="single" w:sz="2" w:space="0" w:color="auto"/>
                                                                <w:bottom w:val="single" w:sz="2" w:space="0" w:color="auto"/>
                                                                <w:right w:val="single" w:sz="2" w:space="0" w:color="auto"/>
                                                              </w:divBdr>
                                                              <w:divsChild>
                                                                <w:div w:id="194664300">
                                                                  <w:marLeft w:val="0"/>
                                                                  <w:marRight w:val="0"/>
                                                                  <w:marTop w:val="0"/>
                                                                  <w:marBottom w:val="0"/>
                                                                  <w:divBdr>
                                                                    <w:top w:val="single" w:sz="2" w:space="0" w:color="auto"/>
                                                                    <w:left w:val="single" w:sz="2" w:space="0" w:color="auto"/>
                                                                    <w:bottom w:val="single" w:sz="2" w:space="0" w:color="auto"/>
                                                                    <w:right w:val="single" w:sz="2" w:space="0" w:color="auto"/>
                                                                  </w:divBdr>
                                                                  <w:divsChild>
                                                                    <w:div w:id="1307318114">
                                                                      <w:marLeft w:val="0"/>
                                                                      <w:marRight w:val="0"/>
                                                                      <w:marTop w:val="0"/>
                                                                      <w:marBottom w:val="0"/>
                                                                      <w:divBdr>
                                                                        <w:top w:val="single" w:sz="2" w:space="0" w:color="auto"/>
                                                                        <w:left w:val="single" w:sz="2" w:space="0" w:color="auto"/>
                                                                        <w:bottom w:val="single" w:sz="2" w:space="0" w:color="auto"/>
                                                                        <w:right w:val="single" w:sz="2" w:space="0" w:color="auto"/>
                                                                      </w:divBdr>
                                                                      <w:divsChild>
                                                                        <w:div w:id="1303997566">
                                                                          <w:marLeft w:val="0"/>
                                                                          <w:marRight w:val="0"/>
                                                                          <w:marTop w:val="0"/>
                                                                          <w:marBottom w:val="0"/>
                                                                          <w:divBdr>
                                                                            <w:top w:val="single" w:sz="2" w:space="0" w:color="auto"/>
                                                                            <w:left w:val="single" w:sz="2" w:space="0" w:color="auto"/>
                                                                            <w:bottom w:val="single" w:sz="2" w:space="0" w:color="auto"/>
                                                                            <w:right w:val="single" w:sz="2" w:space="0" w:color="auto"/>
                                                                          </w:divBdr>
                                                                          <w:divsChild>
                                                                            <w:div w:id="1663313194">
                                                                              <w:marLeft w:val="0"/>
                                                                              <w:marRight w:val="0"/>
                                                                              <w:marTop w:val="0"/>
                                                                              <w:marBottom w:val="0"/>
                                                                              <w:divBdr>
                                                                                <w:top w:val="single" w:sz="2" w:space="0" w:color="auto"/>
                                                                                <w:left w:val="single" w:sz="2" w:space="0" w:color="auto"/>
                                                                                <w:bottom w:val="single" w:sz="2" w:space="0" w:color="auto"/>
                                                                                <w:right w:val="single" w:sz="2" w:space="0" w:color="auto"/>
                                                                              </w:divBdr>
                                                                              <w:divsChild>
                                                                                <w:div w:id="1813793950">
                                                                                  <w:marLeft w:val="0"/>
                                                                                  <w:marRight w:val="0"/>
                                                                                  <w:marTop w:val="0"/>
                                                                                  <w:marBottom w:val="0"/>
                                                                                  <w:divBdr>
                                                                                    <w:top w:val="single" w:sz="2" w:space="0" w:color="auto"/>
                                                                                    <w:left w:val="single" w:sz="2" w:space="0" w:color="auto"/>
                                                                                    <w:bottom w:val="single" w:sz="2" w:space="0" w:color="auto"/>
                                                                                    <w:right w:val="single" w:sz="2" w:space="0" w:color="auto"/>
                                                                                  </w:divBdr>
                                                                                  <w:divsChild>
                                                                                    <w:div w:id="18866735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2115007723">
                                      <w:marLeft w:val="-240"/>
                                      <w:marRight w:val="-240"/>
                                      <w:marTop w:val="0"/>
                                      <w:marBottom w:val="0"/>
                                      <w:divBdr>
                                        <w:top w:val="single" w:sz="2" w:space="0" w:color="auto"/>
                                        <w:left w:val="single" w:sz="2" w:space="12" w:color="auto"/>
                                        <w:bottom w:val="single" w:sz="2" w:space="0" w:color="auto"/>
                                        <w:right w:val="single" w:sz="2" w:space="12" w:color="auto"/>
                                      </w:divBdr>
                                      <w:divsChild>
                                        <w:div w:id="856969098">
                                          <w:marLeft w:val="0"/>
                                          <w:marRight w:val="0"/>
                                          <w:marTop w:val="0"/>
                                          <w:marBottom w:val="0"/>
                                          <w:divBdr>
                                            <w:top w:val="single" w:sz="2" w:space="0" w:color="auto"/>
                                            <w:left w:val="single" w:sz="2" w:space="0" w:color="auto"/>
                                            <w:bottom w:val="single" w:sz="2" w:space="0" w:color="auto"/>
                                            <w:right w:val="single" w:sz="2" w:space="0" w:color="auto"/>
                                          </w:divBdr>
                                          <w:divsChild>
                                            <w:div w:id="1453401762">
                                              <w:marLeft w:val="0"/>
                                              <w:marRight w:val="0"/>
                                              <w:marTop w:val="0"/>
                                              <w:marBottom w:val="0"/>
                                              <w:divBdr>
                                                <w:top w:val="single" w:sz="2" w:space="0" w:color="auto"/>
                                                <w:left w:val="single" w:sz="2" w:space="0" w:color="auto"/>
                                                <w:bottom w:val="single" w:sz="2" w:space="0" w:color="auto"/>
                                                <w:right w:val="single" w:sz="2" w:space="0" w:color="auto"/>
                                              </w:divBdr>
                                              <w:divsChild>
                                                <w:div w:id="1852185240">
                                                  <w:marLeft w:val="0"/>
                                                  <w:marRight w:val="0"/>
                                                  <w:marTop w:val="0"/>
                                                  <w:marBottom w:val="0"/>
                                                  <w:divBdr>
                                                    <w:top w:val="single" w:sz="2" w:space="0" w:color="auto"/>
                                                    <w:left w:val="single" w:sz="2" w:space="0" w:color="auto"/>
                                                    <w:bottom w:val="single" w:sz="2" w:space="0" w:color="auto"/>
                                                    <w:right w:val="single" w:sz="2" w:space="0" w:color="auto"/>
                                                  </w:divBdr>
                                                  <w:divsChild>
                                                    <w:div w:id="563491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86351248">
                                      <w:marLeft w:val="0"/>
                                      <w:marRight w:val="0"/>
                                      <w:marTop w:val="0"/>
                                      <w:marBottom w:val="0"/>
                                      <w:divBdr>
                                        <w:top w:val="single" w:sz="2" w:space="0" w:color="auto"/>
                                        <w:left w:val="single" w:sz="2" w:space="0" w:color="auto"/>
                                        <w:bottom w:val="single" w:sz="2" w:space="0" w:color="auto"/>
                                        <w:right w:val="single" w:sz="2" w:space="0" w:color="auto"/>
                                      </w:divBdr>
                                      <w:divsChild>
                                        <w:div w:id="1164203858">
                                          <w:marLeft w:val="0"/>
                                          <w:marRight w:val="0"/>
                                          <w:marTop w:val="0"/>
                                          <w:marBottom w:val="0"/>
                                          <w:divBdr>
                                            <w:top w:val="single" w:sz="2" w:space="0" w:color="auto"/>
                                            <w:left w:val="single" w:sz="2" w:space="0" w:color="auto"/>
                                            <w:bottom w:val="single" w:sz="2" w:space="0" w:color="auto"/>
                                            <w:right w:val="single" w:sz="2" w:space="0" w:color="auto"/>
                                          </w:divBdr>
                                          <w:divsChild>
                                            <w:div w:id="2075616275">
                                              <w:marLeft w:val="0"/>
                                              <w:marRight w:val="0"/>
                                              <w:marTop w:val="0"/>
                                              <w:marBottom w:val="0"/>
                                              <w:divBdr>
                                                <w:top w:val="single" w:sz="2" w:space="0" w:color="auto"/>
                                                <w:left w:val="single" w:sz="2" w:space="0" w:color="auto"/>
                                                <w:bottom w:val="single" w:sz="2" w:space="0" w:color="auto"/>
                                                <w:right w:val="single" w:sz="2" w:space="0" w:color="auto"/>
                                              </w:divBdr>
                                              <w:divsChild>
                                                <w:div w:id="1724670012">
                                                  <w:marLeft w:val="0"/>
                                                  <w:marRight w:val="0"/>
                                                  <w:marTop w:val="0"/>
                                                  <w:marBottom w:val="0"/>
                                                  <w:divBdr>
                                                    <w:top w:val="single" w:sz="2" w:space="0" w:color="auto"/>
                                                    <w:left w:val="single" w:sz="2" w:space="0" w:color="auto"/>
                                                    <w:bottom w:val="single" w:sz="2" w:space="0" w:color="auto"/>
                                                    <w:right w:val="single" w:sz="2" w:space="0" w:color="auto"/>
                                                  </w:divBdr>
                                                  <w:divsChild>
                                                    <w:div w:id="66998887">
                                                      <w:marLeft w:val="0"/>
                                                      <w:marRight w:val="0"/>
                                                      <w:marTop w:val="0"/>
                                                      <w:marBottom w:val="0"/>
                                                      <w:divBdr>
                                                        <w:top w:val="single" w:sz="2" w:space="0" w:color="auto"/>
                                                        <w:left w:val="single" w:sz="2" w:space="0" w:color="auto"/>
                                                        <w:bottom w:val="single" w:sz="2" w:space="0" w:color="auto"/>
                                                        <w:right w:val="single" w:sz="2" w:space="0" w:color="auto"/>
                                                      </w:divBdr>
                                                      <w:divsChild>
                                                        <w:div w:id="425153979">
                                                          <w:marLeft w:val="0"/>
                                                          <w:marRight w:val="0"/>
                                                          <w:marTop w:val="0"/>
                                                          <w:marBottom w:val="0"/>
                                                          <w:divBdr>
                                                            <w:top w:val="single" w:sz="2" w:space="0" w:color="auto"/>
                                                            <w:left w:val="single" w:sz="2" w:space="0" w:color="auto"/>
                                                            <w:bottom w:val="single" w:sz="2" w:space="0" w:color="auto"/>
                                                            <w:right w:val="single" w:sz="2" w:space="0" w:color="auto"/>
                                                          </w:divBdr>
                                                          <w:divsChild>
                                                            <w:div w:id="1329481377">
                                                              <w:marLeft w:val="0"/>
                                                              <w:marRight w:val="0"/>
                                                              <w:marTop w:val="0"/>
                                                              <w:marBottom w:val="0"/>
                                                              <w:divBdr>
                                                                <w:top w:val="single" w:sz="2" w:space="0" w:color="auto"/>
                                                                <w:left w:val="single" w:sz="2" w:space="0" w:color="auto"/>
                                                                <w:bottom w:val="single" w:sz="2" w:space="0" w:color="auto"/>
                                                                <w:right w:val="single" w:sz="2" w:space="0" w:color="auto"/>
                                                              </w:divBdr>
                                                              <w:divsChild>
                                                                <w:div w:id="551504833">
                                                                  <w:marLeft w:val="0"/>
                                                                  <w:marRight w:val="0"/>
                                                                  <w:marTop w:val="0"/>
                                                                  <w:marBottom w:val="0"/>
                                                                  <w:divBdr>
                                                                    <w:top w:val="single" w:sz="2" w:space="0" w:color="auto"/>
                                                                    <w:left w:val="single" w:sz="2" w:space="0" w:color="auto"/>
                                                                    <w:bottom w:val="single" w:sz="2" w:space="0" w:color="auto"/>
                                                                    <w:right w:val="single" w:sz="2" w:space="0" w:color="auto"/>
                                                                  </w:divBdr>
                                                                  <w:divsChild>
                                                                    <w:div w:id="1942104268">
                                                                      <w:marLeft w:val="0"/>
                                                                      <w:marRight w:val="0"/>
                                                                      <w:marTop w:val="0"/>
                                                                      <w:marBottom w:val="0"/>
                                                                      <w:divBdr>
                                                                        <w:top w:val="single" w:sz="2" w:space="0" w:color="auto"/>
                                                                        <w:left w:val="single" w:sz="2" w:space="0" w:color="auto"/>
                                                                        <w:bottom w:val="single" w:sz="2" w:space="0" w:color="auto"/>
                                                                        <w:right w:val="single" w:sz="2" w:space="0" w:color="auto"/>
                                                                      </w:divBdr>
                                                                      <w:divsChild>
                                                                        <w:div w:id="1146976304">
                                                                          <w:marLeft w:val="0"/>
                                                                          <w:marRight w:val="0"/>
                                                                          <w:marTop w:val="0"/>
                                                                          <w:marBottom w:val="0"/>
                                                                          <w:divBdr>
                                                                            <w:top w:val="single" w:sz="2" w:space="0" w:color="auto"/>
                                                                            <w:left w:val="single" w:sz="2" w:space="0" w:color="auto"/>
                                                                            <w:bottom w:val="single" w:sz="2" w:space="0" w:color="auto"/>
                                                                            <w:right w:val="single" w:sz="2" w:space="0" w:color="auto"/>
                                                                          </w:divBdr>
                                                                          <w:divsChild>
                                                                            <w:div w:id="13480960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8227088">
          <w:marLeft w:val="0"/>
          <w:marRight w:val="0"/>
          <w:marTop w:val="0"/>
          <w:marBottom w:val="0"/>
          <w:divBdr>
            <w:top w:val="single" w:sz="2" w:space="12" w:color="auto"/>
            <w:left w:val="single" w:sz="2" w:space="12" w:color="auto"/>
            <w:bottom w:val="single" w:sz="2" w:space="12" w:color="auto"/>
            <w:right w:val="single" w:sz="2" w:space="12" w:color="auto"/>
          </w:divBdr>
          <w:divsChild>
            <w:div w:id="710152189">
              <w:marLeft w:val="0"/>
              <w:marRight w:val="0"/>
              <w:marTop w:val="0"/>
              <w:marBottom w:val="0"/>
              <w:divBdr>
                <w:top w:val="single" w:sz="2" w:space="0" w:color="auto"/>
                <w:left w:val="single" w:sz="2" w:space="0" w:color="auto"/>
                <w:bottom w:val="single" w:sz="2" w:space="0" w:color="auto"/>
                <w:right w:val="single" w:sz="2" w:space="0" w:color="auto"/>
              </w:divBdr>
              <w:divsChild>
                <w:div w:id="1995450165">
                  <w:marLeft w:val="0"/>
                  <w:marRight w:val="0"/>
                  <w:marTop w:val="0"/>
                  <w:marBottom w:val="0"/>
                  <w:divBdr>
                    <w:top w:val="single" w:sz="2" w:space="0" w:color="auto"/>
                    <w:left w:val="single" w:sz="2" w:space="0" w:color="auto"/>
                    <w:bottom w:val="single" w:sz="2" w:space="0" w:color="auto"/>
                    <w:right w:val="single" w:sz="2" w:space="0" w:color="auto"/>
                  </w:divBdr>
                  <w:divsChild>
                    <w:div w:id="1411851223">
                      <w:marLeft w:val="0"/>
                      <w:marRight w:val="0"/>
                      <w:marTop w:val="0"/>
                      <w:marBottom w:val="0"/>
                      <w:divBdr>
                        <w:top w:val="single" w:sz="2" w:space="0" w:color="auto"/>
                        <w:left w:val="single" w:sz="2" w:space="0" w:color="auto"/>
                        <w:bottom w:val="single" w:sz="2" w:space="0" w:color="auto"/>
                        <w:right w:val="single" w:sz="2" w:space="0" w:color="auto"/>
                      </w:divBdr>
                      <w:divsChild>
                        <w:div w:id="71708744">
                          <w:marLeft w:val="0"/>
                          <w:marRight w:val="0"/>
                          <w:marTop w:val="0"/>
                          <w:marBottom w:val="0"/>
                          <w:divBdr>
                            <w:top w:val="single" w:sz="2" w:space="0" w:color="auto"/>
                            <w:left w:val="single" w:sz="2" w:space="0" w:color="auto"/>
                            <w:bottom w:val="single" w:sz="2" w:space="0" w:color="auto"/>
                            <w:right w:val="single" w:sz="2" w:space="0" w:color="auto"/>
                          </w:divBdr>
                          <w:divsChild>
                            <w:div w:id="1522474820">
                              <w:marLeft w:val="0"/>
                              <w:marRight w:val="0"/>
                              <w:marTop w:val="0"/>
                              <w:marBottom w:val="0"/>
                              <w:divBdr>
                                <w:top w:val="single" w:sz="2" w:space="0" w:color="auto"/>
                                <w:left w:val="single" w:sz="2" w:space="0" w:color="auto"/>
                                <w:bottom w:val="single" w:sz="2" w:space="0" w:color="auto"/>
                                <w:right w:val="single" w:sz="2" w:space="0" w:color="auto"/>
                              </w:divBdr>
                              <w:divsChild>
                                <w:div w:id="1585605542">
                                  <w:marLeft w:val="0"/>
                                  <w:marRight w:val="0"/>
                                  <w:marTop w:val="0"/>
                                  <w:marBottom w:val="240"/>
                                  <w:divBdr>
                                    <w:top w:val="single" w:sz="2" w:space="12" w:color="auto"/>
                                    <w:left w:val="single" w:sz="2" w:space="12" w:color="auto"/>
                                    <w:bottom w:val="single" w:sz="2" w:space="12" w:color="auto"/>
                                    <w:right w:val="single" w:sz="2" w:space="12" w:color="auto"/>
                                  </w:divBdr>
                                  <w:divsChild>
                                    <w:div w:id="230695387">
                                      <w:marLeft w:val="0"/>
                                      <w:marRight w:val="120"/>
                                      <w:marTop w:val="0"/>
                                      <w:marBottom w:val="0"/>
                                      <w:divBdr>
                                        <w:top w:val="single" w:sz="2" w:space="0" w:color="auto"/>
                                        <w:left w:val="single" w:sz="2" w:space="0" w:color="auto"/>
                                        <w:bottom w:val="single" w:sz="2" w:space="0" w:color="auto"/>
                                        <w:right w:val="single" w:sz="2" w:space="0" w:color="auto"/>
                                      </w:divBdr>
                                      <w:divsChild>
                                        <w:div w:id="641104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23243073">
      <w:bodyDiv w:val="1"/>
      <w:marLeft w:val="0"/>
      <w:marRight w:val="0"/>
      <w:marTop w:val="0"/>
      <w:marBottom w:val="0"/>
      <w:divBdr>
        <w:top w:val="none" w:sz="0" w:space="0" w:color="auto"/>
        <w:left w:val="none" w:sz="0" w:space="0" w:color="auto"/>
        <w:bottom w:val="none" w:sz="0" w:space="0" w:color="auto"/>
        <w:right w:val="none" w:sz="0" w:space="0" w:color="auto"/>
      </w:divBdr>
    </w:div>
    <w:div w:id="1176845856">
      <w:bodyDiv w:val="1"/>
      <w:marLeft w:val="0"/>
      <w:marRight w:val="0"/>
      <w:marTop w:val="0"/>
      <w:marBottom w:val="0"/>
      <w:divBdr>
        <w:top w:val="none" w:sz="0" w:space="0" w:color="auto"/>
        <w:left w:val="none" w:sz="0" w:space="0" w:color="auto"/>
        <w:bottom w:val="none" w:sz="0" w:space="0" w:color="auto"/>
        <w:right w:val="none" w:sz="0" w:space="0" w:color="auto"/>
      </w:divBdr>
    </w:div>
    <w:div w:id="1218586874">
      <w:bodyDiv w:val="1"/>
      <w:marLeft w:val="0"/>
      <w:marRight w:val="0"/>
      <w:marTop w:val="0"/>
      <w:marBottom w:val="0"/>
      <w:divBdr>
        <w:top w:val="none" w:sz="0" w:space="0" w:color="auto"/>
        <w:left w:val="none" w:sz="0" w:space="0" w:color="auto"/>
        <w:bottom w:val="none" w:sz="0" w:space="0" w:color="auto"/>
        <w:right w:val="none" w:sz="0" w:space="0" w:color="auto"/>
      </w:divBdr>
    </w:div>
    <w:div w:id="1265963728">
      <w:bodyDiv w:val="1"/>
      <w:marLeft w:val="0"/>
      <w:marRight w:val="0"/>
      <w:marTop w:val="0"/>
      <w:marBottom w:val="0"/>
      <w:divBdr>
        <w:top w:val="none" w:sz="0" w:space="0" w:color="auto"/>
        <w:left w:val="none" w:sz="0" w:space="0" w:color="auto"/>
        <w:bottom w:val="none" w:sz="0" w:space="0" w:color="auto"/>
        <w:right w:val="none" w:sz="0" w:space="0" w:color="auto"/>
      </w:divBdr>
      <w:divsChild>
        <w:div w:id="1906643204">
          <w:marLeft w:val="0"/>
          <w:marRight w:val="0"/>
          <w:marTop w:val="0"/>
          <w:marBottom w:val="0"/>
          <w:divBdr>
            <w:top w:val="none" w:sz="0" w:space="0" w:color="auto"/>
            <w:left w:val="none" w:sz="0" w:space="0" w:color="auto"/>
            <w:bottom w:val="none" w:sz="0" w:space="0" w:color="auto"/>
            <w:right w:val="none" w:sz="0" w:space="0" w:color="auto"/>
          </w:divBdr>
        </w:div>
      </w:divsChild>
    </w:div>
    <w:div w:id="1383598313">
      <w:bodyDiv w:val="1"/>
      <w:marLeft w:val="0"/>
      <w:marRight w:val="0"/>
      <w:marTop w:val="0"/>
      <w:marBottom w:val="0"/>
      <w:divBdr>
        <w:top w:val="none" w:sz="0" w:space="0" w:color="auto"/>
        <w:left w:val="none" w:sz="0" w:space="0" w:color="auto"/>
        <w:bottom w:val="none" w:sz="0" w:space="0" w:color="auto"/>
        <w:right w:val="none" w:sz="0" w:space="0" w:color="auto"/>
      </w:divBdr>
    </w:div>
    <w:div w:id="1426799771">
      <w:bodyDiv w:val="1"/>
      <w:marLeft w:val="0"/>
      <w:marRight w:val="0"/>
      <w:marTop w:val="0"/>
      <w:marBottom w:val="0"/>
      <w:divBdr>
        <w:top w:val="none" w:sz="0" w:space="0" w:color="auto"/>
        <w:left w:val="none" w:sz="0" w:space="0" w:color="auto"/>
        <w:bottom w:val="none" w:sz="0" w:space="0" w:color="auto"/>
        <w:right w:val="none" w:sz="0" w:space="0" w:color="auto"/>
      </w:divBdr>
      <w:divsChild>
        <w:div w:id="1114443125">
          <w:marLeft w:val="0"/>
          <w:marRight w:val="0"/>
          <w:marTop w:val="0"/>
          <w:marBottom w:val="0"/>
          <w:divBdr>
            <w:top w:val="none" w:sz="0" w:space="0" w:color="auto"/>
            <w:left w:val="none" w:sz="0" w:space="0" w:color="auto"/>
            <w:bottom w:val="none" w:sz="0" w:space="0" w:color="auto"/>
            <w:right w:val="none" w:sz="0" w:space="0" w:color="auto"/>
          </w:divBdr>
        </w:div>
      </w:divsChild>
    </w:div>
    <w:div w:id="1550068123">
      <w:bodyDiv w:val="1"/>
      <w:marLeft w:val="0"/>
      <w:marRight w:val="0"/>
      <w:marTop w:val="0"/>
      <w:marBottom w:val="0"/>
      <w:divBdr>
        <w:top w:val="none" w:sz="0" w:space="0" w:color="auto"/>
        <w:left w:val="none" w:sz="0" w:space="0" w:color="auto"/>
        <w:bottom w:val="none" w:sz="0" w:space="0" w:color="auto"/>
        <w:right w:val="none" w:sz="0" w:space="0" w:color="auto"/>
      </w:divBdr>
      <w:divsChild>
        <w:div w:id="961767013">
          <w:marLeft w:val="0"/>
          <w:marRight w:val="0"/>
          <w:marTop w:val="0"/>
          <w:marBottom w:val="0"/>
          <w:divBdr>
            <w:top w:val="none" w:sz="0" w:space="0" w:color="auto"/>
            <w:left w:val="none" w:sz="0" w:space="0" w:color="auto"/>
            <w:bottom w:val="none" w:sz="0" w:space="0" w:color="auto"/>
            <w:right w:val="none" w:sz="0" w:space="0" w:color="auto"/>
          </w:divBdr>
        </w:div>
      </w:divsChild>
    </w:div>
    <w:div w:id="1564634477">
      <w:bodyDiv w:val="1"/>
      <w:marLeft w:val="0"/>
      <w:marRight w:val="0"/>
      <w:marTop w:val="0"/>
      <w:marBottom w:val="0"/>
      <w:divBdr>
        <w:top w:val="none" w:sz="0" w:space="0" w:color="auto"/>
        <w:left w:val="none" w:sz="0" w:space="0" w:color="auto"/>
        <w:bottom w:val="none" w:sz="0" w:space="0" w:color="auto"/>
        <w:right w:val="none" w:sz="0" w:space="0" w:color="auto"/>
      </w:divBdr>
    </w:div>
    <w:div w:id="1744256113">
      <w:bodyDiv w:val="1"/>
      <w:marLeft w:val="0"/>
      <w:marRight w:val="0"/>
      <w:marTop w:val="0"/>
      <w:marBottom w:val="0"/>
      <w:divBdr>
        <w:top w:val="none" w:sz="0" w:space="0" w:color="auto"/>
        <w:left w:val="none" w:sz="0" w:space="0" w:color="auto"/>
        <w:bottom w:val="none" w:sz="0" w:space="0" w:color="auto"/>
        <w:right w:val="none" w:sz="0" w:space="0" w:color="auto"/>
      </w:divBdr>
    </w:div>
    <w:div w:id="1797598966">
      <w:bodyDiv w:val="1"/>
      <w:marLeft w:val="0"/>
      <w:marRight w:val="0"/>
      <w:marTop w:val="0"/>
      <w:marBottom w:val="0"/>
      <w:divBdr>
        <w:top w:val="none" w:sz="0" w:space="0" w:color="auto"/>
        <w:left w:val="none" w:sz="0" w:space="0" w:color="auto"/>
        <w:bottom w:val="none" w:sz="0" w:space="0" w:color="auto"/>
        <w:right w:val="none" w:sz="0" w:space="0" w:color="auto"/>
      </w:divBdr>
    </w:div>
    <w:div w:id="1825051917">
      <w:bodyDiv w:val="1"/>
      <w:marLeft w:val="0"/>
      <w:marRight w:val="0"/>
      <w:marTop w:val="0"/>
      <w:marBottom w:val="0"/>
      <w:divBdr>
        <w:top w:val="none" w:sz="0" w:space="0" w:color="auto"/>
        <w:left w:val="none" w:sz="0" w:space="0" w:color="auto"/>
        <w:bottom w:val="none" w:sz="0" w:space="0" w:color="auto"/>
        <w:right w:val="none" w:sz="0" w:space="0" w:color="auto"/>
      </w:divBdr>
      <w:divsChild>
        <w:div w:id="1134130371">
          <w:marLeft w:val="0"/>
          <w:marRight w:val="0"/>
          <w:marTop w:val="0"/>
          <w:marBottom w:val="0"/>
          <w:divBdr>
            <w:top w:val="none" w:sz="0" w:space="0" w:color="auto"/>
            <w:left w:val="none" w:sz="0" w:space="0" w:color="auto"/>
            <w:bottom w:val="none" w:sz="0" w:space="0" w:color="auto"/>
            <w:right w:val="none" w:sz="0" w:space="0" w:color="auto"/>
          </w:divBdr>
          <w:divsChild>
            <w:div w:id="1978872320">
              <w:marLeft w:val="0"/>
              <w:marRight w:val="0"/>
              <w:marTop w:val="0"/>
              <w:marBottom w:val="0"/>
              <w:divBdr>
                <w:top w:val="none" w:sz="0" w:space="0" w:color="auto"/>
                <w:left w:val="none" w:sz="0" w:space="0" w:color="auto"/>
                <w:bottom w:val="none" w:sz="0" w:space="0" w:color="auto"/>
                <w:right w:val="none" w:sz="0" w:space="0" w:color="auto"/>
              </w:divBdr>
              <w:divsChild>
                <w:div w:id="291400995">
                  <w:marLeft w:val="0"/>
                  <w:marRight w:val="0"/>
                  <w:marTop w:val="0"/>
                  <w:marBottom w:val="0"/>
                  <w:divBdr>
                    <w:top w:val="none" w:sz="0" w:space="0" w:color="auto"/>
                    <w:left w:val="none" w:sz="0" w:space="0" w:color="auto"/>
                    <w:bottom w:val="none" w:sz="0" w:space="0" w:color="auto"/>
                    <w:right w:val="none" w:sz="0" w:space="0" w:color="auto"/>
                  </w:divBdr>
                  <w:divsChild>
                    <w:div w:id="8160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171995">
      <w:bodyDiv w:val="1"/>
      <w:marLeft w:val="0"/>
      <w:marRight w:val="0"/>
      <w:marTop w:val="0"/>
      <w:marBottom w:val="0"/>
      <w:divBdr>
        <w:top w:val="none" w:sz="0" w:space="0" w:color="auto"/>
        <w:left w:val="none" w:sz="0" w:space="0" w:color="auto"/>
        <w:bottom w:val="none" w:sz="0" w:space="0" w:color="auto"/>
        <w:right w:val="none" w:sz="0" w:space="0" w:color="auto"/>
      </w:divBdr>
    </w:div>
    <w:div w:id="1900245363">
      <w:bodyDiv w:val="1"/>
      <w:marLeft w:val="0"/>
      <w:marRight w:val="0"/>
      <w:marTop w:val="0"/>
      <w:marBottom w:val="0"/>
      <w:divBdr>
        <w:top w:val="none" w:sz="0" w:space="0" w:color="auto"/>
        <w:left w:val="none" w:sz="0" w:space="0" w:color="auto"/>
        <w:bottom w:val="none" w:sz="0" w:space="0" w:color="auto"/>
        <w:right w:val="none" w:sz="0" w:space="0" w:color="auto"/>
      </w:divBdr>
      <w:divsChild>
        <w:div w:id="1342587686">
          <w:marLeft w:val="0"/>
          <w:marRight w:val="0"/>
          <w:marTop w:val="0"/>
          <w:marBottom w:val="0"/>
          <w:divBdr>
            <w:top w:val="none" w:sz="0" w:space="0" w:color="auto"/>
            <w:left w:val="none" w:sz="0" w:space="0" w:color="auto"/>
            <w:bottom w:val="none" w:sz="0" w:space="0" w:color="auto"/>
            <w:right w:val="none" w:sz="0" w:space="0" w:color="auto"/>
          </w:divBdr>
        </w:div>
      </w:divsChild>
    </w:div>
    <w:div w:id="2067146930">
      <w:bodyDiv w:val="1"/>
      <w:marLeft w:val="0"/>
      <w:marRight w:val="0"/>
      <w:marTop w:val="0"/>
      <w:marBottom w:val="0"/>
      <w:divBdr>
        <w:top w:val="none" w:sz="0" w:space="0" w:color="auto"/>
        <w:left w:val="none" w:sz="0" w:space="0" w:color="auto"/>
        <w:bottom w:val="none" w:sz="0" w:space="0" w:color="auto"/>
        <w:right w:val="none" w:sz="0" w:space="0" w:color="auto"/>
      </w:divBdr>
      <w:divsChild>
        <w:div w:id="569196185">
          <w:marLeft w:val="0"/>
          <w:marRight w:val="0"/>
          <w:marTop w:val="0"/>
          <w:marBottom w:val="0"/>
          <w:divBdr>
            <w:top w:val="none" w:sz="0" w:space="0" w:color="auto"/>
            <w:left w:val="none" w:sz="0" w:space="0" w:color="auto"/>
            <w:bottom w:val="none" w:sz="0" w:space="0" w:color="auto"/>
            <w:right w:val="none" w:sz="0" w:space="0" w:color="auto"/>
          </w:divBdr>
        </w:div>
      </w:divsChild>
    </w:div>
    <w:div w:id="2127848258">
      <w:bodyDiv w:val="1"/>
      <w:marLeft w:val="0"/>
      <w:marRight w:val="0"/>
      <w:marTop w:val="0"/>
      <w:marBottom w:val="0"/>
      <w:divBdr>
        <w:top w:val="none" w:sz="0" w:space="0" w:color="auto"/>
        <w:left w:val="none" w:sz="0" w:space="0" w:color="auto"/>
        <w:bottom w:val="none" w:sz="0" w:space="0" w:color="auto"/>
        <w:right w:val="none" w:sz="0" w:space="0" w:color="auto"/>
      </w:divBdr>
      <w:divsChild>
        <w:div w:id="5355084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ministeriopublico.gov.py/index.php/rjmp/article/download/100/104/1428" TargetMode="External"/><Relationship Id="rId13" Type="http://schemas.openxmlformats.org/officeDocument/2006/relationships/hyperlink" Target="http://www.scielo.org.mx/scielo.php?script=sci_arttext&amp;pid=S1405-02182014000100005" TargetMode="External"/><Relationship Id="rId18" Type="http://schemas.openxmlformats.org/officeDocument/2006/relationships/hyperlink" Target="https://www.pj.gov.py/ebook/libros_files/Coleccion_de_Derecho_Penal_TomoIII.pdf" TargetMode="External"/><Relationship Id="rId3" Type="http://schemas.openxmlformats.org/officeDocument/2006/relationships/styles" Target="styles.xml"/><Relationship Id="rId21" Type="http://schemas.openxmlformats.org/officeDocument/2006/relationships/hyperlink" Target="https://cejamericas.org/wp-content/uploads/2020/09/ERIOS_laadmisibilidaddeladeclaraciondetestigos.pdf" TargetMode="External"/><Relationship Id="rId7" Type="http://schemas.openxmlformats.org/officeDocument/2006/relationships/endnotes" Target="endnotes.xml"/><Relationship Id="rId12" Type="http://schemas.openxmlformats.org/officeDocument/2006/relationships/hyperlink" Target="http://www.scielo.org.co/scielo.php?script=sci_arttext&amp;pid=S2500-86922023000300158" TargetMode="External"/><Relationship Id="rId17" Type="http://schemas.openxmlformats.org/officeDocument/2006/relationships/hyperlink" Target="https://derechopenalonline.com/prueba-testimonial-valoracion-testigo-de-oidas-principio-de-contradiccio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js.ministeriopublico.gov.py/index.php/rjmp/article/download/75/73/230" TargetMode="External"/><Relationship Id="rId20" Type="http://schemas.openxmlformats.org/officeDocument/2006/relationships/hyperlink" Target="https://dialnet.unirioja.es/descarga/articulo/773175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cuelajudicial.ramajudicial.gov.co/sites/default/files/biblioteca/m17-11_0.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ldial.com/nuevo/nuevo_diseno/v2/doctrina_a.asp?base=50&amp;id=14823&amp;t=d" TargetMode="External"/><Relationship Id="rId23" Type="http://schemas.openxmlformats.org/officeDocument/2006/relationships/hyperlink" Target="https://bdigital.uexternado.edu.co/bitstreams/760138d0-e679-4f4c-ad54-8b56e760c32e/download" TargetMode="External"/><Relationship Id="rId10" Type="http://schemas.openxmlformats.org/officeDocument/2006/relationships/hyperlink" Target="https://www.scielo.cl/scielo.php?script=sci_arttext&amp;pid=S0718-68512009000200008" TargetMode="External"/><Relationship Id="rId19" Type="http://schemas.openxmlformats.org/officeDocument/2006/relationships/hyperlink" Target="https://www.pj.gov.py/descargar/ID1-796_guiaprocesopenal.pdf" TargetMode="External"/><Relationship Id="rId4" Type="http://schemas.openxmlformats.org/officeDocument/2006/relationships/settings" Target="settings.xml"/><Relationship Id="rId9" Type="http://schemas.openxmlformats.org/officeDocument/2006/relationships/hyperlink" Target="https://www.csj.gov.py/par97017/reglamentaciones/modulos/repsolotexto.asp?codigo_acord=90" TargetMode="External"/><Relationship Id="rId14" Type="http://schemas.openxmlformats.org/officeDocument/2006/relationships/hyperlink" Target="http://sedici.unlp.edu.ar/bitstream/handle/10915/171617/Documento_completo.pdf-PDFA.pdf?sequence=1&amp;isAllowed=y" TargetMode="External"/><Relationship Id="rId22" Type="http://schemas.openxmlformats.org/officeDocument/2006/relationships/hyperlink" Target="http://www.scielo.org.co/scielo.php?script=sci_arttext&amp;pid=S0121-182X202100020005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i.org/10.3390/brainsci13081197" TargetMode="External"/><Relationship Id="rId13" Type="http://schemas.openxmlformats.org/officeDocument/2006/relationships/hyperlink" Target="https://doi.org/10.3389/fpsyg.2023.10494980" TargetMode="External"/><Relationship Id="rId3" Type="http://schemas.openxmlformats.org/officeDocument/2006/relationships/hyperlink" Target="https://doi.org/10.3758/s13421-020-01115-4" TargetMode="External"/><Relationship Id="rId7" Type="http://schemas.openxmlformats.org/officeDocument/2006/relationships/hyperlink" Target="https://doi.org/10.1038/s41398-020-01023-w" TargetMode="External"/><Relationship Id="rId12" Type="http://schemas.openxmlformats.org/officeDocument/2006/relationships/hyperlink" Target="https://doi.org/10.3389/fpsyg.2021.666724" TargetMode="External"/><Relationship Id="rId2" Type="http://schemas.openxmlformats.org/officeDocument/2006/relationships/hyperlink" Target="https://www.quironsalud.com/es/comunicacion/actualidad/estres-cronico-afecta-memoria" TargetMode="External"/><Relationship Id="rId1" Type="http://schemas.openxmlformats.org/officeDocument/2006/relationships/hyperlink" Target="https://doi.org/10.1176/appi.ajp.2009.09040461" TargetMode="External"/><Relationship Id="rId6" Type="http://schemas.openxmlformats.org/officeDocument/2006/relationships/hyperlink" Target="https://doi.org/10.1073/pnas.1400335111" TargetMode="External"/><Relationship Id="rId11" Type="http://schemas.openxmlformats.org/officeDocument/2006/relationships/hyperlink" Target="http://www.scielo.sa.cr/scielo.php?script=sci_arttext&amp;pid=S1409-00152005000100004" TargetMode="External"/><Relationship Id="rId5" Type="http://schemas.openxmlformats.org/officeDocument/2006/relationships/hyperlink" Target="https://www.infobae.com/salud/ciencia/2025/08/25/descubren-como-el-cerebro-supera-los-recuerdos-que-generan-miedo/" TargetMode="External"/><Relationship Id="rId10" Type="http://schemas.openxmlformats.org/officeDocument/2006/relationships/hyperlink" Target="https://www.ebsco.com/research-starters/psychology/weapon-focus-forensic-psychology" TargetMode="External"/><Relationship Id="rId4" Type="http://schemas.openxmlformats.org/officeDocument/2006/relationships/hyperlink" Target="https://www.lavanguardia.com/ciencia/20241115/10110676/cientificos-descubren-como-estres-altera-memoria.html" TargetMode="External"/><Relationship Id="rId9" Type="http://schemas.openxmlformats.org/officeDocument/2006/relationships/hyperlink" Target="https://doi.org/10.1176/appi.ajp.2016.16030353" TargetMode="External"/><Relationship Id="rId14" Type="http://schemas.openxmlformats.org/officeDocument/2006/relationships/hyperlink" Target="https://doi.org/10.3389/fpsyg.2024.123378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0EE9C-3BAF-4DF2-9C40-4A600FF10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14</Pages>
  <Words>5691</Words>
  <Characters>31305</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about:blank</vt:lpstr>
    </vt:vector>
  </TitlesOfParts>
  <Company/>
  <LinksUpToDate>false</LinksUpToDate>
  <CharactersWithSpaces>36923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about:blank</dc:title>
  <dc:subject/>
  <dc:creator>Fermin Canteros</dc:creator>
  <cp:keywords/>
  <dc:description/>
  <cp:lastModifiedBy>Fermin Canteros</cp:lastModifiedBy>
  <cp:revision>8</cp:revision>
  <cp:lastPrinted>2025-07-14T15:21:00Z</cp:lastPrinted>
  <dcterms:created xsi:type="dcterms:W3CDTF">2025-08-13T11:24:00Z</dcterms:created>
  <dcterms:modified xsi:type="dcterms:W3CDTF">2025-09-16T16:45:00Z</dcterms:modified>
</cp:coreProperties>
</file>