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3AF" w:rsidRDefault="00F853AF" w:rsidP="00342FCB">
      <w:pPr>
        <w:pStyle w:val="TITULOBE"/>
      </w:pPr>
    </w:p>
    <w:p w:rsidR="004A2C31" w:rsidRDefault="004A2C31" w:rsidP="00342FCB">
      <w:pPr>
        <w:pStyle w:val="TITULOBE"/>
      </w:pPr>
    </w:p>
    <w:p w:rsidR="00F853AF" w:rsidRDefault="00F853AF" w:rsidP="00342FCB">
      <w:pPr>
        <w:pStyle w:val="TITULOBE"/>
      </w:pPr>
    </w:p>
    <w:p w:rsidR="00342FCB" w:rsidRDefault="00342FCB" w:rsidP="00342FCB">
      <w:pPr>
        <w:pStyle w:val="TITULOBE"/>
      </w:pPr>
      <w:r>
        <w:t>CAUTELAR LA IMPARCIALIDAD</w:t>
      </w:r>
    </w:p>
    <w:p w:rsidR="00342FCB" w:rsidRDefault="00342FCB" w:rsidP="00342FCB">
      <w:pPr>
        <w:pStyle w:val="TITULOBE"/>
      </w:pPr>
      <w:r>
        <w:t>Cómo el análisis de la verosimilitud del derecho afecta la imparcialidad</w:t>
      </w:r>
      <w:r>
        <w:rPr>
          <w:rStyle w:val="Refdenotaalpie"/>
        </w:rPr>
        <w:footnoteReference w:id="1"/>
      </w:r>
    </w:p>
    <w:p w:rsidR="00342FCB" w:rsidRPr="00342FCB" w:rsidRDefault="00342FCB" w:rsidP="00342FCB">
      <w:pPr>
        <w:tabs>
          <w:tab w:val="left" w:pos="6255"/>
          <w:tab w:val="left" w:pos="7889"/>
        </w:tabs>
        <w:spacing w:after="120" w:line="360" w:lineRule="auto"/>
        <w:rPr>
          <w:rFonts w:ascii="Arial" w:hAnsi="Arial" w:cs="Arial"/>
          <w:b/>
          <w:sz w:val="24"/>
          <w:szCs w:val="24"/>
        </w:rPr>
      </w:pPr>
      <w:r>
        <w:rPr>
          <w:rFonts w:ascii="Arial" w:hAnsi="Arial" w:cs="Arial"/>
          <w:b/>
          <w:sz w:val="24"/>
          <w:szCs w:val="24"/>
        </w:rPr>
        <w:tab/>
      </w:r>
      <w:proofErr w:type="spellStart"/>
      <w:r w:rsidRPr="00A84450">
        <w:rPr>
          <w:b/>
        </w:rPr>
        <w:t>Betiana</w:t>
      </w:r>
      <w:proofErr w:type="spellEnd"/>
      <w:r w:rsidRPr="00A84450">
        <w:rPr>
          <w:b/>
        </w:rPr>
        <w:t xml:space="preserve"> L. Ferrari</w:t>
      </w:r>
      <w:r>
        <w:rPr>
          <w:rStyle w:val="Refdenotaalpie"/>
          <w:b/>
        </w:rPr>
        <w:footnoteReference w:id="2"/>
      </w:r>
    </w:p>
    <w:p w:rsidR="00FD1F27" w:rsidRDefault="00911AEC"/>
    <w:p w:rsidR="00342FCB" w:rsidRDefault="00342FCB"/>
    <w:p w:rsidR="00342FCB" w:rsidRPr="00F853AF" w:rsidRDefault="00342FCB" w:rsidP="00F853AF">
      <w:pPr>
        <w:jc w:val="center"/>
        <w:rPr>
          <w:rFonts w:ascii="Arial" w:hAnsi="Arial" w:cs="Arial"/>
          <w:b/>
          <w:sz w:val="24"/>
        </w:rPr>
      </w:pPr>
      <w:r w:rsidRPr="00F853AF">
        <w:rPr>
          <w:rFonts w:ascii="Arial" w:hAnsi="Arial" w:cs="Arial"/>
          <w:b/>
          <w:sz w:val="24"/>
        </w:rPr>
        <w:t>SUMARIO</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1. </w:t>
      </w:r>
      <w:r w:rsidR="008459C9">
        <w:rPr>
          <w:rFonts w:ascii="Arial" w:eastAsiaTheme="majorEastAsia" w:hAnsi="Arial" w:cs="Arial"/>
          <w:sz w:val="24"/>
          <w:szCs w:val="24"/>
        </w:rPr>
        <w:t>Desde dónde pretendemos cautelar</w:t>
      </w:r>
      <w:r w:rsidRPr="00F853AF">
        <w:rPr>
          <w:rFonts w:ascii="Arial" w:eastAsiaTheme="majorEastAsia" w:hAnsi="Arial" w:cs="Arial"/>
          <w:sz w:val="24"/>
          <w:szCs w:val="24"/>
        </w:rPr>
        <w:t xml:space="preserve"> 2. El juez y la verosimilitud en el derecho 2.1. Análisis de la jurisprudencia 2.2. Análisis de la doctrina 3. ¿Juez que cautela pierde la imparcialidad? 4 Ju</w:t>
      </w:r>
      <w:r>
        <w:rPr>
          <w:rFonts w:ascii="Arial" w:eastAsiaTheme="majorEastAsia" w:hAnsi="Arial" w:cs="Arial"/>
          <w:sz w:val="24"/>
          <w:szCs w:val="24"/>
        </w:rPr>
        <w:t xml:space="preserve">ez que cautela no debe juzgar </w:t>
      </w:r>
      <w:r w:rsidRPr="00F853AF">
        <w:rPr>
          <w:rFonts w:ascii="Arial" w:eastAsiaTheme="majorEastAsia" w:hAnsi="Arial" w:cs="Arial"/>
          <w:sz w:val="24"/>
          <w:szCs w:val="24"/>
        </w:rPr>
        <w:t>5. Conclusiones</w:t>
      </w:r>
    </w:p>
    <w:p w:rsidR="00F853AF" w:rsidRDefault="00F853AF" w:rsidP="00F853AF">
      <w:pPr>
        <w:spacing w:after="120" w:line="360" w:lineRule="auto"/>
        <w:jc w:val="both"/>
        <w:rPr>
          <w:rFonts w:ascii="Arial" w:eastAsiaTheme="majorEastAsia" w:hAnsi="Arial" w:cs="Arial"/>
          <w:b/>
          <w:sz w:val="24"/>
          <w:szCs w:val="24"/>
        </w:rPr>
      </w:pPr>
    </w:p>
    <w:p w:rsidR="00F853AF" w:rsidRDefault="00F853AF" w:rsidP="004A2C31">
      <w:pPr>
        <w:spacing w:after="120" w:line="360" w:lineRule="auto"/>
        <w:ind w:firstLine="708"/>
        <w:jc w:val="both"/>
        <w:rPr>
          <w:rFonts w:ascii="Arial" w:eastAsiaTheme="majorEastAsia" w:hAnsi="Arial" w:cs="Arial"/>
          <w:b/>
          <w:sz w:val="24"/>
          <w:szCs w:val="24"/>
        </w:rPr>
      </w:pPr>
      <w:r w:rsidRPr="00F853AF">
        <w:rPr>
          <w:rFonts w:ascii="Arial" w:eastAsiaTheme="majorEastAsia" w:hAnsi="Arial" w:cs="Arial"/>
          <w:b/>
          <w:sz w:val="24"/>
          <w:szCs w:val="24"/>
        </w:rPr>
        <w:t xml:space="preserve">1. </w:t>
      </w:r>
      <w:r w:rsidR="008459C9">
        <w:rPr>
          <w:rFonts w:ascii="Arial" w:eastAsiaTheme="majorEastAsia" w:hAnsi="Arial" w:cs="Arial"/>
          <w:b/>
          <w:sz w:val="24"/>
          <w:szCs w:val="24"/>
        </w:rPr>
        <w:t>Desde dónde pretendemos cautelar</w:t>
      </w:r>
    </w:p>
    <w:p w:rsidR="004A2C31" w:rsidRDefault="004A2C31" w:rsidP="004A2C31">
      <w:pPr>
        <w:spacing w:after="120" w:line="360" w:lineRule="auto"/>
        <w:jc w:val="both"/>
        <w:rPr>
          <w:rFonts w:ascii="Arial" w:hAnsi="Arial" w:cs="Arial"/>
          <w:sz w:val="24"/>
          <w:szCs w:val="24"/>
        </w:rPr>
      </w:pPr>
      <w:r w:rsidRPr="00433703">
        <w:rPr>
          <w:rFonts w:ascii="Arial" w:hAnsi="Arial" w:cs="Arial"/>
          <w:sz w:val="24"/>
          <w:szCs w:val="24"/>
        </w:rPr>
        <w:t>Si bien todo investigador pretende observar desde un punto de vista objetivo, no debemos olvidar que, para observar, uno no puede salirse de sí mismo, tal como señaló Ortega y Gasset “yo soy yo y mi circunstancia</w:t>
      </w:r>
      <w:r w:rsidRPr="00433703">
        <w:rPr>
          <w:rStyle w:val="Refdenotaalpie"/>
          <w:rFonts w:ascii="Arial" w:hAnsi="Arial" w:cs="Arial"/>
          <w:sz w:val="24"/>
          <w:szCs w:val="24"/>
        </w:rPr>
        <w:footnoteReference w:id="3"/>
      </w:r>
      <w:r w:rsidRPr="00433703">
        <w:rPr>
          <w:rFonts w:ascii="Arial" w:hAnsi="Arial" w:cs="Arial"/>
          <w:sz w:val="24"/>
          <w:szCs w:val="24"/>
        </w:rPr>
        <w:t>”; este yo y estas circun</w:t>
      </w:r>
      <w:r w:rsidRPr="00433703">
        <w:rPr>
          <w:rFonts w:ascii="Arial" w:hAnsi="Arial" w:cs="Arial"/>
          <w:sz w:val="24"/>
          <w:szCs w:val="24"/>
        </w:rPr>
        <w:t>s</w:t>
      </w:r>
      <w:r w:rsidRPr="00433703">
        <w:rPr>
          <w:rFonts w:ascii="Arial" w:hAnsi="Arial" w:cs="Arial"/>
          <w:sz w:val="24"/>
          <w:szCs w:val="24"/>
        </w:rPr>
        <w:t>tancias es lo que se pretende aclarar en las próximas líneas</w:t>
      </w:r>
    </w:p>
    <w:p w:rsidR="004A2C31" w:rsidRPr="00433703" w:rsidRDefault="004A2C31" w:rsidP="004A2C31">
      <w:pPr>
        <w:spacing w:after="120" w:line="360" w:lineRule="auto"/>
        <w:jc w:val="both"/>
        <w:rPr>
          <w:rFonts w:ascii="Arial" w:hAnsi="Arial" w:cs="Arial"/>
          <w:sz w:val="24"/>
          <w:szCs w:val="24"/>
        </w:rPr>
      </w:pPr>
      <w:r w:rsidRPr="00433703">
        <w:rPr>
          <w:rFonts w:ascii="Arial" w:hAnsi="Arial" w:cs="Arial"/>
          <w:sz w:val="24"/>
          <w:szCs w:val="24"/>
        </w:rPr>
        <w:t>Básicamente, la ideología garantista supone ver al proceso desde una visión garantizadora de los derechos fundamentales de los hombres. Un sistema democrático enfocado en el hombre y en la vigencia de sus derechos fundament</w:t>
      </w:r>
      <w:r w:rsidRPr="00433703">
        <w:rPr>
          <w:rFonts w:ascii="Arial" w:hAnsi="Arial" w:cs="Arial"/>
          <w:sz w:val="24"/>
          <w:szCs w:val="24"/>
        </w:rPr>
        <w:t>a</w:t>
      </w:r>
      <w:r w:rsidRPr="00433703">
        <w:rPr>
          <w:rFonts w:ascii="Arial" w:hAnsi="Arial" w:cs="Arial"/>
          <w:sz w:val="24"/>
          <w:szCs w:val="24"/>
        </w:rPr>
        <w:t>les no puede prescindir de un sistema legal –sustancial y procesal- que compa</w:t>
      </w:r>
      <w:r w:rsidRPr="00433703">
        <w:rPr>
          <w:rFonts w:ascii="Arial" w:hAnsi="Arial" w:cs="Arial"/>
          <w:sz w:val="24"/>
          <w:szCs w:val="24"/>
        </w:rPr>
        <w:t>r</w:t>
      </w:r>
      <w:r w:rsidRPr="00433703">
        <w:rPr>
          <w:rFonts w:ascii="Arial" w:hAnsi="Arial" w:cs="Arial"/>
          <w:sz w:val="24"/>
          <w:szCs w:val="24"/>
        </w:rPr>
        <w:t>ta y asista a estos fines</w:t>
      </w:r>
      <w:r w:rsidRPr="00433703">
        <w:rPr>
          <w:rStyle w:val="Refdenotaalpie"/>
          <w:rFonts w:ascii="Arial" w:hAnsi="Arial" w:cs="Arial"/>
          <w:sz w:val="24"/>
          <w:szCs w:val="24"/>
        </w:rPr>
        <w:footnoteReference w:id="4"/>
      </w:r>
      <w:r w:rsidRPr="00433703">
        <w:rPr>
          <w:rFonts w:ascii="Arial" w:hAnsi="Arial" w:cs="Arial"/>
          <w:sz w:val="24"/>
          <w:szCs w:val="24"/>
        </w:rPr>
        <w:t xml:space="preserve">. </w:t>
      </w:r>
    </w:p>
    <w:p w:rsidR="004A2C31" w:rsidRPr="00433703" w:rsidRDefault="004A2C31" w:rsidP="004A2C31">
      <w:pPr>
        <w:spacing w:after="120" w:line="360" w:lineRule="auto"/>
        <w:jc w:val="both"/>
        <w:rPr>
          <w:rFonts w:ascii="Arial" w:hAnsi="Arial" w:cs="Arial"/>
          <w:sz w:val="24"/>
          <w:szCs w:val="24"/>
        </w:rPr>
      </w:pPr>
      <w:r w:rsidRPr="00433703">
        <w:rPr>
          <w:rFonts w:ascii="Arial" w:hAnsi="Arial" w:cs="Arial"/>
          <w:sz w:val="24"/>
          <w:szCs w:val="24"/>
        </w:rPr>
        <w:t>El hombre, por el sólo hecho de serlo posee una serie de derechos inalienables que se han dado en llamar derechos humanos. Esos derechos pueden ser an</w:t>
      </w:r>
      <w:r w:rsidRPr="00433703">
        <w:rPr>
          <w:rFonts w:ascii="Arial" w:hAnsi="Arial" w:cs="Arial"/>
          <w:sz w:val="24"/>
          <w:szCs w:val="24"/>
        </w:rPr>
        <w:t>a</w:t>
      </w:r>
      <w:r w:rsidRPr="00433703">
        <w:rPr>
          <w:rFonts w:ascii="Arial" w:hAnsi="Arial" w:cs="Arial"/>
          <w:sz w:val="24"/>
          <w:szCs w:val="24"/>
        </w:rPr>
        <w:t xml:space="preserve">lizados a la luz del principio pro </w:t>
      </w:r>
      <w:proofErr w:type="spellStart"/>
      <w:r w:rsidRPr="00433703">
        <w:rPr>
          <w:rFonts w:ascii="Arial" w:hAnsi="Arial" w:cs="Arial"/>
          <w:sz w:val="24"/>
          <w:szCs w:val="24"/>
        </w:rPr>
        <w:t>homine</w:t>
      </w:r>
      <w:proofErr w:type="spellEnd"/>
      <w:r w:rsidRPr="00433703">
        <w:rPr>
          <w:rFonts w:ascii="Arial" w:hAnsi="Arial" w:cs="Arial"/>
          <w:sz w:val="24"/>
          <w:szCs w:val="24"/>
        </w:rPr>
        <w:t xml:space="preserve">. El principio pro </w:t>
      </w:r>
      <w:proofErr w:type="spellStart"/>
      <w:r w:rsidRPr="00433703">
        <w:rPr>
          <w:rFonts w:ascii="Arial" w:hAnsi="Arial" w:cs="Arial"/>
          <w:sz w:val="24"/>
          <w:szCs w:val="24"/>
        </w:rPr>
        <w:t>homine</w:t>
      </w:r>
      <w:proofErr w:type="spellEnd"/>
      <w:r w:rsidRPr="00433703">
        <w:rPr>
          <w:rFonts w:ascii="Arial" w:hAnsi="Arial" w:cs="Arial"/>
          <w:sz w:val="24"/>
          <w:szCs w:val="24"/>
        </w:rPr>
        <w:t xml:space="preserve"> es un criterio hermenéutico </w:t>
      </w:r>
      <w:r w:rsidRPr="00433703">
        <w:rPr>
          <w:rFonts w:ascii="Arial" w:hAnsi="Arial" w:cs="Arial"/>
          <w:sz w:val="24"/>
          <w:szCs w:val="24"/>
        </w:rPr>
        <w:lastRenderedPageBreak/>
        <w:t>que informa todo el derecho de los derechos humanos, en virtud del cual se debe acudir a la norma más amplia, o a la interpretación más exte</w:t>
      </w:r>
      <w:r w:rsidRPr="00433703">
        <w:rPr>
          <w:rFonts w:ascii="Arial" w:hAnsi="Arial" w:cs="Arial"/>
          <w:sz w:val="24"/>
          <w:szCs w:val="24"/>
        </w:rPr>
        <w:t>n</w:t>
      </w:r>
      <w:r w:rsidRPr="00433703">
        <w:rPr>
          <w:rFonts w:ascii="Arial" w:hAnsi="Arial" w:cs="Arial"/>
          <w:sz w:val="24"/>
          <w:szCs w:val="24"/>
        </w:rPr>
        <w:t>siva, cuando se trata de reconocer derechos protegidos e, inversamente, a la norma o a la interpretación más restringida cuando se trata de establecer re</w:t>
      </w:r>
      <w:r w:rsidRPr="00433703">
        <w:rPr>
          <w:rFonts w:ascii="Arial" w:hAnsi="Arial" w:cs="Arial"/>
          <w:sz w:val="24"/>
          <w:szCs w:val="24"/>
        </w:rPr>
        <w:t>s</w:t>
      </w:r>
      <w:r w:rsidRPr="00433703">
        <w:rPr>
          <w:rFonts w:ascii="Arial" w:hAnsi="Arial" w:cs="Arial"/>
          <w:sz w:val="24"/>
          <w:szCs w:val="24"/>
        </w:rPr>
        <w:t>tricciones permanentes al ejercicio de los derechos o su suspensión extraordin</w:t>
      </w:r>
      <w:r w:rsidRPr="00433703">
        <w:rPr>
          <w:rFonts w:ascii="Arial" w:hAnsi="Arial" w:cs="Arial"/>
          <w:sz w:val="24"/>
          <w:szCs w:val="24"/>
        </w:rPr>
        <w:t>a</w:t>
      </w:r>
      <w:r w:rsidRPr="00433703">
        <w:rPr>
          <w:rFonts w:ascii="Arial" w:hAnsi="Arial" w:cs="Arial"/>
          <w:sz w:val="24"/>
          <w:szCs w:val="24"/>
        </w:rPr>
        <w:t>ria. Este principio coincide con el rasgo fundamental del derecho de los der</w:t>
      </w:r>
      <w:r w:rsidRPr="00433703">
        <w:rPr>
          <w:rFonts w:ascii="Arial" w:hAnsi="Arial" w:cs="Arial"/>
          <w:sz w:val="24"/>
          <w:szCs w:val="24"/>
        </w:rPr>
        <w:t>e</w:t>
      </w:r>
      <w:r w:rsidRPr="00433703">
        <w:rPr>
          <w:rFonts w:ascii="Arial" w:hAnsi="Arial" w:cs="Arial"/>
          <w:sz w:val="24"/>
          <w:szCs w:val="24"/>
        </w:rPr>
        <w:t>chos humanos, esto es, estar siempre a favor del hombre</w:t>
      </w:r>
      <w:r w:rsidRPr="00433703">
        <w:rPr>
          <w:rStyle w:val="Refdenotaalpie"/>
          <w:rFonts w:ascii="Arial" w:hAnsi="Arial" w:cs="Arial"/>
          <w:sz w:val="24"/>
          <w:szCs w:val="24"/>
        </w:rPr>
        <w:footnoteReference w:id="5"/>
      </w:r>
      <w:r w:rsidRPr="00433703">
        <w:rPr>
          <w:rFonts w:ascii="Arial" w:hAnsi="Arial" w:cs="Arial"/>
          <w:sz w:val="24"/>
          <w:szCs w:val="24"/>
        </w:rPr>
        <w:t>.</w:t>
      </w:r>
    </w:p>
    <w:p w:rsidR="004A2C31" w:rsidRPr="00433703" w:rsidRDefault="004A2C31" w:rsidP="004A2C31">
      <w:pPr>
        <w:spacing w:after="120" w:line="360" w:lineRule="auto"/>
        <w:jc w:val="both"/>
        <w:rPr>
          <w:rFonts w:ascii="Arial" w:hAnsi="Arial" w:cs="Arial"/>
          <w:sz w:val="24"/>
          <w:szCs w:val="24"/>
        </w:rPr>
      </w:pPr>
      <w:r w:rsidRPr="00433703">
        <w:rPr>
          <w:rFonts w:ascii="Arial" w:hAnsi="Arial" w:cs="Arial"/>
          <w:sz w:val="24"/>
          <w:szCs w:val="24"/>
        </w:rPr>
        <w:t>Ahora, de qué sirven los derechos si no contamos con garantías que nos perm</w:t>
      </w:r>
      <w:r w:rsidRPr="00433703">
        <w:rPr>
          <w:rFonts w:ascii="Arial" w:hAnsi="Arial" w:cs="Arial"/>
          <w:sz w:val="24"/>
          <w:szCs w:val="24"/>
        </w:rPr>
        <w:t>i</w:t>
      </w:r>
      <w:r w:rsidRPr="00433703">
        <w:rPr>
          <w:rFonts w:ascii="Arial" w:hAnsi="Arial" w:cs="Arial"/>
          <w:sz w:val="24"/>
          <w:szCs w:val="24"/>
        </w:rPr>
        <w:t>tan efectivizarlos. Los derechos no cuentan si no hay garantías; y por más que se los declare o enuncie en solemnes documentos, no valen nada si no se re</w:t>
      </w:r>
      <w:r w:rsidRPr="00433703">
        <w:rPr>
          <w:rFonts w:ascii="Arial" w:hAnsi="Arial" w:cs="Arial"/>
          <w:sz w:val="24"/>
          <w:szCs w:val="24"/>
        </w:rPr>
        <w:t>s</w:t>
      </w:r>
      <w:r w:rsidRPr="00433703">
        <w:rPr>
          <w:rFonts w:ascii="Arial" w:hAnsi="Arial" w:cs="Arial"/>
          <w:sz w:val="24"/>
          <w:szCs w:val="24"/>
        </w:rPr>
        <w:t>peta el proceso justo (o debido proceso) que es la garantía fundamental</w:t>
      </w:r>
      <w:r w:rsidRPr="00433703">
        <w:rPr>
          <w:rStyle w:val="Refdenotaalpie"/>
          <w:rFonts w:ascii="Arial" w:hAnsi="Arial" w:cs="Arial"/>
          <w:sz w:val="24"/>
          <w:szCs w:val="24"/>
        </w:rPr>
        <w:footnoteReference w:id="6"/>
      </w:r>
      <w:r w:rsidRPr="00433703">
        <w:rPr>
          <w:rFonts w:ascii="Arial" w:hAnsi="Arial" w:cs="Arial"/>
          <w:sz w:val="24"/>
          <w:szCs w:val="24"/>
        </w:rPr>
        <w:t xml:space="preserve">. </w:t>
      </w:r>
    </w:p>
    <w:p w:rsidR="004A2C31" w:rsidRDefault="004A2C31" w:rsidP="004A2C31">
      <w:pPr>
        <w:spacing w:after="120" w:line="360" w:lineRule="auto"/>
        <w:jc w:val="both"/>
        <w:rPr>
          <w:rFonts w:ascii="Arial" w:hAnsi="Arial" w:cs="Arial"/>
          <w:sz w:val="24"/>
          <w:szCs w:val="24"/>
        </w:rPr>
      </w:pPr>
      <w:r w:rsidRPr="00433703">
        <w:rPr>
          <w:rFonts w:ascii="Arial" w:hAnsi="Arial" w:cs="Arial"/>
          <w:sz w:val="24"/>
          <w:szCs w:val="24"/>
        </w:rPr>
        <w:t>Podemos atribuir a los derechos constitucionales básicos o fundamentales la característica de corazas protectoras de la individualidad contra la amenaza mayoritaria. De esta forma, el derecho procesal proporciona los recursos apropi</w:t>
      </w:r>
      <w:r w:rsidRPr="00433703">
        <w:rPr>
          <w:rFonts w:ascii="Arial" w:hAnsi="Arial" w:cs="Arial"/>
          <w:sz w:val="24"/>
          <w:szCs w:val="24"/>
        </w:rPr>
        <w:t>a</w:t>
      </w:r>
      <w:r w:rsidRPr="00433703">
        <w:rPr>
          <w:rFonts w:ascii="Arial" w:hAnsi="Arial" w:cs="Arial"/>
          <w:sz w:val="24"/>
          <w:szCs w:val="24"/>
        </w:rPr>
        <w:t>dos para hacer efectiva la justicia constitucional como objetivo primordial de la democracia constitucional</w:t>
      </w:r>
      <w:r w:rsidRPr="00433703">
        <w:rPr>
          <w:rStyle w:val="Refdenotaalpie"/>
          <w:rFonts w:ascii="Arial" w:hAnsi="Arial" w:cs="Arial"/>
          <w:sz w:val="24"/>
          <w:szCs w:val="24"/>
        </w:rPr>
        <w:footnoteReference w:id="7"/>
      </w:r>
      <w:r w:rsidRPr="00433703">
        <w:rPr>
          <w:rFonts w:ascii="Arial" w:hAnsi="Arial" w:cs="Arial"/>
          <w:sz w:val="24"/>
          <w:szCs w:val="24"/>
        </w:rPr>
        <w:t xml:space="preserv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La necesidad de un proceso nace ante la existencia en el plano de la realidad de conflictos de intereses entre sujetos que ellos mismos no pueden resolver. Es decir, surge como mecanismo de solución de conflictos.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La ventaja de trasladar este conflicto al plano jurídico es igualar a las partes enfrentadas en un lugar de producción discursiva. Esta igualdad se logra otorgando las mismas facultades en un método de debate frente a un tercero imparcial, </w:t>
      </w:r>
      <w:proofErr w:type="spellStart"/>
      <w:r w:rsidRPr="00F853AF">
        <w:rPr>
          <w:rFonts w:ascii="Arial" w:eastAsiaTheme="majorEastAsia" w:hAnsi="Arial" w:cs="Arial"/>
          <w:sz w:val="24"/>
          <w:szCs w:val="24"/>
        </w:rPr>
        <w:t>impartial</w:t>
      </w:r>
      <w:proofErr w:type="spellEnd"/>
      <w:r w:rsidRPr="00F853AF">
        <w:rPr>
          <w:rFonts w:ascii="Arial" w:eastAsiaTheme="majorEastAsia" w:hAnsi="Arial" w:cs="Arial"/>
          <w:sz w:val="24"/>
          <w:szCs w:val="24"/>
        </w:rPr>
        <w:t xml:space="preserve"> e independiente, el juez.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Ahora, en cuanto a la estructura del debate, pa</w:t>
      </w:r>
      <w:r>
        <w:rPr>
          <w:rFonts w:ascii="Arial" w:eastAsiaTheme="majorEastAsia" w:hAnsi="Arial" w:cs="Arial"/>
          <w:sz w:val="24"/>
          <w:szCs w:val="24"/>
        </w:rPr>
        <w:t>ra constituir un proceso</w:t>
      </w:r>
      <w:r w:rsidRPr="00F853AF">
        <w:rPr>
          <w:rFonts w:ascii="Arial" w:eastAsiaTheme="majorEastAsia" w:hAnsi="Arial" w:cs="Arial"/>
          <w:sz w:val="24"/>
          <w:szCs w:val="24"/>
        </w:rPr>
        <w:t xml:space="preserve">, debe iniciarse con el ejercicio del derecho de acción y contener las siguientes etapas: afirmación, posibilidad de negación, posibilidad de confirmación, posibilidad de alegación. Hablamos de posibilidad de negación, posibilidad de confirmación y de alegación porque su existencia dependerá de la actitud que tome cada una de las partes. Esto porque frente a una pretensión, el pretendido debe tener un espacio </w:t>
      </w:r>
      <w:r w:rsidRPr="00F853AF">
        <w:rPr>
          <w:rFonts w:ascii="Arial" w:eastAsiaTheme="majorEastAsia" w:hAnsi="Arial" w:cs="Arial"/>
          <w:sz w:val="24"/>
          <w:szCs w:val="24"/>
        </w:rPr>
        <w:lastRenderedPageBreak/>
        <w:t>para ser oído, ya que el juzgador no podría resolver en base a la exclusiva y unilateral afirmación del pretendiente; se genera así la etapa de posibilidad de negación. Ahora, esta etapa es una posibilidad para el demandado, que puede elegir o no usarla –con la correspondiente consecuencia negativa en caso de que no lo haga-, lo mismo ocurrirá con las etapas siguientes. De este modo podemos explicar al proceso mediante un diagrama de flujo cuya dirección y extensión dependerá de la actitud de las partes. El flujo será continuo y permitirá la apertura de nuevas etapas siempre y cuando se hayan dado las condiciones para ello y las partes decidan utilizar esta posibilidad; en cambio el flujo se cortará y no podrá reanudarse cuando las partes decidan no utilizar alguna etapa, encauzándose directamente hacia la etapa siguiente o hacia la sentencia.</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Esto se condice con el planteo de que el proceso es un derecho y su ejercicio una facultad, las partes pueden elegir utilizarlo y qué etapas transitar, eligiendo impulsar la acción de una etapa a otra.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Ahora, para obtener una respuesta de la autoridad no basta con instar a través de la acción, sino que es necesario, además, dotarla de contenido. La acción sirve para pedir y la pretensión es justamente lo que pido.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Ante la imposibilidad de resolver un conflicto en el plano de la realidad social, la pretensión social, cuyos sujetos son pretendiente y resistente, se inserta en la estructura de la acción, que enlaza a actor, juez y demandado, transformándose en pretensión procesal. Cuando la pretensión pasa a ser procesal se agrega un tercer sujeto, el juez. Entonces, acción y pretensión procesal, que sólo pueden existir juntas, comparten sujetos.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Ahora, para que esta pretensión procesal se materialice, tome forma -generalmente escrita- y pueda ser presentada ante un juez, se requiere un elemento que la contenga. La materialización de la pretensión procesal se puede dar por ejemplo en una demanda o en una acusación, dependiendo de la materia de fondo de que se trate. Tendremos entonces demandas que contengan, por ejemplo, pretensiones resarcitorias de daños y perjuicios, pretensiones de cobro de pesos y acusaciones que contengan pretensiones punitivas. Sin importar el nombre que le demos al elemento que la contenga lo que lo identifica como único es la materialización de la pretensión.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A través de una demanda que contiene una pretensión procesal instaremos la acción y daremos inicio al proceso, que se compondrá de una serie de eventos concatenados cuya efectiva realización dependerá de la voluntad de las partes pero que necesariamente comenzará con una afirmación y eventualmente dará lugar a una sentencia. Sentencia que sólo será justa si es resultado de un debido proceso, que a su vez, para serlo, requerirá que las partes lo transiten con igualdad de oportunidades ante un juez imparcial, </w:t>
      </w:r>
      <w:proofErr w:type="spellStart"/>
      <w:r w:rsidRPr="00F853AF">
        <w:rPr>
          <w:rFonts w:ascii="Arial" w:eastAsiaTheme="majorEastAsia" w:hAnsi="Arial" w:cs="Arial"/>
          <w:sz w:val="24"/>
          <w:szCs w:val="24"/>
        </w:rPr>
        <w:t>impartial</w:t>
      </w:r>
      <w:proofErr w:type="spellEnd"/>
      <w:r w:rsidRPr="00F853AF">
        <w:rPr>
          <w:rFonts w:ascii="Arial" w:eastAsiaTheme="majorEastAsia" w:hAnsi="Arial" w:cs="Arial"/>
          <w:sz w:val="24"/>
          <w:szCs w:val="24"/>
        </w:rPr>
        <w:t xml:space="preserve"> e independiente.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La igualdad en el proceso supone la igualdad de oportunidades, la igualdad de posibilidades o, como venimos diciendo, la igualdad de facultades. En cuanto a la imparcialidad del juzgador, lógica contracara de la igualdad de partes, parece coherente sostener que las partes sólo podrán estar jurídicamente igualadas si discuten ante un tercero que no se incline -durante el proceso-, a favor de ninguna de ellas o de sus versiones. Para poder hacer valer esta igualdad de facultades es necesario un juez que esté dispuesto a mantenerla sin condicionamientos, que vele porque el proceso se dé conforme está previsto, respetando la serie lógica, en realidad respetando la facultad de las partes de utilizar cada una de las etapas de la serie.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Por tanto, puede concluirse que, para nosotros, debido proceso es: aquel debate que realizan dos partes igualadas, ante un juez imparcial (conteniendo éste concepto los de </w:t>
      </w:r>
      <w:proofErr w:type="spellStart"/>
      <w:r w:rsidRPr="00F853AF">
        <w:rPr>
          <w:rFonts w:ascii="Arial" w:eastAsiaTheme="majorEastAsia" w:hAnsi="Arial" w:cs="Arial"/>
          <w:sz w:val="24"/>
          <w:szCs w:val="24"/>
        </w:rPr>
        <w:t>impartialidad</w:t>
      </w:r>
      <w:proofErr w:type="spellEnd"/>
      <w:r w:rsidRPr="00F853AF">
        <w:rPr>
          <w:rFonts w:ascii="Arial" w:eastAsiaTheme="majorEastAsia" w:hAnsi="Arial" w:cs="Arial"/>
          <w:sz w:val="24"/>
          <w:szCs w:val="24"/>
        </w:rPr>
        <w:t xml:space="preserve"> e independencia). Ese debate deberá posibilitar que cada una de las partes para que exprese su versión de los hechos, la confirme o no y enlace esas afirmaciones iniciales con las confirmaciones realizadas; todo esto a partir de la igualdad jurídica sostenida por un juez director.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 este concepto lo identificamos con la noción de debido proceso abstracto y cualquier norma procesal que se dicte debe establecer como mínimo esas pautas. Decimos como mínimo porque nada obsta a que, al regular un proceso determinado se aumenten las exigencias, siempre que sea en aras de respetar los derechos y garantías de las partes. En ese caso, además de respetar los principios lógicos genéricos que configuran el debido proceso en abstracto, deben seguirse las disposiciones particulares, para así dar lugar a un debido proceso en concreto.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Podemos adicionar a esta definición que un proceso, para ser debido proceso en concreto, debe además realizarse</w:t>
      </w:r>
      <w:r w:rsidR="008459C9">
        <w:rPr>
          <w:rFonts w:ascii="Arial" w:eastAsiaTheme="majorEastAsia" w:hAnsi="Arial" w:cs="Arial"/>
          <w:sz w:val="24"/>
          <w:szCs w:val="24"/>
        </w:rPr>
        <w:t xml:space="preserve"> como tal. Para ello se propone</w:t>
      </w:r>
      <w:r w:rsidRPr="00F853AF">
        <w:rPr>
          <w:rFonts w:ascii="Arial" w:eastAsiaTheme="majorEastAsia" w:hAnsi="Arial" w:cs="Arial"/>
          <w:sz w:val="24"/>
          <w:szCs w:val="24"/>
        </w:rPr>
        <w:t xml:space="preserve"> un análisis </w:t>
      </w:r>
      <w:proofErr w:type="spellStart"/>
      <w:r w:rsidRPr="00F853AF">
        <w:rPr>
          <w:rFonts w:ascii="Arial" w:eastAsiaTheme="majorEastAsia" w:hAnsi="Arial" w:cs="Arial"/>
          <w:sz w:val="24"/>
          <w:szCs w:val="24"/>
        </w:rPr>
        <w:t>trialista</w:t>
      </w:r>
      <w:proofErr w:type="spellEnd"/>
      <w:r w:rsidRPr="00F853AF">
        <w:rPr>
          <w:rFonts w:ascii="Arial" w:eastAsiaTheme="majorEastAsia" w:hAnsi="Arial" w:cs="Arial"/>
          <w:sz w:val="24"/>
          <w:szCs w:val="24"/>
        </w:rPr>
        <w:t xml:space="preserve"> </w:t>
      </w:r>
      <w:r w:rsidRPr="00F853AF">
        <w:rPr>
          <w:rFonts w:ascii="Arial" w:eastAsiaTheme="majorEastAsia" w:hAnsi="Arial" w:cs="Arial"/>
          <w:sz w:val="24"/>
          <w:szCs w:val="24"/>
        </w:rPr>
        <w:lastRenderedPageBreak/>
        <w:t xml:space="preserve">del fenómeno, que nos da la posibilidad en primer lugar de determinar el deber ser del proceso al definir su estructura en abstracto y luego </w:t>
      </w:r>
      <w:r w:rsidR="008459C9">
        <w:rPr>
          <w:rFonts w:ascii="Arial" w:eastAsiaTheme="majorEastAsia" w:hAnsi="Arial" w:cs="Arial"/>
          <w:sz w:val="24"/>
          <w:szCs w:val="24"/>
        </w:rPr>
        <w:t>consideran</w:t>
      </w:r>
      <w:r w:rsidRPr="00F853AF">
        <w:rPr>
          <w:rFonts w:ascii="Arial" w:eastAsiaTheme="majorEastAsia" w:hAnsi="Arial" w:cs="Arial"/>
          <w:sz w:val="24"/>
          <w:szCs w:val="24"/>
        </w:rPr>
        <w:t xml:space="preserve">do la Constitución y las leyes que lo regulan definir su estructura en concreto (dimensión normativa); es decir, cómo debe ser un debido proceso. En segundo lugar conocer la vigencia efectiva de esas normas y verificar su cumplimiento (dimensión sociológica) y, por último, analizada la estructura genérica del proceso y la norma escrita y contrastadas éstas con la realidad social, resta pasar por el tamiz valorativo, es decir analizarlo desde la óptica de los valores para determinar en última instancia su justicia o injusticia (dimensión </w:t>
      </w:r>
      <w:proofErr w:type="spellStart"/>
      <w:r w:rsidRPr="00F853AF">
        <w:rPr>
          <w:rFonts w:ascii="Arial" w:eastAsiaTheme="majorEastAsia" w:hAnsi="Arial" w:cs="Arial"/>
          <w:sz w:val="24"/>
          <w:szCs w:val="24"/>
        </w:rPr>
        <w:t>dikelógica</w:t>
      </w:r>
      <w:proofErr w:type="spellEnd"/>
      <w:r w:rsidRPr="00F853AF">
        <w:rPr>
          <w:rFonts w:ascii="Arial" w:eastAsiaTheme="majorEastAsia" w:hAnsi="Arial" w:cs="Arial"/>
          <w:sz w:val="24"/>
          <w:szCs w:val="24"/>
        </w:rPr>
        <w:t xml:space="preserve">). </w:t>
      </w:r>
    </w:p>
    <w:p w:rsid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Para que todo esto pueda ser llevado adelante, se requiere –como se dijo-, de un juez imparcial, </w:t>
      </w:r>
      <w:proofErr w:type="spellStart"/>
      <w:r w:rsidRPr="00F853AF">
        <w:rPr>
          <w:rFonts w:ascii="Arial" w:eastAsiaTheme="majorEastAsia" w:hAnsi="Arial" w:cs="Arial"/>
          <w:sz w:val="24"/>
          <w:szCs w:val="24"/>
        </w:rPr>
        <w:t>impartial</w:t>
      </w:r>
      <w:proofErr w:type="spellEnd"/>
      <w:r w:rsidRPr="00F853AF">
        <w:rPr>
          <w:rFonts w:ascii="Arial" w:eastAsiaTheme="majorEastAsia" w:hAnsi="Arial" w:cs="Arial"/>
          <w:sz w:val="24"/>
          <w:szCs w:val="24"/>
        </w:rPr>
        <w:t xml:space="preserve"> e independiente. En este sentido, la CIDH ha dicho que la imparcialidad –que presupone la independencia y la </w:t>
      </w:r>
      <w:proofErr w:type="spellStart"/>
      <w:r w:rsidRPr="00F853AF">
        <w:rPr>
          <w:rFonts w:ascii="Arial" w:eastAsiaTheme="majorEastAsia" w:hAnsi="Arial" w:cs="Arial"/>
          <w:sz w:val="24"/>
          <w:szCs w:val="24"/>
        </w:rPr>
        <w:t>impartialidad</w:t>
      </w:r>
      <w:proofErr w:type="spellEnd"/>
      <w:r w:rsidRPr="00F853AF">
        <w:rPr>
          <w:rFonts w:ascii="Arial" w:eastAsiaTheme="majorEastAsia" w:hAnsi="Arial" w:cs="Arial"/>
          <w:sz w:val="24"/>
          <w:szCs w:val="24"/>
        </w:rPr>
        <w:t xml:space="preserve">- es una característica de todo órgano decisor y  “no basta con serlo sino que también debe parecerlo”, por lo que habrá de entendérsela en este doble carácter. Así, desde el punto de vista subjetivo, la imparcialidad comprenderá la ausencia de prejuicios e intereses personales con relación a las partes de un litigio que pudieran afectar la objetividad y neutralidad del pronunciamiento. Tradicionalmente esta garantía se ha intentado proteger mediante normas procesales que regulan los institutos de la recusación e inhibitoria. A su vez, desde el punto de vista objetivo, la imparcialidad debe ser un hecho que resulte convincente y que brinde confianza a la población en la institución judicial. En este sentido, y tal como lo sostuvo el Tribunal Europeo de Derechos Humanos, hasta las apariencias podrán tener importancia: </w:t>
      </w:r>
      <w:proofErr w:type="spellStart"/>
      <w:r w:rsidRPr="00F853AF">
        <w:rPr>
          <w:rFonts w:ascii="Arial" w:eastAsiaTheme="majorEastAsia" w:hAnsi="Arial" w:cs="Arial"/>
          <w:sz w:val="24"/>
          <w:szCs w:val="24"/>
        </w:rPr>
        <w:t>Justice</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must</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not</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only</w:t>
      </w:r>
      <w:proofErr w:type="spellEnd"/>
      <w:r w:rsidRPr="00F853AF">
        <w:rPr>
          <w:rFonts w:ascii="Arial" w:eastAsiaTheme="majorEastAsia" w:hAnsi="Arial" w:cs="Arial"/>
          <w:sz w:val="24"/>
          <w:szCs w:val="24"/>
        </w:rPr>
        <w:t xml:space="preserve"> be done: </w:t>
      </w:r>
      <w:proofErr w:type="spellStart"/>
      <w:r w:rsidRPr="00F853AF">
        <w:rPr>
          <w:rFonts w:ascii="Arial" w:eastAsiaTheme="majorEastAsia" w:hAnsi="Arial" w:cs="Arial"/>
          <w:sz w:val="24"/>
          <w:szCs w:val="24"/>
        </w:rPr>
        <w:t>it</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must</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also</w:t>
      </w:r>
      <w:proofErr w:type="spellEnd"/>
      <w:r w:rsidRPr="00F853AF">
        <w:rPr>
          <w:rFonts w:ascii="Arial" w:eastAsiaTheme="majorEastAsia" w:hAnsi="Arial" w:cs="Arial"/>
          <w:sz w:val="24"/>
          <w:szCs w:val="24"/>
        </w:rPr>
        <w:t xml:space="preserve"> be </w:t>
      </w:r>
      <w:proofErr w:type="spellStart"/>
      <w:r w:rsidRPr="00F853AF">
        <w:rPr>
          <w:rFonts w:ascii="Arial" w:eastAsiaTheme="majorEastAsia" w:hAnsi="Arial" w:cs="Arial"/>
          <w:sz w:val="24"/>
          <w:szCs w:val="24"/>
        </w:rPr>
        <w:t>seen</w:t>
      </w:r>
      <w:proofErr w:type="spellEnd"/>
      <w:r w:rsidRPr="00F853AF">
        <w:rPr>
          <w:rFonts w:ascii="Arial" w:eastAsiaTheme="majorEastAsia" w:hAnsi="Arial" w:cs="Arial"/>
          <w:sz w:val="24"/>
          <w:szCs w:val="24"/>
        </w:rPr>
        <w:t xml:space="preserve"> to be done (las decisiones de los tribunales no solo deben ser justas, sino también parecerlas)."</w:t>
      </w:r>
      <w:r w:rsidRPr="00F853AF">
        <w:rPr>
          <w:rFonts w:ascii="Arial" w:eastAsiaTheme="majorEastAsia" w:hAnsi="Arial" w:cs="Arial"/>
          <w:sz w:val="24"/>
          <w:szCs w:val="24"/>
          <w:vertAlign w:val="superscript"/>
        </w:rPr>
        <w:footnoteReference w:id="8"/>
      </w:r>
    </w:p>
    <w:p w:rsidR="008459C9" w:rsidRDefault="008459C9" w:rsidP="00F853AF">
      <w:pPr>
        <w:spacing w:after="120" w:line="360" w:lineRule="auto"/>
        <w:jc w:val="both"/>
        <w:rPr>
          <w:rFonts w:ascii="Arial" w:eastAsiaTheme="majorEastAsia" w:hAnsi="Arial" w:cs="Arial"/>
          <w:sz w:val="24"/>
          <w:szCs w:val="24"/>
        </w:rPr>
      </w:pPr>
    </w:p>
    <w:p w:rsidR="004A2C31" w:rsidRPr="00F853AF" w:rsidRDefault="004A2C31" w:rsidP="00F853AF">
      <w:pPr>
        <w:spacing w:after="120" w:line="360" w:lineRule="auto"/>
        <w:jc w:val="both"/>
        <w:rPr>
          <w:rFonts w:ascii="Arial" w:eastAsiaTheme="majorEastAsia" w:hAnsi="Arial" w:cs="Arial"/>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r w:rsidRPr="00F853AF">
        <w:rPr>
          <w:rFonts w:ascii="Arial" w:eastAsiaTheme="majorEastAsia" w:hAnsi="Arial" w:cs="Arial"/>
          <w:b/>
          <w:sz w:val="24"/>
          <w:szCs w:val="24"/>
        </w:rPr>
        <w:lastRenderedPageBreak/>
        <w:t>2. El juez y la verosimilitud en el derecho</w:t>
      </w:r>
    </w:p>
    <w:p w:rsidR="008459C9" w:rsidRDefault="008459C9" w:rsidP="00F853AF">
      <w:pPr>
        <w:spacing w:after="120" w:line="360" w:lineRule="auto"/>
        <w:jc w:val="both"/>
        <w:rPr>
          <w:rFonts w:ascii="Arial" w:eastAsiaTheme="majorEastAsia" w:hAnsi="Arial" w:cs="Arial"/>
          <w:sz w:val="24"/>
          <w:szCs w:val="24"/>
        </w:rPr>
      </w:pPr>
      <w:r>
        <w:rPr>
          <w:rFonts w:ascii="Arial" w:eastAsiaTheme="majorEastAsia" w:hAnsi="Arial" w:cs="Arial"/>
          <w:sz w:val="24"/>
          <w:szCs w:val="24"/>
        </w:rPr>
        <w:t>Entonces, un juez para ser tal debe ser necesariamente imparcial, y c</w:t>
      </w:r>
      <w:r w:rsidRPr="008459C9">
        <w:rPr>
          <w:rFonts w:ascii="Arial" w:eastAsiaTheme="majorEastAsia" w:hAnsi="Arial" w:cs="Arial"/>
          <w:sz w:val="24"/>
          <w:szCs w:val="24"/>
        </w:rPr>
        <w:t>ómo se afecta la imparcialidad a través del dictado de una cautelar</w:t>
      </w:r>
      <w:proofErr w:type="gramStart"/>
      <w:r w:rsidRPr="008459C9">
        <w:rPr>
          <w:rFonts w:ascii="Arial" w:eastAsiaTheme="majorEastAsia" w:hAnsi="Arial" w:cs="Arial"/>
          <w:sz w:val="24"/>
          <w:szCs w:val="24"/>
        </w:rPr>
        <w:t>?</w:t>
      </w:r>
      <w:proofErr w:type="gramEnd"/>
      <w:r w:rsidRPr="008459C9">
        <w:rPr>
          <w:rFonts w:ascii="Arial" w:eastAsiaTheme="majorEastAsia" w:hAnsi="Arial" w:cs="Arial"/>
          <w:sz w:val="24"/>
          <w:szCs w:val="24"/>
        </w:rPr>
        <w:t xml:space="preserve"> El problema surge en el análisis del requisito de verosimilitud del derecho, veamos esto. </w:t>
      </w:r>
    </w:p>
    <w:p w:rsidR="00F853AF" w:rsidRPr="00F853AF" w:rsidRDefault="008459C9" w:rsidP="00F853AF">
      <w:pPr>
        <w:spacing w:after="120" w:line="360" w:lineRule="auto"/>
        <w:jc w:val="both"/>
        <w:rPr>
          <w:rFonts w:ascii="Arial" w:eastAsiaTheme="majorEastAsia" w:hAnsi="Arial" w:cs="Arial"/>
          <w:sz w:val="24"/>
          <w:szCs w:val="24"/>
        </w:rPr>
      </w:pPr>
      <w:r>
        <w:rPr>
          <w:rFonts w:ascii="Arial" w:eastAsiaTheme="majorEastAsia" w:hAnsi="Arial" w:cs="Arial"/>
          <w:sz w:val="24"/>
          <w:szCs w:val="24"/>
        </w:rPr>
        <w:t xml:space="preserve">El interrogante principal que debemos plantearnos es </w:t>
      </w:r>
      <w:r w:rsidR="00F853AF" w:rsidRPr="00F853AF">
        <w:rPr>
          <w:rFonts w:ascii="Arial" w:eastAsiaTheme="majorEastAsia" w:hAnsi="Arial" w:cs="Arial"/>
          <w:sz w:val="24"/>
          <w:szCs w:val="24"/>
        </w:rPr>
        <w:t xml:space="preserve">qué verosimilitud analiza el juez ante una petición cautelar. En respuesta a dicho interrogante, podemos afirmar que cuando el juez se encuentra ante una petición cautelar y debe analizar la verosimilitud en el derecho, lo hará necesariamente considerando los hechos a los que hace referencia ese derecho. </w:t>
      </w:r>
    </w:p>
    <w:p w:rsidR="00F853AF" w:rsidRPr="00F853AF" w:rsidRDefault="008459C9" w:rsidP="00F853AF">
      <w:pPr>
        <w:spacing w:after="120" w:line="360" w:lineRule="auto"/>
        <w:jc w:val="both"/>
        <w:rPr>
          <w:rFonts w:ascii="Arial" w:eastAsiaTheme="majorEastAsia" w:hAnsi="Arial" w:cs="Arial"/>
          <w:sz w:val="24"/>
          <w:szCs w:val="24"/>
        </w:rPr>
      </w:pPr>
      <w:r>
        <w:rPr>
          <w:rFonts w:ascii="Arial" w:eastAsiaTheme="majorEastAsia" w:hAnsi="Arial" w:cs="Arial"/>
          <w:sz w:val="24"/>
          <w:szCs w:val="24"/>
        </w:rPr>
        <w:t>N</w:t>
      </w:r>
      <w:r w:rsidR="00F853AF" w:rsidRPr="00F853AF">
        <w:rPr>
          <w:rFonts w:ascii="Arial" w:eastAsiaTheme="majorEastAsia" w:hAnsi="Arial" w:cs="Arial"/>
          <w:sz w:val="24"/>
          <w:szCs w:val="24"/>
        </w:rPr>
        <w:t>o se puede pretender una medida cautelar en abstracto, tampoco parece serio que el juez la otorgue,</w:t>
      </w:r>
      <w:r w:rsidR="00F853AF" w:rsidRPr="00F853AF">
        <w:rPr>
          <w:rFonts w:ascii="Arial" w:eastAsiaTheme="majorEastAsia" w:hAnsi="Arial" w:cs="Arial"/>
          <w:sz w:val="24"/>
          <w:szCs w:val="24"/>
          <w:vertAlign w:val="superscript"/>
        </w:rPr>
        <w:footnoteReference w:id="9"/>
      </w:r>
      <w:r w:rsidR="00F853AF" w:rsidRPr="00F853AF">
        <w:rPr>
          <w:rFonts w:ascii="Arial" w:eastAsiaTheme="majorEastAsia" w:hAnsi="Arial" w:cs="Arial"/>
          <w:sz w:val="24"/>
          <w:szCs w:val="24"/>
        </w:rPr>
        <w:t xml:space="preserve"> es necesario explicar por qué y para qué pretendemos la medida. En esta explicación exponemos una versión de los hechos que, si para el juez resulta similar a la posible verdad, alcanzará para que nos otorguen la medida cautelar.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Nuestro planteo es que este conocimiento somero, ínfimo, acotado de los hechos y el pequeño grado de convencimiento de su veracidad, revisten entidad suficiente para generar en la parte a quien se le impuso la cautela el temor de parcialidad. Ello porque podemos afirmar que el juez está “camino a convencerse” de la versión del cautelado, es cierto que aún debe transitarse todo el proceso, debe reforzarse esa probabilidad y convertirse en certeza, también es cierto que podría rechazarse la pretensión en la sentencia, pero el hecho de que exista en quien va a analizar el material confirmatorio un pequeño grado de convencimiento acerca de la versión de quien solicitó la cautelar alcanza para afirmar que no lo hará de manera completamente objetiva.</w:t>
      </w:r>
      <w:r w:rsidRPr="00F853AF">
        <w:rPr>
          <w:rFonts w:ascii="Arial" w:eastAsiaTheme="majorEastAsia" w:hAnsi="Arial" w:cs="Arial"/>
          <w:sz w:val="24"/>
          <w:szCs w:val="24"/>
          <w:vertAlign w:val="superscript"/>
        </w:rPr>
        <w:footnoteReference w:id="10"/>
      </w:r>
      <w:r w:rsidRPr="00F853AF">
        <w:rPr>
          <w:rFonts w:ascii="Arial" w:eastAsiaTheme="majorEastAsia" w:hAnsi="Arial" w:cs="Arial"/>
          <w:sz w:val="24"/>
          <w:szCs w:val="24"/>
        </w:rPr>
        <w:t xml:space="preserv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Así lo entiende la CIDH, tal como menciona el procurador general de la Corte suprema de Justicia de la Nación en el Fallo </w:t>
      </w:r>
      <w:proofErr w:type="spellStart"/>
      <w:r w:rsidRPr="00F853AF">
        <w:rPr>
          <w:rFonts w:ascii="Arial" w:eastAsiaTheme="majorEastAsia" w:hAnsi="Arial" w:cs="Arial"/>
          <w:sz w:val="24"/>
          <w:szCs w:val="24"/>
        </w:rPr>
        <w:t>Dieser</w:t>
      </w:r>
      <w:proofErr w:type="spellEnd"/>
      <w:r w:rsidRPr="00F853AF">
        <w:rPr>
          <w:rFonts w:ascii="Arial" w:eastAsiaTheme="majorEastAsia" w:hAnsi="Arial" w:cs="Arial"/>
          <w:sz w:val="24"/>
          <w:szCs w:val="24"/>
        </w:rPr>
        <w:t>:</w:t>
      </w:r>
      <w:r w:rsidRPr="00F853AF">
        <w:rPr>
          <w:rFonts w:ascii="Arial" w:eastAsiaTheme="majorEastAsia" w:hAnsi="Arial" w:cs="Arial"/>
          <w:sz w:val="24"/>
          <w:szCs w:val="24"/>
          <w:vertAlign w:val="superscript"/>
        </w:rPr>
        <w:footnoteReference w:id="11"/>
      </w:r>
      <w:r w:rsidRPr="00F853AF">
        <w:rPr>
          <w:rFonts w:ascii="Arial" w:eastAsiaTheme="majorEastAsia" w:hAnsi="Arial" w:cs="Arial"/>
          <w:sz w:val="24"/>
          <w:szCs w:val="24"/>
        </w:rPr>
        <w:t xml:space="preserve"> “esta Corte ha afirmado en ocasiones anteriores que la imparcialidad supone que el tribunal o juez no tiene opiniones preconcebidas sobre el caso sub judice (Conf. Informe 78/02, caso 11.335, </w:t>
      </w:r>
      <w:proofErr w:type="spellStart"/>
      <w:r w:rsidRPr="00F853AF">
        <w:rPr>
          <w:rFonts w:ascii="Arial" w:eastAsiaTheme="majorEastAsia" w:hAnsi="Arial" w:cs="Arial"/>
          <w:sz w:val="24"/>
          <w:szCs w:val="24"/>
        </w:rPr>
        <w:t>Guy</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Malary</w:t>
      </w:r>
      <w:proofErr w:type="spellEnd"/>
      <w:r w:rsidRPr="00F853AF">
        <w:rPr>
          <w:rFonts w:ascii="Arial" w:eastAsiaTheme="majorEastAsia" w:hAnsi="Arial" w:cs="Arial"/>
          <w:sz w:val="24"/>
          <w:szCs w:val="24"/>
        </w:rPr>
        <w:t xml:space="preserve"> Vs. Haití 27/12/02). Claramente una resolución que admite una medida cautelar por considerar que quien la solicita tiene derecho a hacerlo en virtud de los hechos someramente expuestos, implica por parte del juez que la dicta, una opinión preconcebida sobre el caso sub judice”.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Funda esta posición el procurador afirmando que “es probable conjeturar que quien debió emitir un juicio de verosimilitud podría quedar psíquicamente condicionado para emitir un juicio de certeza, pues no debe descartarse la permeabilidad entre los distintos grados de conocimiento y los difusos límites intelectivos entre la probabilidad y la certeza”.</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Refuerza esta teoría la Corte Suprema de Justicia de la Nación en Llerena</w:t>
      </w:r>
      <w:r w:rsidRPr="00F853AF">
        <w:rPr>
          <w:rFonts w:ascii="Arial" w:eastAsiaTheme="majorEastAsia" w:hAnsi="Arial" w:cs="Arial"/>
          <w:sz w:val="24"/>
          <w:szCs w:val="24"/>
          <w:vertAlign w:val="superscript"/>
        </w:rPr>
        <w:footnoteReference w:id="12"/>
      </w:r>
      <w:r w:rsidRPr="00F853AF">
        <w:rPr>
          <w:rFonts w:ascii="Arial" w:eastAsiaTheme="majorEastAsia" w:hAnsi="Arial" w:cs="Arial"/>
          <w:sz w:val="24"/>
          <w:szCs w:val="24"/>
        </w:rPr>
        <w:t xml:space="preserve"> en el voto de </w:t>
      </w:r>
      <w:proofErr w:type="spellStart"/>
      <w:r w:rsidRPr="00F853AF">
        <w:rPr>
          <w:rFonts w:ascii="Arial" w:eastAsiaTheme="majorEastAsia" w:hAnsi="Arial" w:cs="Arial"/>
          <w:sz w:val="24"/>
          <w:szCs w:val="24"/>
        </w:rPr>
        <w:t>Belluscio</w:t>
      </w:r>
      <w:proofErr w:type="spellEnd"/>
      <w:r w:rsidRPr="00F853AF">
        <w:rPr>
          <w:rFonts w:ascii="Arial" w:eastAsiaTheme="majorEastAsia" w:hAnsi="Arial" w:cs="Arial"/>
          <w:sz w:val="24"/>
          <w:szCs w:val="24"/>
        </w:rPr>
        <w:t xml:space="preserve"> y Argibay -disidencia parcial-: “Y si bien esa convicción puede quedar luego desvirtuada por la prueba producida en el proceso, su imparcialidad para la decisión final resulta, por lo menos, dudosa”.</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Esa duda surge de desentrañar qué es lo que se analiza cuando se dicta una cautelar. Se consideraba salvada la situación porque la verosimilitud se refiere al derecho y no a los hechos, pero, como también sostuvo la Corte Suprema de Justicia de la Nación, no es posible hacer una distinción entre hechos y derecho.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Así en el fallo CASAL</w:t>
      </w:r>
      <w:r w:rsidRPr="00F853AF">
        <w:rPr>
          <w:rFonts w:ascii="Arial" w:eastAsiaTheme="majorEastAsia" w:hAnsi="Arial" w:cs="Arial"/>
          <w:sz w:val="24"/>
          <w:szCs w:val="24"/>
          <w:vertAlign w:val="superscript"/>
        </w:rPr>
        <w:footnoteReference w:id="13"/>
      </w:r>
      <w:r w:rsidRPr="00F853AF">
        <w:rPr>
          <w:rFonts w:ascii="Arial" w:eastAsiaTheme="majorEastAsia" w:hAnsi="Arial" w:cs="Arial"/>
          <w:sz w:val="24"/>
          <w:szCs w:val="24"/>
        </w:rPr>
        <w:t xml:space="preserve"> ha sostenido la Corte:</w:t>
      </w:r>
    </w:p>
    <w:p w:rsidR="00F853AF" w:rsidRPr="00F853AF" w:rsidRDefault="00F853AF" w:rsidP="00F853AF">
      <w:pPr>
        <w:spacing w:after="120" w:line="360" w:lineRule="auto"/>
        <w:ind w:left="142" w:right="112"/>
        <w:jc w:val="both"/>
        <w:rPr>
          <w:rFonts w:ascii="Arial" w:eastAsiaTheme="majorEastAsia" w:hAnsi="Arial" w:cs="Arial"/>
          <w:sz w:val="24"/>
          <w:szCs w:val="24"/>
        </w:rPr>
      </w:pPr>
      <w:r w:rsidRPr="00F853AF">
        <w:rPr>
          <w:rFonts w:ascii="Arial" w:eastAsiaTheme="majorEastAsia" w:hAnsi="Arial" w:cs="Arial"/>
          <w:sz w:val="24"/>
          <w:szCs w:val="24"/>
        </w:rPr>
        <w:t xml:space="preserve">Al respecto cabe también acotar que la distinción entre cuestiones de hecho y de derecho siempre ha sido problemática y en definitiva, si bien parece clara en principio, enfrentada a los casos reales es poco menos que inoperante, como se ha demostrado largamente en la vieja clasificación del error en el campo del derecho sustantivo. Ello obedece, en el ámbito procesal, no sólo a que una falsa valoración de los hechos lleva a una incorrecta aplicación del derecho, sino a que </w:t>
      </w:r>
      <w:r w:rsidRPr="00F853AF">
        <w:rPr>
          <w:rFonts w:ascii="Arial" w:eastAsiaTheme="majorEastAsia" w:hAnsi="Arial" w:cs="Arial"/>
          <w:sz w:val="24"/>
          <w:szCs w:val="24"/>
        </w:rPr>
        <w:lastRenderedPageBreak/>
        <w:t>la misma valoración errónea de los hechos depende de que no se hayan aplicado o se hayan aplicado incorrectamente las reglas jurídicas que se imponen a los jueces para formular esa valoración. O sea, que en cualquier caso puede convertirse una cuestión de hecho en una de derecho y, viceversa, la inobservancia de una regla procesal, como puede ser el beneficio de la duda puede considerarse como una cuestión de hecho.</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En este orden de ideas, ha sostenido </w:t>
      </w:r>
      <w:proofErr w:type="spellStart"/>
      <w:r w:rsidRPr="00F853AF">
        <w:rPr>
          <w:rFonts w:ascii="Arial" w:eastAsiaTheme="majorEastAsia" w:hAnsi="Arial" w:cs="Arial"/>
          <w:sz w:val="24"/>
          <w:szCs w:val="24"/>
        </w:rPr>
        <w:t>Calamandrei</w:t>
      </w:r>
      <w:proofErr w:type="spellEnd"/>
      <w:r w:rsidRPr="00F853AF">
        <w:rPr>
          <w:rFonts w:ascii="Arial" w:eastAsiaTheme="majorEastAsia" w:hAnsi="Arial" w:cs="Arial"/>
          <w:sz w:val="24"/>
          <w:szCs w:val="24"/>
        </w:rPr>
        <w:t xml:space="preserve"> que "la estricta exigencia de rigurosa distinción entre cuestiones de hecho y de derecho (…) ignora, por un lado, la extrema dificultad que, como regla, ofrece esa distinción, en particular cuando la objeción se centra en el juicio de subsunción, esto es, en la determinación de la relación específica trazada entre la norma y el caso particular.</w:t>
      </w:r>
      <w:r w:rsidRPr="00F853AF">
        <w:rPr>
          <w:rFonts w:ascii="Arial" w:eastAsiaTheme="majorEastAsia" w:hAnsi="Arial" w:cs="Arial"/>
          <w:sz w:val="24"/>
          <w:szCs w:val="24"/>
          <w:vertAlign w:val="superscript"/>
        </w:rPr>
        <w:footnoteReference w:id="14"/>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¿Cómo podemos decir que alguien tiene derecho a algo sin siquiera tratar los hechos en los que se funda ese derecho? Llevado a un caso práctico: dos vecinos se obligan por reglamento de copropiedad a no modificar el frente de un inmueble sujeto al régimen de propiedad horizontal. Una mañana uno de los dos advierte el inicio de obras, solicita el cese verbalmente, el otro se niega (pretensión social). Concurre a un juez con un claro peligro en la demora, realiza una petición cautelar de no innovar, solicitando al juez que obligue a su vecino a detener la obra. El juez recibe la causa, ¿qué analiza? La verosimilitud del derecho del </w:t>
      </w:r>
      <w:proofErr w:type="spellStart"/>
      <w:r w:rsidRPr="00F853AF">
        <w:rPr>
          <w:rFonts w:ascii="Arial" w:eastAsiaTheme="majorEastAsia" w:hAnsi="Arial" w:cs="Arial"/>
          <w:sz w:val="24"/>
          <w:szCs w:val="24"/>
        </w:rPr>
        <w:t>peticionante</w:t>
      </w:r>
      <w:proofErr w:type="spellEnd"/>
      <w:r w:rsidRPr="00F853AF">
        <w:rPr>
          <w:rFonts w:ascii="Arial" w:eastAsiaTheme="majorEastAsia" w:hAnsi="Arial" w:cs="Arial"/>
          <w:sz w:val="24"/>
          <w:szCs w:val="24"/>
        </w:rPr>
        <w:t xml:space="preserve">, es decir que quien peticiona la cautelar pueda hacerlo. Así verá por ejemplo, la legitimación activa y pasiva (titularidad de los bienes y existencia de un reglamento de copropiedad que prohíba modificar el frente). Aun sin analizar el efectivo inicio de las obras, lógico es que un juez que va a ordenar que no se realice ninguna modificación sobre un inmueble primero verifique que quien lo solicita tenga el derecho a hacerlo y esto sólo podrá hacerse acreditando “someramente” la titularidad del bien y la existencia de la obligación de “no modificar”.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Ahora, cuando el </w:t>
      </w:r>
      <w:proofErr w:type="spellStart"/>
      <w:r w:rsidRPr="00F853AF">
        <w:rPr>
          <w:rFonts w:ascii="Arial" w:eastAsiaTheme="majorEastAsia" w:hAnsi="Arial" w:cs="Arial"/>
          <w:sz w:val="24"/>
          <w:szCs w:val="24"/>
        </w:rPr>
        <w:t>peticionante</w:t>
      </w:r>
      <w:proofErr w:type="spellEnd"/>
      <w:r w:rsidRPr="00F853AF">
        <w:rPr>
          <w:rFonts w:ascii="Arial" w:eastAsiaTheme="majorEastAsia" w:hAnsi="Arial" w:cs="Arial"/>
          <w:sz w:val="24"/>
          <w:szCs w:val="24"/>
        </w:rPr>
        <w:t xml:space="preserve"> de la cautelar inicie el principal por el incumplimiento de reglamento de copropiedad y pretenda daños y perjuicios, ¿qué hechos va a analizar el juez? La titularidad del bien, la existencia de la obligación de no modificar y ahora sí, que efectivamente se haya realizado algún acto que atente contra esa obligación. Es decir que, gran parte de los hechos de la pretensión principal </w:t>
      </w:r>
      <w:r w:rsidRPr="00F853AF">
        <w:rPr>
          <w:rFonts w:ascii="Arial" w:eastAsiaTheme="majorEastAsia" w:hAnsi="Arial" w:cs="Arial"/>
          <w:sz w:val="24"/>
          <w:szCs w:val="24"/>
        </w:rPr>
        <w:lastRenderedPageBreak/>
        <w:t xml:space="preserve">coincidirán con los hechos que justifican la verosimilitud en el derecho de la petición cautelar.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En la situación descripta, el temor de parcialidad es evidente. A este respecto tiene dicho la Corte Suprema de Justicia de la Nación en CASAL</w:t>
      </w:r>
      <w:r w:rsidRPr="00F853AF">
        <w:rPr>
          <w:rFonts w:ascii="Arial" w:eastAsiaTheme="majorEastAsia" w:hAnsi="Arial" w:cs="Arial"/>
          <w:sz w:val="24"/>
          <w:szCs w:val="24"/>
          <w:vertAlign w:val="superscript"/>
        </w:rPr>
        <w:footnoteReference w:id="15"/>
      </w:r>
      <w:r w:rsidRPr="00F853AF">
        <w:rPr>
          <w:rFonts w:ascii="Arial" w:eastAsiaTheme="majorEastAsia" w:hAnsi="Arial" w:cs="Arial"/>
          <w:sz w:val="24"/>
          <w:szCs w:val="24"/>
        </w:rPr>
        <w:t xml:space="preserve"> que:</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“para determinar el temor de parcialidad no se requiere una evaluación de los motivos que impulsaron al juez a dictar dichos actos procesales, ni sus fundamentos en el caso individual. Basta con que se hayan dictado estos actos.”</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“La persona sometida a un proceso tiene derecho a ser oída por un tribunal imparcial, razón por la cual resulta necesario determinar el alcance de dicha garantía. Que la garantía de Imparcialidad del juez es uno de los pilares en que se apoya nuestro sistema de enjuiciamiento, ya que es una manifestación directa del principio acusatorio y de las garantías de defensa en juicio y debido proceso, en su vinculación con las pautas de organización judicial del Estado”. “En este contexto, la imparcialidad del juzgador puede ser definida como la ausencia de prejuicios o intereses de éste frente al caso que debe decidir, tanto en relación a las partes como a la materia”.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En este sentido expresa </w:t>
      </w:r>
      <w:proofErr w:type="spellStart"/>
      <w:r w:rsidRPr="00F853AF">
        <w:rPr>
          <w:rFonts w:ascii="Arial" w:eastAsiaTheme="majorEastAsia" w:hAnsi="Arial" w:cs="Arial"/>
          <w:sz w:val="24"/>
          <w:szCs w:val="24"/>
        </w:rPr>
        <w:t>Ferrajoli</w:t>
      </w:r>
      <w:proofErr w:type="spellEnd"/>
      <w:r w:rsidRPr="00F853AF">
        <w:rPr>
          <w:rFonts w:ascii="Arial" w:eastAsiaTheme="majorEastAsia" w:hAnsi="Arial" w:cs="Arial"/>
          <w:sz w:val="24"/>
          <w:szCs w:val="24"/>
        </w:rPr>
        <w:t>: "es indispensable para que se garantice la ajenidad del juez a los dos intereses contrapuestos (...) Esta imparcialidad del juez respecto de los fines perseguidos por las partes debe ser tanto personal como institucional.</w:t>
      </w:r>
      <w:r w:rsidRPr="00F853AF">
        <w:rPr>
          <w:rFonts w:ascii="Arial" w:eastAsiaTheme="majorEastAsia" w:hAnsi="Arial" w:cs="Arial"/>
          <w:sz w:val="24"/>
          <w:szCs w:val="24"/>
          <w:vertAlign w:val="superscript"/>
        </w:rPr>
        <w:footnoteReference w:id="16"/>
      </w:r>
      <w:r w:rsidRPr="00F853AF">
        <w:rPr>
          <w:rFonts w:ascii="Arial" w:eastAsiaTheme="majorEastAsia" w:hAnsi="Arial" w:cs="Arial"/>
          <w:sz w:val="24"/>
          <w:szCs w:val="24"/>
        </w:rPr>
        <w:t xml:space="preserve">" </w:t>
      </w:r>
    </w:p>
    <w:p w:rsidR="00F853AF" w:rsidRPr="00F853AF" w:rsidRDefault="00F853AF" w:rsidP="00F853AF">
      <w:pPr>
        <w:spacing w:after="120" w:line="360" w:lineRule="auto"/>
        <w:jc w:val="both"/>
        <w:rPr>
          <w:rFonts w:ascii="Arial" w:eastAsiaTheme="majorEastAsia" w:hAnsi="Arial" w:cs="Arial"/>
          <w:sz w:val="24"/>
          <w:szCs w:val="24"/>
        </w:rPr>
      </w:pPr>
      <w:proofErr w:type="spellStart"/>
      <w:r w:rsidRPr="00F853AF">
        <w:rPr>
          <w:rFonts w:ascii="Arial" w:eastAsiaTheme="majorEastAsia" w:hAnsi="Arial" w:cs="Arial"/>
          <w:sz w:val="24"/>
          <w:szCs w:val="24"/>
        </w:rPr>
        <w:t>Ferrajoli</w:t>
      </w:r>
      <w:proofErr w:type="spellEnd"/>
      <w:r w:rsidRPr="00F853AF">
        <w:rPr>
          <w:rFonts w:ascii="Arial" w:eastAsiaTheme="majorEastAsia" w:hAnsi="Arial" w:cs="Arial"/>
          <w:sz w:val="24"/>
          <w:szCs w:val="24"/>
        </w:rPr>
        <w:t xml:space="preserve">, en la opinión citada por la Corte, refiere a la imparcialidad como la ajenidad del juez a los dos intereses contrapuestos. ¿Puede hablarse de ajenidad si verosímilmente consideró que una de las partes tiene un derecho </w:t>
      </w:r>
      <w:proofErr w:type="spellStart"/>
      <w:r w:rsidRPr="00F853AF">
        <w:rPr>
          <w:rFonts w:ascii="Arial" w:eastAsiaTheme="majorEastAsia" w:hAnsi="Arial" w:cs="Arial"/>
          <w:sz w:val="24"/>
          <w:szCs w:val="24"/>
        </w:rPr>
        <w:t>cautelable</w:t>
      </w:r>
      <w:proofErr w:type="spellEnd"/>
      <w:r w:rsidRPr="00F853AF">
        <w:rPr>
          <w:rFonts w:ascii="Arial" w:eastAsiaTheme="majorEastAsia" w:hAnsi="Arial" w:cs="Arial"/>
          <w:sz w:val="24"/>
          <w:szCs w:val="24"/>
        </w:rPr>
        <w:t xml:space="preserve">? Enfatiza la Corte en que basta para configurar el temor de parcialidad haber dictado actos, sin importar los motivos que lo impulsaron ¿no alcanza una resolución que tiene por acreditada someramente la proposición fáctica del </w:t>
      </w:r>
      <w:proofErr w:type="spellStart"/>
      <w:r w:rsidRPr="00F853AF">
        <w:rPr>
          <w:rFonts w:ascii="Arial" w:eastAsiaTheme="majorEastAsia" w:hAnsi="Arial" w:cs="Arial"/>
          <w:sz w:val="24"/>
          <w:szCs w:val="24"/>
        </w:rPr>
        <w:t>cautelante</w:t>
      </w:r>
      <w:proofErr w:type="spellEnd"/>
      <w:r w:rsidRPr="00F853AF">
        <w:rPr>
          <w:rFonts w:ascii="Arial" w:eastAsiaTheme="majorEastAsia" w:hAnsi="Arial" w:cs="Arial"/>
          <w:sz w:val="24"/>
          <w:szCs w:val="24"/>
        </w:rPr>
        <w:t xml:space="preserve"> para generar temor de parcialidad?</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Reafirma la Corte en el citado fallo: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la opinión dominante en esta materia establece que la imparcialidad objetiva se vincula con el hecho de que el juzgador muestre garantías suficientes tendientes a evitar cualquier duda razonable que pueda conducir a presumir su parcialidad frente al caso. Si de alguna manera puede presumirse por razones legítimas que el juez genere dudas acerca de su imparcialidad frente al tema a decidir, debe ser apartado de su tratamiento, para preservar la confianza de los ciudadanos -y sobre todo del imputado- en la administración de justicia, que constituye un pilar del sistema democrático”.</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Se suma a la importancia que la imparcialidad reviste como derecho del demandado y como principio necesario para que un proceso sea debido, la necesaria confianza de los ciudadanos en la administración de justicia, como pilar del sistema democrático. </w:t>
      </w:r>
    </w:p>
    <w:p w:rsidR="004A2C31" w:rsidRDefault="004A2C31"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r w:rsidRPr="00F853AF">
        <w:rPr>
          <w:rFonts w:ascii="Arial" w:eastAsiaTheme="majorEastAsia" w:hAnsi="Arial" w:cs="Arial"/>
          <w:b/>
          <w:sz w:val="24"/>
          <w:szCs w:val="24"/>
        </w:rPr>
        <w:t>2.1. Análisis de la jurisprudencia</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Nuestras afirmaciones encuentran sustento en el real análisis que hace la jurisprudencia a la hora de tratar una petición cautelar. Si bien siempre se menciona la verosimilitud en el derecho y la provisionalidad de la cautelar, como veremos, el juez analiza hechos.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Veamos: </w:t>
      </w:r>
    </w:p>
    <w:p w:rsidR="00F853AF" w:rsidRPr="00F853AF" w:rsidRDefault="00F853AF" w:rsidP="00F853AF">
      <w:pPr>
        <w:spacing w:after="120" w:line="360" w:lineRule="auto"/>
        <w:ind w:left="284" w:right="962"/>
        <w:jc w:val="both"/>
        <w:rPr>
          <w:rFonts w:ascii="Arial" w:eastAsiaTheme="majorEastAsia" w:hAnsi="Arial" w:cs="Arial"/>
          <w:i/>
          <w:sz w:val="24"/>
          <w:szCs w:val="24"/>
        </w:rPr>
      </w:pPr>
      <w:r w:rsidRPr="00F853AF">
        <w:rPr>
          <w:rFonts w:ascii="Arial" w:eastAsiaTheme="majorEastAsia" w:hAnsi="Arial" w:cs="Arial"/>
          <w:i/>
          <w:sz w:val="24"/>
          <w:szCs w:val="24"/>
        </w:rPr>
        <w:t xml:space="preserve">Si bien la admisibilidad de la cautelar debe analizarse con criterio amplio a fin de evitar que la ejecución de una eventual sentencia favorable se torne ilusoria, el </w:t>
      </w:r>
      <w:proofErr w:type="spellStart"/>
      <w:r w:rsidRPr="00F853AF">
        <w:rPr>
          <w:rFonts w:ascii="Arial" w:eastAsiaTheme="majorEastAsia" w:hAnsi="Arial" w:cs="Arial"/>
          <w:i/>
          <w:sz w:val="24"/>
          <w:szCs w:val="24"/>
        </w:rPr>
        <w:t>peticionante</w:t>
      </w:r>
      <w:proofErr w:type="spellEnd"/>
      <w:r w:rsidRPr="00F853AF">
        <w:rPr>
          <w:rFonts w:ascii="Arial" w:eastAsiaTheme="majorEastAsia" w:hAnsi="Arial" w:cs="Arial"/>
          <w:i/>
          <w:sz w:val="24"/>
          <w:szCs w:val="24"/>
        </w:rPr>
        <w:t xml:space="preserve"> no puede quedar relevado en forma absoluta del deber de comprobación del principio de bondad del derecho, para lo cual deberá arrimar los elementos idóneos para producir convicción en el ánimo del tribunal sobre la apariencia de certeza o credibilidad (Conf. Esta sala in re: Money Sebastián Alejandro c/ </w:t>
      </w:r>
      <w:proofErr w:type="spellStart"/>
      <w:r w:rsidRPr="00F853AF">
        <w:rPr>
          <w:rFonts w:ascii="Arial" w:eastAsiaTheme="majorEastAsia" w:hAnsi="Arial" w:cs="Arial"/>
          <w:i/>
          <w:sz w:val="24"/>
          <w:szCs w:val="24"/>
        </w:rPr>
        <w:t>Putrino</w:t>
      </w:r>
      <w:proofErr w:type="spellEnd"/>
      <w:r w:rsidRPr="00F853AF">
        <w:rPr>
          <w:rFonts w:ascii="Arial" w:eastAsiaTheme="majorEastAsia" w:hAnsi="Arial" w:cs="Arial"/>
          <w:i/>
          <w:sz w:val="24"/>
          <w:szCs w:val="24"/>
        </w:rPr>
        <w:t xml:space="preserve"> Hilda Ramona s/ Medidas precautorias, </w:t>
      </w:r>
      <w:proofErr w:type="spellStart"/>
      <w:r w:rsidRPr="00F853AF">
        <w:rPr>
          <w:rFonts w:ascii="Arial" w:eastAsiaTheme="majorEastAsia" w:hAnsi="Arial" w:cs="Arial"/>
          <w:i/>
          <w:sz w:val="24"/>
          <w:szCs w:val="24"/>
        </w:rPr>
        <w:t>Expte</w:t>
      </w:r>
      <w:proofErr w:type="spellEnd"/>
      <w:r w:rsidRPr="00F853AF">
        <w:rPr>
          <w:rFonts w:ascii="Arial" w:eastAsiaTheme="majorEastAsia" w:hAnsi="Arial" w:cs="Arial"/>
          <w:i/>
          <w:sz w:val="24"/>
          <w:szCs w:val="24"/>
        </w:rPr>
        <w:t xml:space="preserve">. Nº80.395/2004, del 26/04/2005). De analizar la cautelar pretendida a la luz de los principios referidos y valorar los elementos de convicción arrimados, teniendo siempre en consideración el carácter provisional de este tipo de medidas, no observamos en el actual estado procesal, la </w:t>
      </w:r>
      <w:r w:rsidRPr="00F853AF">
        <w:rPr>
          <w:rFonts w:ascii="Arial" w:eastAsiaTheme="majorEastAsia" w:hAnsi="Arial" w:cs="Arial"/>
          <w:i/>
          <w:sz w:val="24"/>
          <w:szCs w:val="24"/>
          <w:u w:val="single"/>
        </w:rPr>
        <w:t>concurrencia fáctica</w:t>
      </w:r>
      <w:r w:rsidRPr="00F853AF">
        <w:rPr>
          <w:rFonts w:ascii="Arial" w:eastAsiaTheme="majorEastAsia" w:hAnsi="Arial" w:cs="Arial"/>
          <w:i/>
          <w:sz w:val="24"/>
          <w:szCs w:val="24"/>
        </w:rPr>
        <w:t xml:space="preserve"> de los presupuestos necesarios para el dictado de la cautelar </w:t>
      </w:r>
      <w:r w:rsidRPr="00F853AF">
        <w:rPr>
          <w:rFonts w:ascii="Arial" w:eastAsiaTheme="majorEastAsia" w:hAnsi="Arial" w:cs="Arial"/>
          <w:i/>
          <w:sz w:val="24"/>
          <w:szCs w:val="24"/>
        </w:rPr>
        <w:lastRenderedPageBreak/>
        <w:t xml:space="preserve">autónoma pretendida, ya que no hallamos prima facie justificada la apariencia de certeza o credibilidad suficientes para admitir la medida solicitada. </w:t>
      </w:r>
    </w:p>
    <w:p w:rsidR="00F853AF" w:rsidRPr="00F853AF" w:rsidRDefault="00F853AF" w:rsidP="00F853AF">
      <w:pPr>
        <w:spacing w:after="120" w:line="360" w:lineRule="auto"/>
        <w:ind w:left="284" w:right="962"/>
        <w:jc w:val="both"/>
        <w:rPr>
          <w:rFonts w:ascii="Arial" w:eastAsiaTheme="majorEastAsia" w:hAnsi="Arial" w:cs="Arial"/>
          <w:sz w:val="24"/>
          <w:szCs w:val="24"/>
        </w:rPr>
      </w:pPr>
      <w:r w:rsidRPr="00F853AF">
        <w:rPr>
          <w:rFonts w:ascii="Arial" w:eastAsiaTheme="majorEastAsia" w:hAnsi="Arial" w:cs="Arial"/>
          <w:sz w:val="24"/>
          <w:szCs w:val="24"/>
        </w:rPr>
        <w:t xml:space="preserve">CNCIV-SALA J- “Danone Argentina S.A. c/ </w:t>
      </w:r>
      <w:proofErr w:type="spellStart"/>
      <w:r w:rsidRPr="00F853AF">
        <w:rPr>
          <w:rFonts w:ascii="Arial" w:eastAsiaTheme="majorEastAsia" w:hAnsi="Arial" w:cs="Arial"/>
          <w:sz w:val="24"/>
          <w:szCs w:val="24"/>
        </w:rPr>
        <w:t>Sancor</w:t>
      </w:r>
      <w:proofErr w:type="spellEnd"/>
      <w:r w:rsidRPr="00F853AF">
        <w:rPr>
          <w:rFonts w:ascii="Arial" w:eastAsiaTheme="majorEastAsia" w:hAnsi="Arial" w:cs="Arial"/>
          <w:sz w:val="24"/>
          <w:szCs w:val="24"/>
        </w:rPr>
        <w:t xml:space="preserve"> Cooperativas Unidas Limitadas y otros s/ Medidas Precautorias”, 16/06/2011, elDial.com-AA6D8D, publicado el 29/07/2011.</w:t>
      </w:r>
    </w:p>
    <w:p w:rsidR="00F853AF" w:rsidRPr="00F853AF" w:rsidRDefault="00F853AF" w:rsidP="00F853AF">
      <w:pPr>
        <w:spacing w:after="120" w:line="360" w:lineRule="auto"/>
        <w:ind w:right="112"/>
        <w:jc w:val="both"/>
        <w:rPr>
          <w:rFonts w:ascii="Arial" w:eastAsiaTheme="majorEastAsia" w:hAnsi="Arial" w:cs="Arial"/>
          <w:sz w:val="24"/>
          <w:szCs w:val="24"/>
        </w:rPr>
      </w:pPr>
      <w:r w:rsidRPr="00F853AF">
        <w:rPr>
          <w:rFonts w:ascii="Arial" w:eastAsiaTheme="majorEastAsia" w:hAnsi="Arial" w:cs="Arial"/>
          <w:sz w:val="24"/>
          <w:szCs w:val="24"/>
        </w:rPr>
        <w:t>En este caso, el tribunal requiere elementos idóneos para producir convicción sobre la plataforma fáctica, es decir, para la verosimilitud en el derecho requiere elementos que justifiquen los hechos.</w:t>
      </w:r>
      <w:r w:rsidRPr="00F853AF">
        <w:rPr>
          <w:rFonts w:ascii="Arial" w:eastAsiaTheme="majorEastAsia" w:hAnsi="Arial" w:cs="Arial"/>
          <w:sz w:val="24"/>
          <w:szCs w:val="24"/>
        </w:rPr>
        <w:tab/>
        <w:t xml:space="preserve"> Y luego,  por no contar con elementos suficientes que acrediten los hechos, rechaza la cautelar. </w:t>
      </w:r>
    </w:p>
    <w:p w:rsidR="00F853AF" w:rsidRPr="00F853AF" w:rsidRDefault="00F853AF" w:rsidP="00F853AF">
      <w:pPr>
        <w:spacing w:after="120" w:line="360" w:lineRule="auto"/>
        <w:ind w:left="284" w:right="962"/>
        <w:jc w:val="both"/>
        <w:rPr>
          <w:rFonts w:ascii="Arial" w:eastAsiaTheme="majorEastAsia" w:hAnsi="Arial" w:cs="Arial"/>
          <w:i/>
          <w:sz w:val="24"/>
          <w:szCs w:val="24"/>
        </w:rPr>
      </w:pPr>
      <w:r w:rsidRPr="00F853AF">
        <w:rPr>
          <w:rFonts w:ascii="Arial" w:eastAsiaTheme="majorEastAsia" w:hAnsi="Arial" w:cs="Arial"/>
          <w:i/>
          <w:sz w:val="24"/>
          <w:szCs w:val="24"/>
        </w:rPr>
        <w:t xml:space="preserve"> “Es procedente (…) el dictado de una medida cautelar (…) en virtud de encontrarse reunidos los presupuestos: a) verosimilitud en el derecho (rescisión unilateral del contrato fundada en un “reglamento general y manual del beneficiario)”. </w:t>
      </w:r>
    </w:p>
    <w:p w:rsidR="00F853AF" w:rsidRPr="00F853AF" w:rsidRDefault="00F853AF" w:rsidP="00F853AF">
      <w:pPr>
        <w:spacing w:after="120" w:line="360" w:lineRule="auto"/>
        <w:ind w:left="284" w:right="962"/>
        <w:jc w:val="both"/>
        <w:rPr>
          <w:rFonts w:ascii="Arial" w:eastAsiaTheme="majorEastAsia" w:hAnsi="Arial" w:cs="Arial"/>
          <w:sz w:val="24"/>
          <w:szCs w:val="24"/>
        </w:rPr>
      </w:pPr>
      <w:proofErr w:type="spellStart"/>
      <w:r w:rsidRPr="00F853AF">
        <w:rPr>
          <w:rFonts w:ascii="Arial" w:eastAsiaTheme="majorEastAsia" w:hAnsi="Arial" w:cs="Arial"/>
          <w:sz w:val="24"/>
          <w:szCs w:val="24"/>
        </w:rPr>
        <w:t>Cfed</w:t>
      </w:r>
      <w:proofErr w:type="spellEnd"/>
      <w:r w:rsidRPr="00F853AF">
        <w:rPr>
          <w:rFonts w:ascii="Arial" w:eastAsiaTheme="majorEastAsia" w:hAnsi="Arial" w:cs="Arial"/>
          <w:sz w:val="24"/>
          <w:szCs w:val="24"/>
        </w:rPr>
        <w:t xml:space="preserve">. La Plata, Sala civil IV, </w:t>
      </w:r>
      <w:proofErr w:type="spellStart"/>
      <w:r w:rsidRPr="00F853AF">
        <w:rPr>
          <w:rFonts w:ascii="Arial" w:eastAsiaTheme="majorEastAsia" w:hAnsi="Arial" w:cs="Arial"/>
          <w:sz w:val="24"/>
          <w:szCs w:val="24"/>
        </w:rPr>
        <w:t>Camara</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Andres</w:t>
      </w:r>
      <w:proofErr w:type="spellEnd"/>
      <w:r w:rsidRPr="00F853AF">
        <w:rPr>
          <w:rFonts w:ascii="Arial" w:eastAsiaTheme="majorEastAsia" w:hAnsi="Arial" w:cs="Arial"/>
          <w:sz w:val="24"/>
          <w:szCs w:val="24"/>
        </w:rPr>
        <w:t xml:space="preserve"> y </w:t>
      </w:r>
      <w:proofErr w:type="spellStart"/>
      <w:r w:rsidRPr="00F853AF">
        <w:rPr>
          <w:rFonts w:ascii="Arial" w:eastAsiaTheme="majorEastAsia" w:hAnsi="Arial" w:cs="Arial"/>
          <w:sz w:val="24"/>
          <w:szCs w:val="24"/>
        </w:rPr>
        <w:t>ot</w:t>
      </w:r>
      <w:proofErr w:type="spellEnd"/>
      <w:r w:rsidRPr="00F853AF">
        <w:rPr>
          <w:rFonts w:ascii="Arial" w:eastAsiaTheme="majorEastAsia" w:hAnsi="Arial" w:cs="Arial"/>
          <w:sz w:val="24"/>
          <w:szCs w:val="24"/>
        </w:rPr>
        <w:t xml:space="preserve">. c/ Banco Hipotecario Nacional, RJPBA 07-92, </w:t>
      </w:r>
      <w:proofErr w:type="spellStart"/>
      <w:r w:rsidRPr="00F853AF">
        <w:rPr>
          <w:rFonts w:ascii="Arial" w:eastAsiaTheme="majorEastAsia" w:hAnsi="Arial" w:cs="Arial"/>
          <w:sz w:val="24"/>
          <w:szCs w:val="24"/>
        </w:rPr>
        <w:t>vol</w:t>
      </w:r>
      <w:proofErr w:type="spellEnd"/>
      <w:r w:rsidRPr="00F853AF">
        <w:rPr>
          <w:rFonts w:ascii="Arial" w:eastAsiaTheme="majorEastAsia" w:hAnsi="Arial" w:cs="Arial"/>
          <w:sz w:val="24"/>
          <w:szCs w:val="24"/>
        </w:rPr>
        <w:t>, IV Nº1, p.35, 10.09.91.</w:t>
      </w:r>
    </w:p>
    <w:p w:rsidR="00F853AF" w:rsidRPr="00F853AF" w:rsidRDefault="00F853AF" w:rsidP="00F853AF">
      <w:pPr>
        <w:tabs>
          <w:tab w:val="left" w:pos="8617"/>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t>Nuevamente, se advierte claramente de esta resolución que la verosimilitud en el derecho se analiza a partir de proposiciones fácticas, de hechos. La Sala identifica directamente la verosimilitud en el derecho con los hechos de la causa.</w:t>
      </w:r>
    </w:p>
    <w:p w:rsidR="00F853AF" w:rsidRPr="00F853AF" w:rsidRDefault="00F853AF" w:rsidP="00F853AF">
      <w:pPr>
        <w:spacing w:after="120" w:line="360" w:lineRule="auto"/>
        <w:ind w:left="284" w:right="962"/>
        <w:jc w:val="both"/>
        <w:rPr>
          <w:rFonts w:ascii="Arial" w:eastAsiaTheme="majorEastAsia" w:hAnsi="Arial" w:cs="Arial"/>
          <w:i/>
          <w:sz w:val="24"/>
          <w:szCs w:val="24"/>
        </w:rPr>
      </w:pPr>
      <w:r w:rsidRPr="00F853AF">
        <w:rPr>
          <w:rFonts w:ascii="Arial" w:eastAsiaTheme="majorEastAsia" w:hAnsi="Arial" w:cs="Arial"/>
          <w:i/>
          <w:sz w:val="24"/>
          <w:szCs w:val="24"/>
        </w:rPr>
        <w:t xml:space="preserve">El certificado médico y el informe de los peritos oficiales del Cuerpo Médico Forense del Tribunal Superior de Justicia, dan cuenta de la enfermedad que padece el accionante, que las tareas desarrolladas fueron el factor determinante o más importante, y que debe continuar el tratamiento de la misma; y del examen </w:t>
      </w:r>
      <w:proofErr w:type="spellStart"/>
      <w:r w:rsidRPr="00F853AF">
        <w:rPr>
          <w:rFonts w:ascii="Arial" w:eastAsiaTheme="majorEastAsia" w:hAnsi="Arial" w:cs="Arial"/>
          <w:i/>
          <w:sz w:val="24"/>
          <w:szCs w:val="24"/>
        </w:rPr>
        <w:t>preocupacional</w:t>
      </w:r>
      <w:proofErr w:type="spellEnd"/>
      <w:r w:rsidRPr="00F853AF">
        <w:rPr>
          <w:rFonts w:ascii="Arial" w:eastAsiaTheme="majorEastAsia" w:hAnsi="Arial" w:cs="Arial"/>
          <w:i/>
          <w:sz w:val="24"/>
          <w:szCs w:val="24"/>
        </w:rPr>
        <w:t xml:space="preserve"> surge que no tenía incapacidad preexistente al inicio de la relación laboral, queda acreditada la fuerte verosimilitud del derecho invocado. </w:t>
      </w:r>
    </w:p>
    <w:p w:rsidR="00F853AF" w:rsidRPr="00F853AF" w:rsidRDefault="00F853AF" w:rsidP="00F853AF">
      <w:pPr>
        <w:spacing w:after="120" w:line="360" w:lineRule="auto"/>
        <w:ind w:left="284" w:right="962"/>
        <w:jc w:val="both"/>
        <w:rPr>
          <w:rFonts w:ascii="Arial" w:eastAsiaTheme="majorEastAsia" w:hAnsi="Arial" w:cs="Arial"/>
          <w:sz w:val="24"/>
          <w:szCs w:val="24"/>
        </w:rPr>
      </w:pPr>
      <w:r w:rsidRPr="00F853AF">
        <w:rPr>
          <w:rFonts w:ascii="Arial" w:eastAsiaTheme="majorEastAsia" w:hAnsi="Arial" w:cs="Arial"/>
          <w:sz w:val="24"/>
          <w:szCs w:val="24"/>
        </w:rPr>
        <w:t xml:space="preserve">Juzgado: Prov. de Córdoba - Juzgado de Primera Instancia en lo Civil, Comercial, Conciliación y Familia de Primera Nominación, Secretaría 1 - Bell </w:t>
      </w:r>
      <w:proofErr w:type="spellStart"/>
      <w:r w:rsidRPr="00F853AF">
        <w:rPr>
          <w:rFonts w:ascii="Arial" w:eastAsiaTheme="majorEastAsia" w:hAnsi="Arial" w:cs="Arial"/>
          <w:sz w:val="24"/>
          <w:szCs w:val="24"/>
        </w:rPr>
        <w:t>Ville</w:t>
      </w:r>
      <w:proofErr w:type="spellEnd"/>
      <w:r w:rsidRPr="00F853AF">
        <w:rPr>
          <w:rFonts w:ascii="Arial" w:eastAsiaTheme="majorEastAsia" w:hAnsi="Arial" w:cs="Arial"/>
          <w:sz w:val="24"/>
          <w:szCs w:val="24"/>
        </w:rPr>
        <w:t xml:space="preserve"> Partes: </w:t>
      </w:r>
      <w:proofErr w:type="spellStart"/>
      <w:r w:rsidRPr="00F853AF">
        <w:rPr>
          <w:rFonts w:ascii="Arial" w:eastAsiaTheme="majorEastAsia" w:hAnsi="Arial" w:cs="Arial"/>
          <w:sz w:val="24"/>
          <w:szCs w:val="24"/>
        </w:rPr>
        <w:t>Bettic</w:t>
      </w:r>
      <w:proofErr w:type="spellEnd"/>
      <w:r w:rsidRPr="00F853AF">
        <w:rPr>
          <w:rFonts w:ascii="Arial" w:eastAsiaTheme="majorEastAsia" w:hAnsi="Arial" w:cs="Arial"/>
          <w:sz w:val="24"/>
          <w:szCs w:val="24"/>
        </w:rPr>
        <w:t xml:space="preserve">, Germán Leandro c/ </w:t>
      </w:r>
      <w:proofErr w:type="spellStart"/>
      <w:r w:rsidRPr="00F853AF">
        <w:rPr>
          <w:rFonts w:ascii="Arial" w:eastAsiaTheme="majorEastAsia" w:hAnsi="Arial" w:cs="Arial"/>
          <w:sz w:val="24"/>
          <w:szCs w:val="24"/>
        </w:rPr>
        <w:t>Asociart</w:t>
      </w:r>
      <w:proofErr w:type="spellEnd"/>
      <w:r w:rsidRPr="00F853AF">
        <w:rPr>
          <w:rFonts w:ascii="Arial" w:eastAsiaTheme="majorEastAsia" w:hAnsi="Arial" w:cs="Arial"/>
          <w:sz w:val="24"/>
          <w:szCs w:val="24"/>
        </w:rPr>
        <w:t xml:space="preserve"> SA ART – Ordinario – Incapacidad Fecha: 31-03-2017 www.legaldoc.com, marzo de 2018.</w:t>
      </w:r>
    </w:p>
    <w:p w:rsidR="00F853AF" w:rsidRPr="00F853AF" w:rsidRDefault="00F853AF" w:rsidP="00F853AF">
      <w:pPr>
        <w:tabs>
          <w:tab w:val="left" w:pos="8505"/>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La fuerte verosimilitud del derecho a la que refiere se sustenta en la totalidad de los hechos acreditados. </w:t>
      </w:r>
    </w:p>
    <w:p w:rsidR="00F853AF" w:rsidRPr="00F853AF" w:rsidRDefault="00F853AF" w:rsidP="00F853AF">
      <w:pPr>
        <w:spacing w:after="120" w:line="360" w:lineRule="auto"/>
        <w:ind w:left="284" w:right="962"/>
        <w:jc w:val="both"/>
        <w:rPr>
          <w:rFonts w:ascii="Arial" w:eastAsiaTheme="majorEastAsia" w:hAnsi="Arial" w:cs="Arial"/>
          <w:i/>
          <w:sz w:val="24"/>
          <w:szCs w:val="24"/>
        </w:rPr>
      </w:pPr>
      <w:r w:rsidRPr="00F853AF">
        <w:rPr>
          <w:rFonts w:ascii="Arial" w:eastAsiaTheme="majorEastAsia" w:hAnsi="Arial" w:cs="Arial"/>
          <w:i/>
          <w:sz w:val="24"/>
          <w:szCs w:val="24"/>
        </w:rPr>
        <w:t xml:space="preserve">(…) la causa de la pretensión cautelar reside en o supone la acreditación de hechos que demuestren simplemente un grado aceptable de verosimilitud o apariencia del derecho invocado y el peligro en la demora a partir de un conocimiento periférico o 'superficial'-la </w:t>
      </w:r>
      <w:proofErr w:type="spellStart"/>
      <w:r w:rsidRPr="00F853AF">
        <w:rPr>
          <w:rFonts w:ascii="Arial" w:eastAsiaTheme="majorEastAsia" w:hAnsi="Arial" w:cs="Arial"/>
          <w:i/>
          <w:sz w:val="24"/>
          <w:szCs w:val="24"/>
        </w:rPr>
        <w:t>summaria</w:t>
      </w:r>
      <w:proofErr w:type="spellEnd"/>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cognitio</w:t>
      </w:r>
      <w:proofErr w:type="spellEnd"/>
      <w:r w:rsidRPr="00F853AF">
        <w:rPr>
          <w:rFonts w:ascii="Arial" w:eastAsiaTheme="majorEastAsia" w:hAnsi="Arial" w:cs="Arial"/>
          <w:i/>
          <w:sz w:val="24"/>
          <w:szCs w:val="24"/>
        </w:rPr>
        <w:t xml:space="preserve">-, y aspiran a una anticipación, en términos generales, que autorice a obtener una tutela provisional de los bienes o respecto de las personas involucradas en el proceso (…). En cambio, en la pretensión de fondo, la causa apunta más bien a la demostración de la certeza plena de la existencia del derecho debatido, sea que para ello se comprenda o aprehenda exhaustivamente a toda la relación jurídica, como en los procesos de conocimiento, o, por el contrario, a un fragmento o parcela de la misma, tal cual sucede en el proceso de ejecución, y al reconocimiento definitivo del derecho. </w:t>
      </w:r>
    </w:p>
    <w:p w:rsidR="00F853AF" w:rsidRPr="00F853AF" w:rsidRDefault="00F853AF" w:rsidP="00F853AF">
      <w:pPr>
        <w:spacing w:after="120" w:line="360" w:lineRule="auto"/>
        <w:ind w:left="284" w:right="962"/>
        <w:jc w:val="both"/>
        <w:rPr>
          <w:rFonts w:ascii="Arial" w:eastAsiaTheme="majorEastAsia" w:hAnsi="Arial" w:cs="Arial"/>
          <w:sz w:val="24"/>
          <w:szCs w:val="24"/>
        </w:rPr>
      </w:pPr>
      <w:r w:rsidRPr="00F853AF">
        <w:rPr>
          <w:rFonts w:ascii="Arial" w:eastAsiaTheme="majorEastAsia" w:hAnsi="Arial" w:cs="Arial"/>
          <w:sz w:val="24"/>
          <w:szCs w:val="24"/>
        </w:rPr>
        <w:t>Juzgado: Ciudad Autónoma de Buenos Aires - Cámara de Apelaciones Fuero Contencioso Administrativo y Tributario Sala de Feria Partes: CESHMA S.A. C/ FUNDACION ENCUENTRO POR LA VIDA; CULTURA Y DEMOCRACIA S/ MEDIDA CAUTELAR  Fecha: 02-06-2014 Fuente: LegalDoc.com.ar Ref</w:t>
      </w:r>
      <w:proofErr w:type="gramStart"/>
      <w:r w:rsidRPr="00F853AF">
        <w:rPr>
          <w:rFonts w:ascii="Arial" w:eastAsiaTheme="majorEastAsia" w:hAnsi="Arial" w:cs="Arial"/>
          <w:sz w:val="24"/>
          <w:szCs w:val="24"/>
        </w:rPr>
        <w:t>:ID36241</w:t>
      </w:r>
      <w:proofErr w:type="gramEnd"/>
      <w:r w:rsidRPr="00F853AF">
        <w:rPr>
          <w:rFonts w:ascii="Arial" w:eastAsiaTheme="majorEastAsia" w:hAnsi="Arial" w:cs="Arial"/>
          <w:sz w:val="24"/>
          <w:szCs w:val="24"/>
        </w:rPr>
        <w:t>, marzo de 2018.</w:t>
      </w:r>
    </w:p>
    <w:p w:rsidR="00F853AF" w:rsidRPr="00F853AF" w:rsidRDefault="00F853AF" w:rsidP="00F853AF">
      <w:pPr>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t xml:space="preserve">Esta resolución directamente reconoce nuestro planteo, la petición cautelar requiere la demostración de hechos que acrediten verosimilitud en el derecho. </w:t>
      </w:r>
    </w:p>
    <w:p w:rsidR="00F853AF" w:rsidRPr="00F853AF" w:rsidRDefault="00F853AF" w:rsidP="00F853AF">
      <w:pPr>
        <w:spacing w:after="120" w:line="360" w:lineRule="auto"/>
        <w:ind w:left="284" w:right="962"/>
        <w:jc w:val="both"/>
        <w:rPr>
          <w:rFonts w:ascii="Arial" w:eastAsiaTheme="majorEastAsia" w:hAnsi="Arial" w:cs="Arial"/>
          <w:i/>
          <w:sz w:val="24"/>
          <w:szCs w:val="24"/>
        </w:rPr>
      </w:pPr>
      <w:r w:rsidRPr="00F853AF">
        <w:rPr>
          <w:rFonts w:ascii="Arial" w:eastAsiaTheme="majorEastAsia" w:hAnsi="Arial" w:cs="Arial"/>
          <w:i/>
          <w:sz w:val="24"/>
          <w:szCs w:val="24"/>
        </w:rPr>
        <w:t xml:space="preserve">(…)El primero de los requisitos (apariencia del derecho invocado) impone que quien postula el despacho de la diligencia deberá acreditar, sumariamente y en un análisis provisorio, que prima facie le asiste razón. En cuanto al peligro en la demora o </w:t>
      </w:r>
      <w:proofErr w:type="spellStart"/>
      <w:r w:rsidRPr="00F853AF">
        <w:rPr>
          <w:rFonts w:ascii="Arial" w:eastAsiaTheme="majorEastAsia" w:hAnsi="Arial" w:cs="Arial"/>
          <w:i/>
          <w:sz w:val="24"/>
          <w:szCs w:val="24"/>
        </w:rPr>
        <w:t>periculum</w:t>
      </w:r>
      <w:proofErr w:type="spellEnd"/>
      <w:r w:rsidRPr="00F853AF">
        <w:rPr>
          <w:rFonts w:ascii="Arial" w:eastAsiaTheme="majorEastAsia" w:hAnsi="Arial" w:cs="Arial"/>
          <w:i/>
          <w:sz w:val="24"/>
          <w:szCs w:val="24"/>
        </w:rPr>
        <w:t xml:space="preserve"> in mora presupone la existencia de un riesgo si demora la prestación de la cautela jurisdiccional; es decir, si el órgano judicial no actúa ya (aunque sea modo provisorio), es muy probable que nunca más pueda hacerlo con eficacia. Respecto de la </w:t>
      </w:r>
      <w:proofErr w:type="spellStart"/>
      <w:r w:rsidRPr="00F853AF">
        <w:rPr>
          <w:rFonts w:ascii="Arial" w:eastAsiaTheme="majorEastAsia" w:hAnsi="Arial" w:cs="Arial"/>
          <w:i/>
          <w:sz w:val="24"/>
          <w:szCs w:val="24"/>
        </w:rPr>
        <w:t>irreparabilidad</w:t>
      </w:r>
      <w:proofErr w:type="spellEnd"/>
      <w:r w:rsidRPr="00F853AF">
        <w:rPr>
          <w:rFonts w:ascii="Arial" w:eastAsiaTheme="majorEastAsia" w:hAnsi="Arial" w:cs="Arial"/>
          <w:i/>
          <w:sz w:val="24"/>
          <w:szCs w:val="24"/>
        </w:rPr>
        <w:t xml:space="preserve"> del perjuicio impone que el interesado acredite, prima facie, el porqué de la </w:t>
      </w:r>
      <w:proofErr w:type="spellStart"/>
      <w:r w:rsidRPr="00F853AF">
        <w:rPr>
          <w:rFonts w:ascii="Arial" w:eastAsiaTheme="majorEastAsia" w:hAnsi="Arial" w:cs="Arial"/>
          <w:i/>
          <w:sz w:val="24"/>
          <w:szCs w:val="24"/>
        </w:rPr>
        <w:t>irreparabilidad</w:t>
      </w:r>
      <w:proofErr w:type="spellEnd"/>
      <w:r w:rsidRPr="00F853AF">
        <w:rPr>
          <w:rFonts w:ascii="Arial" w:eastAsiaTheme="majorEastAsia" w:hAnsi="Arial" w:cs="Arial"/>
          <w:i/>
          <w:sz w:val="24"/>
          <w:szCs w:val="24"/>
        </w:rPr>
        <w:t xml:space="preserve"> en los </w:t>
      </w:r>
      <w:r w:rsidRPr="00F853AF">
        <w:rPr>
          <w:rFonts w:ascii="Arial" w:eastAsiaTheme="majorEastAsia" w:hAnsi="Arial" w:cs="Arial"/>
          <w:i/>
          <w:sz w:val="24"/>
          <w:szCs w:val="24"/>
        </w:rPr>
        <w:lastRenderedPageBreak/>
        <w:t xml:space="preserve">términos reales que invoca. Finalmente la </w:t>
      </w:r>
      <w:proofErr w:type="spellStart"/>
      <w:r w:rsidRPr="00F853AF">
        <w:rPr>
          <w:rFonts w:ascii="Arial" w:eastAsiaTheme="majorEastAsia" w:hAnsi="Arial" w:cs="Arial"/>
          <w:i/>
          <w:sz w:val="24"/>
          <w:szCs w:val="24"/>
        </w:rPr>
        <w:t>contracautela</w:t>
      </w:r>
      <w:proofErr w:type="spellEnd"/>
      <w:r w:rsidRPr="00F853AF">
        <w:rPr>
          <w:rFonts w:ascii="Arial" w:eastAsiaTheme="majorEastAsia" w:hAnsi="Arial" w:cs="Arial"/>
          <w:i/>
          <w:sz w:val="24"/>
          <w:szCs w:val="24"/>
        </w:rPr>
        <w:t xml:space="preserve"> representa el contrapeso de despacho inaudita </w:t>
      </w:r>
      <w:proofErr w:type="spellStart"/>
      <w:r w:rsidRPr="00F853AF">
        <w:rPr>
          <w:rFonts w:ascii="Arial" w:eastAsiaTheme="majorEastAsia" w:hAnsi="Arial" w:cs="Arial"/>
          <w:i/>
          <w:sz w:val="24"/>
          <w:szCs w:val="24"/>
        </w:rPr>
        <w:t>pars</w:t>
      </w:r>
      <w:proofErr w:type="spellEnd"/>
      <w:r w:rsidRPr="00F853AF">
        <w:rPr>
          <w:rFonts w:ascii="Arial" w:eastAsiaTheme="majorEastAsia" w:hAnsi="Arial" w:cs="Arial"/>
          <w:i/>
          <w:sz w:val="24"/>
          <w:szCs w:val="24"/>
        </w:rPr>
        <w:t>.</w:t>
      </w:r>
    </w:p>
    <w:p w:rsidR="00F853AF" w:rsidRPr="00F853AF" w:rsidRDefault="00F853AF" w:rsidP="00F853AF">
      <w:pPr>
        <w:spacing w:after="120" w:line="360" w:lineRule="auto"/>
        <w:ind w:left="284" w:right="962"/>
        <w:jc w:val="both"/>
        <w:rPr>
          <w:rFonts w:ascii="Arial" w:eastAsiaTheme="majorEastAsia" w:hAnsi="Arial" w:cs="Arial"/>
          <w:sz w:val="24"/>
          <w:szCs w:val="24"/>
        </w:rPr>
      </w:pPr>
      <w:r w:rsidRPr="00F853AF">
        <w:rPr>
          <w:rFonts w:ascii="Arial" w:eastAsiaTheme="majorEastAsia" w:hAnsi="Arial" w:cs="Arial"/>
          <w:sz w:val="24"/>
          <w:szCs w:val="24"/>
        </w:rPr>
        <w:t>Juzgado: Prov. Santa Fe - Rosario - Cámara de Apelación en lo Civil y Comercial de Rosario. Sala 1Partes: CAFARELLA, Miguel A. contra MUNICIPALIDAD DE SAN LORENZO sobre Daños y Perjuicios Fecha: 07-04-2010 Fuente: LegalDoc.com.ar Ref</w:t>
      </w:r>
      <w:proofErr w:type="gramStart"/>
      <w:r w:rsidRPr="00F853AF">
        <w:rPr>
          <w:rFonts w:ascii="Arial" w:eastAsiaTheme="majorEastAsia" w:hAnsi="Arial" w:cs="Arial"/>
          <w:sz w:val="24"/>
          <w:szCs w:val="24"/>
        </w:rPr>
        <w:t>:ID2406</w:t>
      </w:r>
      <w:proofErr w:type="gramEnd"/>
      <w:r w:rsidRPr="00F853AF">
        <w:rPr>
          <w:rFonts w:ascii="Arial" w:eastAsiaTheme="majorEastAsia" w:hAnsi="Arial" w:cs="Arial"/>
          <w:sz w:val="24"/>
          <w:szCs w:val="24"/>
        </w:rPr>
        <w:t>, marzo de 2018.</w:t>
      </w:r>
    </w:p>
    <w:p w:rsidR="00F853AF" w:rsidRPr="00F853AF" w:rsidRDefault="00F853AF" w:rsidP="00F853AF">
      <w:pPr>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t xml:space="preserve">Se identifica a la verosimilitud en el derecho con demostrar que le asiste “prima facie” la razón, esto sólo podrá hacerse acreditando hechos. </w:t>
      </w:r>
    </w:p>
    <w:p w:rsidR="00F853AF" w:rsidRPr="00F853AF" w:rsidRDefault="00F853AF" w:rsidP="00F853AF">
      <w:pPr>
        <w:spacing w:after="120" w:line="360" w:lineRule="auto"/>
        <w:ind w:left="284" w:right="962"/>
        <w:jc w:val="both"/>
        <w:rPr>
          <w:rFonts w:ascii="Arial" w:eastAsiaTheme="majorEastAsia" w:hAnsi="Arial" w:cs="Arial"/>
          <w:i/>
          <w:sz w:val="24"/>
          <w:szCs w:val="24"/>
        </w:rPr>
      </w:pPr>
      <w:r w:rsidRPr="00F853AF">
        <w:rPr>
          <w:rFonts w:ascii="Arial" w:eastAsiaTheme="majorEastAsia" w:hAnsi="Arial" w:cs="Arial"/>
          <w:i/>
          <w:sz w:val="24"/>
          <w:szCs w:val="24"/>
        </w:rPr>
        <w:t xml:space="preserve">El derecho invocado, en principio, luce como verosímil. Efectivamente, el  requisito de la nacionalidad argentina (previsto en el art. 4 inc. a) del  reglamento de ingreso de empleados administrativos, choferes y personal con oficios del poder judicial) es una exigencia que colisionaría (al menos en el análisis parcial propio de este tipo de medida provisoria) con la garantía constitucional de no exigencia de otra condición que la idoneidad para acceder a un cargo público (art. 16 C.N.). Esta cuestión ha sido analizada reiteradamente por la S.C.J.N. (en anteriores y en la actual composición) admitiendo siempre la inconstitucionalidad de toda norma que se oponga a tal garantía. </w:t>
      </w:r>
    </w:p>
    <w:p w:rsidR="00F853AF" w:rsidRPr="00F853AF" w:rsidRDefault="00F853AF" w:rsidP="00F853AF">
      <w:pPr>
        <w:spacing w:after="120" w:line="360" w:lineRule="auto"/>
        <w:ind w:left="284" w:right="962"/>
        <w:jc w:val="both"/>
        <w:rPr>
          <w:rFonts w:ascii="Arial" w:eastAsiaTheme="majorEastAsia" w:hAnsi="Arial" w:cs="Arial"/>
          <w:sz w:val="24"/>
          <w:szCs w:val="24"/>
        </w:rPr>
      </w:pPr>
      <w:r w:rsidRPr="00F853AF">
        <w:rPr>
          <w:rFonts w:ascii="Arial" w:eastAsiaTheme="majorEastAsia" w:hAnsi="Arial" w:cs="Arial"/>
          <w:sz w:val="24"/>
          <w:szCs w:val="24"/>
        </w:rPr>
        <w:t>Juzgado de Primera Instancia de Distrito en lo Civil y Comercial de la 9ª Nominación de Rosario, COSENTINO María Gabriela c/ PROVINCIA DE SANTA FE s/ amparo (</w:t>
      </w:r>
      <w:proofErr w:type="spellStart"/>
      <w:r w:rsidRPr="00F853AF">
        <w:rPr>
          <w:rFonts w:ascii="Arial" w:eastAsiaTheme="majorEastAsia" w:hAnsi="Arial" w:cs="Arial"/>
          <w:sz w:val="24"/>
          <w:szCs w:val="24"/>
        </w:rPr>
        <w:t>expte</w:t>
      </w:r>
      <w:proofErr w:type="spellEnd"/>
      <w:r w:rsidRPr="00F853AF">
        <w:rPr>
          <w:rFonts w:ascii="Arial" w:eastAsiaTheme="majorEastAsia" w:hAnsi="Arial" w:cs="Arial"/>
          <w:sz w:val="24"/>
          <w:szCs w:val="24"/>
        </w:rPr>
        <w:t>. 813/12), 3 de setiembre de 2012, www.legaldoc.com.ar, marzo de 2018.</w:t>
      </w:r>
    </w:p>
    <w:p w:rsidR="00F853AF" w:rsidRPr="00F853AF" w:rsidRDefault="00F853AF" w:rsidP="00F853AF">
      <w:pPr>
        <w:tabs>
          <w:tab w:val="left" w:pos="8617"/>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t>Este caso llama la atención porque a los fines de justificar la resolución cautelar, no sólo analiza la verosimilitud de los hechos, sino que hace referencia a resoluciones que fallan sobre el fondo del asunto, adelantando claramente su opinión para la oportunidad de resolver el principal.</w:t>
      </w:r>
      <w:r w:rsidRPr="00F853AF">
        <w:rPr>
          <w:rFonts w:ascii="Arial" w:eastAsiaTheme="majorEastAsia" w:hAnsi="Arial" w:cs="Arial"/>
          <w:sz w:val="24"/>
          <w:szCs w:val="24"/>
          <w:vertAlign w:val="superscript"/>
        </w:rPr>
        <w:footnoteReference w:id="17"/>
      </w:r>
      <w:r w:rsidRPr="00F853AF">
        <w:rPr>
          <w:rFonts w:ascii="Arial" w:eastAsiaTheme="majorEastAsia" w:hAnsi="Arial" w:cs="Arial"/>
          <w:sz w:val="24"/>
          <w:szCs w:val="24"/>
        </w:rPr>
        <w:t xml:space="preserve"> </w:t>
      </w:r>
    </w:p>
    <w:p w:rsidR="00F853AF" w:rsidRPr="00F853AF" w:rsidRDefault="00F853AF" w:rsidP="00F853AF">
      <w:pPr>
        <w:tabs>
          <w:tab w:val="left" w:pos="8617"/>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lastRenderedPageBreak/>
        <w:t>Directamente dice que la limitación es inconstitucional -aunque aclara que lo dice “provisoriamente”- y para justificar dicha afirmación analiza precedentes jurisprudenciales que han resuelto el fondo del asunto.</w:t>
      </w:r>
    </w:p>
    <w:p w:rsidR="00F853AF" w:rsidRPr="00F853AF" w:rsidRDefault="00F853AF" w:rsidP="00F853AF">
      <w:pPr>
        <w:tabs>
          <w:tab w:val="left" w:pos="8617"/>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t xml:space="preserve">Para poder analizar si el derecho que pretende se reconozca la actora es verosímil, necesariamente el juez tiene que verificar si los hechos en los que se funda la cautelar presentan alguna relación con el derecho. Este juez incluso va más allá porque lo analiza y lo correlaciona con jurisprudencia que ha resuelto pretensiones principales a este respecto:  </w:t>
      </w:r>
    </w:p>
    <w:p w:rsidR="00F853AF" w:rsidRPr="00F853AF" w:rsidRDefault="00F853AF" w:rsidP="00F853AF">
      <w:pPr>
        <w:autoSpaceDE w:val="0"/>
        <w:autoSpaceDN w:val="0"/>
        <w:adjustRightInd w:val="0"/>
        <w:spacing w:after="120" w:line="360" w:lineRule="auto"/>
        <w:ind w:left="284" w:right="1387"/>
        <w:jc w:val="both"/>
        <w:rPr>
          <w:rFonts w:ascii="Arial" w:eastAsiaTheme="majorEastAsia" w:hAnsi="Arial" w:cs="Arial"/>
          <w:sz w:val="24"/>
          <w:szCs w:val="24"/>
        </w:rPr>
      </w:pPr>
      <w:r w:rsidRPr="00F853AF">
        <w:rPr>
          <w:rFonts w:ascii="Arial" w:eastAsiaTheme="majorEastAsia" w:hAnsi="Arial" w:cs="Arial"/>
          <w:i/>
          <w:sz w:val="24"/>
          <w:szCs w:val="24"/>
        </w:rPr>
        <w:t xml:space="preserve">Como puede verse, la reiterada jurisprudencia del Alto Tribunal, avala la interpretación (provisoria, reitero) respecto de la colisión de la exigencia de la ciudadanía argentina con la garantía prevista en el art. 16 C.N. En consecuencia, este requisito se encuentra cumplido. (….) </w:t>
      </w:r>
    </w:p>
    <w:p w:rsidR="00F853AF" w:rsidRPr="00F853AF" w:rsidRDefault="00F853AF" w:rsidP="00F853AF">
      <w:pPr>
        <w:tabs>
          <w:tab w:val="left" w:pos="8505"/>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Esto no hace más que confirmar que la verosimilitud en el derecho no es otra cosa que la contrastación entre los hechos afirmados y el derecho puesto en juego. Si de este contraste se colige que en los hechos se afecta un derecho, corresponde hacer lugar a la medida. </w:t>
      </w:r>
    </w:p>
    <w:p w:rsidR="00F853AF" w:rsidRPr="00F853AF" w:rsidRDefault="00F853AF" w:rsidP="00F853AF">
      <w:pPr>
        <w:tabs>
          <w:tab w:val="left" w:pos="8505"/>
        </w:tabs>
        <w:spacing w:after="120" w:line="360" w:lineRule="auto"/>
        <w:ind w:right="-30"/>
        <w:jc w:val="both"/>
        <w:rPr>
          <w:rFonts w:ascii="Arial" w:eastAsiaTheme="majorEastAsia" w:hAnsi="Arial" w:cs="Arial"/>
          <w:sz w:val="24"/>
          <w:szCs w:val="24"/>
        </w:rPr>
      </w:pPr>
      <w:r w:rsidRPr="00F853AF">
        <w:rPr>
          <w:rFonts w:ascii="Arial" w:eastAsiaTheme="majorEastAsia" w:hAnsi="Arial" w:cs="Arial"/>
          <w:sz w:val="24"/>
          <w:szCs w:val="24"/>
        </w:rPr>
        <w:t>¿Es posible pensar que este juez que ha entendido que el requisito de verosimilitud en el derecho ha quedado satisfecho porque la prohibición de concursar es contraria una disposición constitucional luego a la hora de fallar en el principal cambie rotundamente su posición? ¿Podemos decir que en el principal ese juez será imparcial?</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 xml:space="preserve">En lo que respecta a la verosimilitud del derecho, el mismo debe ser apreciado no sólo atendiendo a la entidad de las pruebas ofrecidas o constancias agregadas sino además, dentro de las limitaciones propias de la medida cautelar en cuestión, a la consideración a priori de la razón del demandante y la índole de la pretensión (conf. esta Sala </w:t>
      </w:r>
      <w:proofErr w:type="spellStart"/>
      <w:r w:rsidRPr="00F853AF">
        <w:rPr>
          <w:rFonts w:ascii="Arial" w:eastAsiaTheme="majorEastAsia" w:hAnsi="Arial" w:cs="Arial"/>
          <w:i/>
          <w:sz w:val="24"/>
          <w:szCs w:val="24"/>
        </w:rPr>
        <w:t>expte</w:t>
      </w:r>
      <w:proofErr w:type="spellEnd"/>
      <w:r w:rsidRPr="00F853AF">
        <w:rPr>
          <w:rFonts w:ascii="Arial" w:eastAsiaTheme="majorEastAsia" w:hAnsi="Arial" w:cs="Arial"/>
          <w:i/>
          <w:sz w:val="24"/>
          <w:szCs w:val="24"/>
        </w:rPr>
        <w:t xml:space="preserve">. n°187.400) En el presente caso, la accionante ha invocado un eventual crédito por ocupación exclusiva del bien ganancial que le correspondería sobre la masa propia de su cónyuge. Aun cuando todavía no se ha trabado la </w:t>
      </w:r>
      <w:proofErr w:type="spellStart"/>
      <w:r w:rsidRPr="00F853AF">
        <w:rPr>
          <w:rFonts w:ascii="Arial" w:eastAsiaTheme="majorEastAsia" w:hAnsi="Arial" w:cs="Arial"/>
          <w:i/>
          <w:sz w:val="24"/>
          <w:szCs w:val="24"/>
        </w:rPr>
        <w:t>litis</w:t>
      </w:r>
      <w:proofErr w:type="spellEnd"/>
      <w:r w:rsidRPr="00F853AF">
        <w:rPr>
          <w:rFonts w:ascii="Arial" w:eastAsiaTheme="majorEastAsia" w:hAnsi="Arial" w:cs="Arial"/>
          <w:i/>
          <w:sz w:val="24"/>
          <w:szCs w:val="24"/>
        </w:rPr>
        <w:t xml:space="preserve">, teniendo en cuenta los términos en que quedó trabada la </w:t>
      </w:r>
      <w:proofErr w:type="spellStart"/>
      <w:r w:rsidRPr="00F853AF">
        <w:rPr>
          <w:rFonts w:ascii="Arial" w:eastAsiaTheme="majorEastAsia" w:hAnsi="Arial" w:cs="Arial"/>
          <w:i/>
          <w:sz w:val="24"/>
          <w:szCs w:val="24"/>
        </w:rPr>
        <w:t>litis</w:t>
      </w:r>
      <w:proofErr w:type="spellEnd"/>
      <w:r w:rsidRPr="00F853AF">
        <w:rPr>
          <w:rFonts w:ascii="Arial" w:eastAsiaTheme="majorEastAsia" w:hAnsi="Arial" w:cs="Arial"/>
          <w:i/>
          <w:sz w:val="24"/>
          <w:szCs w:val="24"/>
        </w:rPr>
        <w:t xml:space="preserve"> en los autos que entre las mismas partes tramitan por liquidación de la sociedad conyugal y las demás constancias que surgen de dichas actuaciones respecto a los otros bienes que integrarían la sociedad conyugal aún no liquidada, corresponde admitir la queja ya que la valoración de esos elementos, ponderados en su conjunto con el reclamo aquí efectuado y la documentación agregada a fs. 1, permite tener por acreditada, en principio, la existencia de la verosimilitud del derecho y el peligro en la demora.</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 xml:space="preserve">Poder Judicial de la Nación Juzgado n°92 Sala M, Buenos Aires, </w:t>
      </w:r>
      <w:proofErr w:type="spellStart"/>
      <w:r w:rsidRPr="00F853AF">
        <w:rPr>
          <w:rFonts w:ascii="Arial" w:eastAsiaTheme="majorEastAsia" w:hAnsi="Arial" w:cs="Arial"/>
          <w:sz w:val="24"/>
          <w:szCs w:val="24"/>
        </w:rPr>
        <w:t>Expte</w:t>
      </w:r>
      <w:proofErr w:type="spellEnd"/>
      <w:r w:rsidRPr="00F853AF">
        <w:rPr>
          <w:rFonts w:ascii="Arial" w:eastAsiaTheme="majorEastAsia" w:hAnsi="Arial" w:cs="Arial"/>
          <w:sz w:val="24"/>
          <w:szCs w:val="24"/>
        </w:rPr>
        <w:t xml:space="preserve"> n°63.376/08 “</w:t>
      </w:r>
      <w:proofErr w:type="spellStart"/>
      <w:r w:rsidRPr="00F853AF">
        <w:rPr>
          <w:rFonts w:ascii="Arial" w:eastAsiaTheme="majorEastAsia" w:hAnsi="Arial" w:cs="Arial"/>
          <w:sz w:val="24"/>
          <w:szCs w:val="24"/>
        </w:rPr>
        <w:t>Russo</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Maria</w:t>
      </w:r>
      <w:proofErr w:type="spellEnd"/>
      <w:r w:rsidRPr="00F853AF">
        <w:rPr>
          <w:rFonts w:ascii="Arial" w:eastAsiaTheme="majorEastAsia" w:hAnsi="Arial" w:cs="Arial"/>
          <w:sz w:val="24"/>
          <w:szCs w:val="24"/>
        </w:rPr>
        <w:t xml:space="preserve"> Cristina c/</w:t>
      </w:r>
      <w:proofErr w:type="spellStart"/>
      <w:r w:rsidRPr="00F853AF">
        <w:rPr>
          <w:rFonts w:ascii="Arial" w:eastAsiaTheme="majorEastAsia" w:hAnsi="Arial" w:cs="Arial"/>
          <w:sz w:val="24"/>
          <w:szCs w:val="24"/>
        </w:rPr>
        <w:t>Chiappetta</w:t>
      </w:r>
      <w:proofErr w:type="spellEnd"/>
      <w:r w:rsidRPr="00F853AF">
        <w:rPr>
          <w:rFonts w:ascii="Arial" w:eastAsiaTheme="majorEastAsia" w:hAnsi="Arial" w:cs="Arial"/>
          <w:sz w:val="24"/>
          <w:szCs w:val="24"/>
        </w:rPr>
        <w:t xml:space="preserve"> Eduardo Jorge s/</w:t>
      </w:r>
      <w:proofErr w:type="spellStart"/>
      <w:r w:rsidRPr="00F853AF">
        <w:rPr>
          <w:rFonts w:ascii="Arial" w:eastAsiaTheme="majorEastAsia" w:hAnsi="Arial" w:cs="Arial"/>
          <w:sz w:val="24"/>
          <w:szCs w:val="24"/>
        </w:rPr>
        <w:t>fijacion</w:t>
      </w:r>
      <w:proofErr w:type="spellEnd"/>
      <w:r w:rsidRPr="00F853AF">
        <w:rPr>
          <w:rFonts w:ascii="Arial" w:eastAsiaTheme="majorEastAsia" w:hAnsi="Arial" w:cs="Arial"/>
          <w:sz w:val="24"/>
          <w:szCs w:val="24"/>
        </w:rPr>
        <w:t xml:space="preserve"> de canon locativo” 7 De octubre de 2008, www.legaldoc.com.ar, marzo de 2018.</w:t>
      </w:r>
    </w:p>
    <w:p w:rsidR="00F853AF" w:rsidRPr="00F853AF" w:rsidRDefault="00F853AF" w:rsidP="00F853AF">
      <w:pPr>
        <w:tabs>
          <w:tab w:val="left" w:pos="7805"/>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Una vez más, “provisoriamente” vemos la identidad entre verosimilitud en el derecho y verosimilitud en los hechos. </w:t>
      </w:r>
    </w:p>
    <w:p w:rsidR="00F853AF" w:rsidRPr="00F853AF" w:rsidRDefault="00F853AF" w:rsidP="00F853AF">
      <w:pPr>
        <w:tabs>
          <w:tab w:val="left" w:pos="7805"/>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En este mismo sentido:</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 xml:space="preserve">Con relación al tema sobre el que versan estas actuaciones la jurisprudencia tiene dicho que si la convocatoria a la asamblea general extraordinaria cuya nulidad se pretende, exhibe defectos en punto a las precisiones mínimas exigibles sobre las modalidades y extensión del aumento de capital propuesto a los accionistas –que debería haber figurado en el orden del día del referido acto asambleario− al no mencionarse la entidad del incremento ni las condiciones de emisión, debe considerarse suficientemente acreditado el presupuesto del </w:t>
      </w:r>
      <w:proofErr w:type="spellStart"/>
      <w:r w:rsidRPr="00F853AF">
        <w:rPr>
          <w:rFonts w:ascii="Arial" w:eastAsiaTheme="majorEastAsia" w:hAnsi="Arial" w:cs="Arial"/>
          <w:i/>
          <w:sz w:val="24"/>
          <w:szCs w:val="24"/>
        </w:rPr>
        <w:t>fumus</w:t>
      </w:r>
      <w:proofErr w:type="spellEnd"/>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boni</w:t>
      </w:r>
      <w:proofErr w:type="spellEnd"/>
      <w:r w:rsidRPr="00F853AF">
        <w:rPr>
          <w:rFonts w:ascii="Arial" w:eastAsiaTheme="majorEastAsia" w:hAnsi="Arial" w:cs="Arial"/>
          <w:i/>
          <w:sz w:val="24"/>
          <w:szCs w:val="24"/>
        </w:rPr>
        <w:t xml:space="preserve"> iuris del derecho invocado, para habilitar la procedencia de la cautelar que contempla el art. 252 de la Ley de Sociedades (</w:t>
      </w:r>
      <w:proofErr w:type="spellStart"/>
      <w:r w:rsidRPr="00F853AF">
        <w:rPr>
          <w:rFonts w:ascii="Arial" w:eastAsiaTheme="majorEastAsia" w:hAnsi="Arial" w:cs="Arial"/>
          <w:i/>
          <w:sz w:val="24"/>
          <w:szCs w:val="24"/>
        </w:rPr>
        <w:t>Cám</w:t>
      </w:r>
      <w:proofErr w:type="spellEnd"/>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Nac</w:t>
      </w:r>
      <w:proofErr w:type="spellEnd"/>
      <w:r w:rsidRPr="00F853AF">
        <w:rPr>
          <w:rFonts w:ascii="Arial" w:eastAsiaTheme="majorEastAsia" w:hAnsi="Arial" w:cs="Arial"/>
          <w:i/>
          <w:sz w:val="24"/>
          <w:szCs w:val="24"/>
        </w:rPr>
        <w:t>. Com., Sala C</w:t>
      </w:r>
      <w:proofErr w:type="gramStart"/>
      <w:r w:rsidRPr="00F853AF">
        <w:rPr>
          <w:rFonts w:ascii="Arial" w:eastAsiaTheme="majorEastAsia" w:hAnsi="Arial" w:cs="Arial"/>
          <w:i/>
          <w:sz w:val="24"/>
          <w:szCs w:val="24"/>
        </w:rPr>
        <w:t>,04</w:t>
      </w:r>
      <w:proofErr w:type="gramEnd"/>
      <w:r w:rsidRPr="00F853AF">
        <w:rPr>
          <w:rFonts w:ascii="Arial" w:eastAsiaTheme="majorEastAsia" w:hAnsi="Arial" w:cs="Arial"/>
          <w:i/>
          <w:sz w:val="24"/>
          <w:szCs w:val="24"/>
        </w:rPr>
        <w:t xml:space="preserve">/07/91, “17 de Abril S.A. y otro c/ Cervecería Santa Fe S.A.”, cit. en ROITMAN, Horacio, </w:t>
      </w:r>
      <w:proofErr w:type="spellStart"/>
      <w:r w:rsidRPr="00F853AF">
        <w:rPr>
          <w:rFonts w:ascii="Arial" w:eastAsiaTheme="majorEastAsia" w:hAnsi="Arial" w:cs="Arial"/>
          <w:i/>
          <w:sz w:val="24"/>
          <w:szCs w:val="24"/>
        </w:rPr>
        <w:t>op</w:t>
      </w:r>
      <w:proofErr w:type="spellEnd"/>
      <w:r w:rsidRPr="00F853AF">
        <w:rPr>
          <w:rFonts w:ascii="Arial" w:eastAsiaTheme="majorEastAsia" w:hAnsi="Arial" w:cs="Arial"/>
          <w:i/>
          <w:sz w:val="24"/>
          <w:szCs w:val="24"/>
        </w:rPr>
        <w:t xml:space="preserve">. cit., T. </w:t>
      </w:r>
      <w:proofErr w:type="spellStart"/>
      <w:r w:rsidRPr="00F853AF">
        <w:rPr>
          <w:rFonts w:ascii="Arial" w:eastAsiaTheme="majorEastAsia" w:hAnsi="Arial" w:cs="Arial"/>
          <w:i/>
          <w:sz w:val="24"/>
          <w:szCs w:val="24"/>
        </w:rPr>
        <w:t>III</w:t>
      </w:r>
      <w:proofErr w:type="gramStart"/>
      <w:r w:rsidRPr="00F853AF">
        <w:rPr>
          <w:rFonts w:ascii="Arial" w:eastAsiaTheme="majorEastAsia" w:hAnsi="Arial" w:cs="Arial"/>
          <w:i/>
          <w:sz w:val="24"/>
          <w:szCs w:val="24"/>
        </w:rPr>
        <w:t>,m</w:t>
      </w:r>
      <w:proofErr w:type="spellEnd"/>
      <w:proofErr w:type="gramEnd"/>
      <w:r w:rsidRPr="00F853AF">
        <w:rPr>
          <w:rFonts w:ascii="Arial" w:eastAsiaTheme="majorEastAsia" w:hAnsi="Arial" w:cs="Arial"/>
          <w:i/>
          <w:sz w:val="24"/>
          <w:szCs w:val="24"/>
        </w:rPr>
        <w:t xml:space="preserve"> pág. 411/2, nota nº 1774 in fine; publicado en J.A., 1992IV506; ver también &lt;lexisnexis.com.ar&gt;). En el caso bajo estudio se verifica que en el orden del día sólo se mencionó en el punto 4°, “Aumento del capital y en su caso modificación del artículo cuarto del estatuto social” (ver “</w:t>
      </w:r>
      <w:proofErr w:type="spellStart"/>
      <w:r w:rsidRPr="00F853AF">
        <w:rPr>
          <w:rFonts w:ascii="Arial" w:eastAsiaTheme="majorEastAsia" w:hAnsi="Arial" w:cs="Arial"/>
          <w:i/>
          <w:sz w:val="24"/>
          <w:szCs w:val="24"/>
        </w:rPr>
        <w:t>Expte</w:t>
      </w:r>
      <w:proofErr w:type="spellEnd"/>
      <w:r w:rsidRPr="00F853AF">
        <w:rPr>
          <w:rFonts w:ascii="Arial" w:eastAsiaTheme="majorEastAsia" w:hAnsi="Arial" w:cs="Arial"/>
          <w:i/>
          <w:sz w:val="24"/>
          <w:szCs w:val="24"/>
        </w:rPr>
        <w:t>. N° 061Año 2010</w:t>
      </w:r>
      <w:proofErr w:type="gramStart"/>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Jalit</w:t>
      </w:r>
      <w:proofErr w:type="spellEnd"/>
      <w:proofErr w:type="gramEnd"/>
      <w:r w:rsidRPr="00F853AF">
        <w:rPr>
          <w:rFonts w:ascii="Arial" w:eastAsiaTheme="majorEastAsia" w:hAnsi="Arial" w:cs="Arial"/>
          <w:i/>
          <w:sz w:val="24"/>
          <w:szCs w:val="24"/>
        </w:rPr>
        <w:t xml:space="preserve"> Hnos. S.A. s/ aumento de capital”, en trámite ante esta Cámara, fs. 1), sin mencionar la entidad del incremento ni las condiciones de emisión, por lo que, en el marco de la doctrina apuntada, cabe tener por acreditado el “</w:t>
      </w:r>
      <w:proofErr w:type="spellStart"/>
      <w:r w:rsidRPr="00F853AF">
        <w:rPr>
          <w:rFonts w:ascii="Arial" w:eastAsiaTheme="majorEastAsia" w:hAnsi="Arial" w:cs="Arial"/>
          <w:i/>
          <w:sz w:val="24"/>
          <w:szCs w:val="24"/>
        </w:rPr>
        <w:t>fumus</w:t>
      </w:r>
      <w:proofErr w:type="spellEnd"/>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boni</w:t>
      </w:r>
      <w:proofErr w:type="spellEnd"/>
      <w:r w:rsidRPr="00F853AF">
        <w:rPr>
          <w:rFonts w:ascii="Arial" w:eastAsiaTheme="majorEastAsia" w:hAnsi="Arial" w:cs="Arial"/>
          <w:i/>
          <w:sz w:val="24"/>
          <w:szCs w:val="24"/>
        </w:rPr>
        <w:t xml:space="preserve"> iuris” del derecho invocado para habilitar la procedencia de la cautelar solicitada por la actora y dispuesta por la providencia impugnada.</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 xml:space="preserve">Rafaela, </w:t>
      </w:r>
      <w:proofErr w:type="spellStart"/>
      <w:r w:rsidRPr="00F853AF">
        <w:rPr>
          <w:rFonts w:ascii="Arial" w:eastAsiaTheme="majorEastAsia" w:hAnsi="Arial" w:cs="Arial"/>
          <w:sz w:val="24"/>
          <w:szCs w:val="24"/>
        </w:rPr>
        <w:t>Expte</w:t>
      </w:r>
      <w:proofErr w:type="spellEnd"/>
      <w:r w:rsidRPr="00F853AF">
        <w:rPr>
          <w:rFonts w:ascii="Arial" w:eastAsiaTheme="majorEastAsia" w:hAnsi="Arial" w:cs="Arial"/>
          <w:sz w:val="24"/>
          <w:szCs w:val="24"/>
        </w:rPr>
        <w:t xml:space="preserve">. 167 año 2010 JALIT, Graciela María </w:t>
      </w:r>
      <w:proofErr w:type="spellStart"/>
      <w:r w:rsidRPr="00F853AF">
        <w:rPr>
          <w:rFonts w:ascii="Arial" w:eastAsiaTheme="majorEastAsia" w:hAnsi="Arial" w:cs="Arial"/>
          <w:sz w:val="24"/>
          <w:szCs w:val="24"/>
        </w:rPr>
        <w:t>Fatme</w:t>
      </w:r>
      <w:proofErr w:type="spellEnd"/>
      <w:r w:rsidRPr="00F853AF">
        <w:rPr>
          <w:rFonts w:ascii="Arial" w:eastAsiaTheme="majorEastAsia" w:hAnsi="Arial" w:cs="Arial"/>
          <w:sz w:val="24"/>
          <w:szCs w:val="24"/>
        </w:rPr>
        <w:t xml:space="preserve"> c/ JALIT HNOS. S.A. s/ JUICIO NULIDAD DE ASAMBLEA SUMARIO” 31 de mayo de 2011, </w:t>
      </w:r>
      <w:hyperlink r:id="rId8" w:history="1">
        <w:r w:rsidRPr="00F853AF">
          <w:rPr>
            <w:rFonts w:ascii="Arial" w:eastAsiaTheme="majorEastAsia" w:hAnsi="Arial" w:cs="Arial"/>
            <w:sz w:val="24"/>
            <w:szCs w:val="24"/>
            <w:u w:val="single"/>
          </w:rPr>
          <w:t>www.legaldoc.com.ar, marzo</w:t>
        </w:r>
      </w:hyperlink>
      <w:r w:rsidRPr="00F853AF">
        <w:rPr>
          <w:rFonts w:ascii="Arial" w:eastAsiaTheme="majorEastAsia" w:hAnsi="Arial" w:cs="Arial"/>
          <w:sz w:val="24"/>
          <w:szCs w:val="24"/>
        </w:rPr>
        <w:t xml:space="preserve"> de 2018.</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lastRenderedPageBreak/>
        <w:t>Por su parte la VEROSIMILITUD EN EL DERECHO, está dada por la existencia efectiva del contrato de distribución suscripto entre las partes (cfr. fs. 9/35)</w:t>
      </w:r>
      <w:proofErr w:type="gramStart"/>
      <w:r w:rsidRPr="00F853AF">
        <w:rPr>
          <w:rFonts w:ascii="Arial" w:eastAsiaTheme="majorEastAsia" w:hAnsi="Arial" w:cs="Arial"/>
          <w:i/>
          <w:sz w:val="24"/>
          <w:szCs w:val="24"/>
        </w:rPr>
        <w:t>,que</w:t>
      </w:r>
      <w:proofErr w:type="gramEnd"/>
      <w:r w:rsidRPr="00F853AF">
        <w:rPr>
          <w:rFonts w:ascii="Arial" w:eastAsiaTheme="majorEastAsia" w:hAnsi="Arial" w:cs="Arial"/>
          <w:i/>
          <w:sz w:val="24"/>
          <w:szCs w:val="24"/>
        </w:rPr>
        <w:t xml:space="preserve"> fijaba un plazo de duración de cinco años, venciendo efectivamente en el mes de agosto de 2015. Relación comercial que es aún más extensa en el tiempo, ya que según lo refiere la actora y no lo objeta la demandada en la audiencia – data de unos quince años. En todo este tiempo el actor ha tenido que realizar diversas inversiones y dotarse de un grupo de trabajo acorde a las necesidades de la distribución que se le requería por parte de la empresa. Esta circunstancia hace que la empresa, si bien cuenta con la facultad rescisoria unilateral expresa – (cfr. cláusula tercera última parte – anexo IX del contrato de distribución – </w:t>
      </w:r>
      <w:proofErr w:type="gramStart"/>
      <w:r w:rsidRPr="00F853AF">
        <w:rPr>
          <w:rFonts w:ascii="Arial" w:eastAsiaTheme="majorEastAsia" w:hAnsi="Arial" w:cs="Arial"/>
          <w:i/>
          <w:sz w:val="24"/>
          <w:szCs w:val="24"/>
        </w:rPr>
        <w:t>fs.35 )</w:t>
      </w:r>
      <w:proofErr w:type="gramEnd"/>
      <w:r w:rsidRPr="00F853AF">
        <w:rPr>
          <w:rFonts w:ascii="Arial" w:eastAsiaTheme="majorEastAsia" w:hAnsi="Arial" w:cs="Arial"/>
          <w:i/>
          <w:sz w:val="24"/>
          <w:szCs w:val="24"/>
        </w:rPr>
        <w:t xml:space="preserve"> no pueda ejercer este derecho en forma abusiva, debiendo otorgar un plazo prudente y razonable de preaviso, cuidando de no imponer un sacrificio injusto al concesionario. Por supuesto que la fijación de plazo razonable de preaviso en el caso concreto es una cuestión sumamente dificultosa, que ha originado pronunciamientos dispares tanto en la esfera nacional como fuera de ella.</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En general, se ha dicho que el término de preaviso debe guardar directa proporción con el tiempo transcurrido de la relación comercial y las características de esta última. Se ha interpretado que cuando la relación comercial ha durado más de diez años, como lo es en el supuesto de autos corresponde preavisar la decisión de rescindir el contrato con una antelación de un año. Así lo interpretó la Corte Suprema de Justicia de la Nación in re: “Automóviles Saavedra” y en “</w:t>
      </w:r>
      <w:proofErr w:type="spellStart"/>
      <w:r w:rsidRPr="00F853AF">
        <w:rPr>
          <w:rFonts w:ascii="Arial" w:eastAsiaTheme="majorEastAsia" w:hAnsi="Arial" w:cs="Arial"/>
          <w:i/>
          <w:sz w:val="24"/>
          <w:szCs w:val="24"/>
        </w:rPr>
        <w:t>CherrHasso</w:t>
      </w:r>
      <w:proofErr w:type="spellEnd"/>
      <w:r w:rsidRPr="00F853AF">
        <w:rPr>
          <w:rFonts w:ascii="Arial" w:eastAsiaTheme="majorEastAsia" w:hAnsi="Arial" w:cs="Arial"/>
          <w:i/>
          <w:sz w:val="24"/>
          <w:szCs w:val="24"/>
        </w:rPr>
        <w:t>”, respectivamente.</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Entiendo entonces que estos precedentes, sumados a las circunstancias fácticas descriptas, contribuyen y acreditan la verosimilitud en el derecho legalmente requerida para la procedencia de la cautelar solicitada.</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 xml:space="preserve">Juzgado de Primera Instancia de Distrito en lo Civil y Comercial de Casilda, “DANIEL GIAVARINI DISTRIBUCIONES SRL C/ QUICK </w:t>
      </w:r>
      <w:r w:rsidRPr="00F853AF">
        <w:rPr>
          <w:rFonts w:ascii="Arial" w:eastAsiaTheme="majorEastAsia" w:hAnsi="Arial" w:cs="Arial"/>
          <w:sz w:val="24"/>
          <w:szCs w:val="24"/>
        </w:rPr>
        <w:lastRenderedPageBreak/>
        <w:t xml:space="preserve">FOOD S.A. S/ MERE DECLARTIVA” </w:t>
      </w:r>
      <w:proofErr w:type="spellStart"/>
      <w:r w:rsidRPr="00F853AF">
        <w:rPr>
          <w:rFonts w:ascii="Arial" w:eastAsiaTheme="majorEastAsia" w:hAnsi="Arial" w:cs="Arial"/>
          <w:sz w:val="24"/>
          <w:szCs w:val="24"/>
        </w:rPr>
        <w:t>Expte</w:t>
      </w:r>
      <w:proofErr w:type="spellEnd"/>
      <w:r w:rsidRPr="00F853AF">
        <w:rPr>
          <w:rFonts w:ascii="Arial" w:eastAsiaTheme="majorEastAsia" w:hAnsi="Arial" w:cs="Arial"/>
          <w:sz w:val="24"/>
          <w:szCs w:val="24"/>
        </w:rPr>
        <w:t>. 1073/2014 28 de Noviembre de 2014, www.legaldoc.com.ar, marzo de 2018.</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 xml:space="preserve">Existe </w:t>
      </w:r>
      <w:proofErr w:type="spellStart"/>
      <w:r w:rsidRPr="00F853AF">
        <w:rPr>
          <w:rFonts w:ascii="Arial" w:eastAsiaTheme="majorEastAsia" w:hAnsi="Arial" w:cs="Arial"/>
          <w:i/>
          <w:sz w:val="24"/>
          <w:szCs w:val="24"/>
        </w:rPr>
        <w:t>fumus</w:t>
      </w:r>
      <w:proofErr w:type="spellEnd"/>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bonis</w:t>
      </w:r>
      <w:proofErr w:type="spellEnd"/>
      <w:r w:rsidRPr="00F853AF">
        <w:rPr>
          <w:rFonts w:ascii="Arial" w:eastAsiaTheme="majorEastAsia" w:hAnsi="Arial" w:cs="Arial"/>
          <w:i/>
          <w:sz w:val="24"/>
          <w:szCs w:val="24"/>
        </w:rPr>
        <w:t xml:space="preserve"> iuris dado que, en virtud de las normativas constitucionales citadas la actora tiene el derecho a que la demandada le garantice el derecho a la vida y a la salud (art. 42 de la Constitución nacional; art. 12.1 del Pacto Internacional de Derechos Económicos, Sociales y Culturales, con jerarquía constitucional según el art. 75 inc. 22 de la Constitución Nacional). Además hay violaciones a los arts. 4 y 19 de la ley 24240. En el campo jurisdiccional, para que la viabilidad de la medida precautoria prospere, los tribunales nacionales han exigido la acreditación “prima facie” de la arbitrariedad del acto cuya descalificación se persigue, o la violación de la ley, pero como se advierte del relato de la actora y el respaldo de la documentación médica adjunta, corresponde que dicha medida se opere sin dilación, ya que como se manifestó anteriormente, lo que está en juego es la vida y la salud. Sin perjuicio, cabe recordar aquí que la jurisprudencia de nuestro Máximo Tribunal ha sentado una importante pauta interpretativa para el análisis de este requisito al señalar que “...las medidas cautelares no exigen de los magistrados el examen de certeza sobre la existencia del derecho pretendido sino sólo su verosimilitud. Es más, el juicio de verdad en esta materia se encuentra en oposición a la finalidad de la medida cautelar, que no es otra que atender a aquello que no excede del marco de lo hipotético, dentro del cual, asimismo, agota su virtualidad” (conf. CSJN in re "Evaristo Ignacio Albornoz v. Nación Argentina –Ministerio de Trabajo y Seguridad Social s/Medida de no innovar", 20/12/84, Fallos 306:2060).</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 xml:space="preserve">Cámara de Apelaciones en lo Civil y </w:t>
      </w:r>
      <w:proofErr w:type="spellStart"/>
      <w:r w:rsidRPr="00F853AF">
        <w:rPr>
          <w:rFonts w:ascii="Arial" w:eastAsiaTheme="majorEastAsia" w:hAnsi="Arial" w:cs="Arial"/>
          <w:sz w:val="24"/>
          <w:szCs w:val="24"/>
        </w:rPr>
        <w:t>Comecial</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SalaII</w:t>
      </w:r>
      <w:proofErr w:type="spellEnd"/>
      <w:r w:rsidRPr="00F853AF">
        <w:rPr>
          <w:rFonts w:ascii="Arial" w:eastAsiaTheme="majorEastAsia" w:hAnsi="Arial" w:cs="Arial"/>
          <w:sz w:val="24"/>
          <w:szCs w:val="24"/>
        </w:rPr>
        <w:t xml:space="preserve"> de Rosario, “</w:t>
      </w:r>
      <w:proofErr w:type="spellStart"/>
      <w:r w:rsidRPr="00F853AF">
        <w:rPr>
          <w:rFonts w:ascii="Arial" w:eastAsiaTheme="majorEastAsia" w:hAnsi="Arial" w:cs="Arial"/>
          <w:sz w:val="24"/>
          <w:szCs w:val="24"/>
        </w:rPr>
        <w:t>Yapson</w:t>
      </w:r>
      <w:proofErr w:type="spellEnd"/>
      <w:r w:rsidRPr="00F853AF">
        <w:rPr>
          <w:rFonts w:ascii="Arial" w:eastAsiaTheme="majorEastAsia" w:hAnsi="Arial" w:cs="Arial"/>
          <w:sz w:val="24"/>
          <w:szCs w:val="24"/>
        </w:rPr>
        <w:t xml:space="preserve">, Hugo A. c/ I.A.P.O.S. s/Amparo”, </w:t>
      </w:r>
      <w:proofErr w:type="spellStart"/>
      <w:r w:rsidRPr="00F853AF">
        <w:rPr>
          <w:rFonts w:ascii="Arial" w:eastAsiaTheme="majorEastAsia" w:hAnsi="Arial" w:cs="Arial"/>
          <w:sz w:val="24"/>
          <w:szCs w:val="24"/>
        </w:rPr>
        <w:t>Expte</w:t>
      </w:r>
      <w:proofErr w:type="spellEnd"/>
      <w:r w:rsidRPr="00F853AF">
        <w:rPr>
          <w:rFonts w:ascii="Arial" w:eastAsiaTheme="majorEastAsia" w:hAnsi="Arial" w:cs="Arial"/>
          <w:sz w:val="24"/>
          <w:szCs w:val="24"/>
        </w:rPr>
        <w:t xml:space="preserve">. </w:t>
      </w:r>
      <w:proofErr w:type="gramStart"/>
      <w:r w:rsidRPr="00F853AF">
        <w:rPr>
          <w:rFonts w:ascii="Arial" w:eastAsiaTheme="majorEastAsia" w:hAnsi="Arial" w:cs="Arial"/>
          <w:sz w:val="24"/>
          <w:szCs w:val="24"/>
        </w:rPr>
        <w:t>n</w:t>
      </w:r>
      <w:proofErr w:type="gramEnd"/>
      <w:r w:rsidRPr="00F853AF">
        <w:rPr>
          <w:rFonts w:ascii="Arial" w:eastAsiaTheme="majorEastAsia" w:hAnsi="Arial" w:cs="Arial"/>
          <w:sz w:val="24"/>
          <w:szCs w:val="24"/>
        </w:rPr>
        <w:t>° 294/2014,.</w:t>
      </w:r>
      <w:r w:rsidRPr="00F853AF">
        <w:rPr>
          <w:rFonts w:asciiTheme="majorHAnsi" w:eastAsiaTheme="majorEastAsia" w:hAnsiTheme="majorHAnsi" w:cstheme="majorBidi"/>
        </w:rPr>
        <w:t xml:space="preserve"> </w:t>
      </w:r>
      <w:r w:rsidRPr="00F853AF">
        <w:rPr>
          <w:rFonts w:ascii="Arial" w:eastAsiaTheme="majorEastAsia" w:hAnsi="Arial" w:cs="Arial"/>
          <w:sz w:val="24"/>
          <w:szCs w:val="24"/>
        </w:rPr>
        <w:t>11 de marzo de 2015, www.legaldoc.com.ar, marzo de 2018.</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 xml:space="preserve">Que los fundamentos hasta aquí esgrimidos en cuanto a la verosimilitud del derecho, las circunstancias invocadas por la </w:t>
      </w:r>
      <w:r w:rsidRPr="00F853AF">
        <w:rPr>
          <w:rFonts w:ascii="Arial" w:eastAsiaTheme="majorEastAsia" w:hAnsi="Arial" w:cs="Arial"/>
          <w:i/>
          <w:sz w:val="24"/>
          <w:szCs w:val="24"/>
        </w:rPr>
        <w:lastRenderedPageBreak/>
        <w:t xml:space="preserve">accionante y las constancias obrantes en la causa, la naturaleza del derecho que involucra la decisión de la obra social demandada y el peligro en la demora, convencen al Tribunal de que, hasta tanto se decida la cuestión de fondo y mientras se mantengan las actuales condiciones, impresiona como más gravosa para la actora las consecuencias derivadas del rechazo de la cautela solicitada, que para la demandada brindar la cobertura requerida (conf. Sala III, causa nro. 4840/97 del 13.11.97). </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 xml:space="preserve">Poder Judicial de la Nación Sala Civil y Comercial Federal II, Buenos Aires, Causa n° 5359/2012 “A., M. H. c/ Obra Soc. </w:t>
      </w:r>
      <w:proofErr w:type="gramStart"/>
      <w:r w:rsidRPr="00F853AF">
        <w:rPr>
          <w:rFonts w:ascii="Arial" w:eastAsiaTheme="majorEastAsia" w:hAnsi="Arial" w:cs="Arial"/>
          <w:sz w:val="24"/>
          <w:szCs w:val="24"/>
        </w:rPr>
        <w:t>de</w:t>
      </w:r>
      <w:proofErr w:type="gramEnd"/>
      <w:r w:rsidRPr="00F853AF">
        <w:rPr>
          <w:rFonts w:ascii="Arial" w:eastAsiaTheme="majorEastAsia" w:hAnsi="Arial" w:cs="Arial"/>
          <w:sz w:val="24"/>
          <w:szCs w:val="24"/>
        </w:rPr>
        <w:t xml:space="preserve"> la Unión del Personal Civil de la Nación s/ inc. De apelación de medida cautelar” 27 de diciembre de 2012, www.legaldoc.com.ar, marzo de 2018. </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 xml:space="preserve">Así planteada la cuestión, dentro del marco de provisionalidad con sujeción al cual es aprehensible toda petición de estas características y a partir de lo que prima facie surge de la documentación acompañada -v. gr. acta de constatación notarial de fs. 7/16 y contenido de la correspondencia epistolar de fs. 18/21- aparece verosímil la motivación del demandante sobre la necesidad de obtener una medida como la de la especie con el claro propósito de aventar el ulterior ocultamiento, modificación, destrucción, alteración o pérdida en el objeto probatorio (cfr. en este mismo sentido, </w:t>
      </w:r>
      <w:proofErr w:type="spellStart"/>
      <w:r w:rsidRPr="00F853AF">
        <w:rPr>
          <w:rFonts w:ascii="Arial" w:eastAsiaTheme="majorEastAsia" w:hAnsi="Arial" w:cs="Arial"/>
          <w:i/>
          <w:sz w:val="24"/>
          <w:szCs w:val="24"/>
        </w:rPr>
        <w:t>CNCom</w:t>
      </w:r>
      <w:proofErr w:type="spellEnd"/>
      <w:r w:rsidRPr="00F853AF">
        <w:rPr>
          <w:rFonts w:ascii="Arial" w:eastAsiaTheme="majorEastAsia" w:hAnsi="Arial" w:cs="Arial"/>
          <w:i/>
          <w:sz w:val="24"/>
          <w:szCs w:val="24"/>
        </w:rPr>
        <w:t>. Sala E, 17/11/11, "</w:t>
      </w:r>
      <w:proofErr w:type="spellStart"/>
      <w:r w:rsidRPr="00F853AF">
        <w:rPr>
          <w:rFonts w:ascii="Arial" w:eastAsiaTheme="majorEastAsia" w:hAnsi="Arial" w:cs="Arial"/>
          <w:i/>
          <w:sz w:val="24"/>
          <w:szCs w:val="24"/>
        </w:rPr>
        <w:t>Softmind</w:t>
      </w:r>
      <w:proofErr w:type="spellEnd"/>
      <w:r w:rsidRPr="00F853AF">
        <w:rPr>
          <w:rFonts w:ascii="Arial" w:eastAsiaTheme="majorEastAsia" w:hAnsi="Arial" w:cs="Arial"/>
          <w:i/>
          <w:sz w:val="24"/>
          <w:szCs w:val="24"/>
        </w:rPr>
        <w:t xml:space="preserve"> Sistema SA c/Cardoso Cristian Hugo y otros s/diligencia preliminar). </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 xml:space="preserve">Juzgado N° 6 - Secretaría Nº 11 Buenos </w:t>
      </w:r>
      <w:proofErr w:type="gramStart"/>
      <w:r w:rsidRPr="00F853AF">
        <w:rPr>
          <w:rFonts w:ascii="Arial" w:eastAsiaTheme="majorEastAsia" w:hAnsi="Arial" w:cs="Arial"/>
          <w:sz w:val="24"/>
          <w:szCs w:val="24"/>
        </w:rPr>
        <w:t>Aires ,</w:t>
      </w:r>
      <w:proofErr w:type="gramEnd"/>
      <w:r w:rsidRPr="00F853AF">
        <w:rPr>
          <w:rFonts w:ascii="Arial" w:eastAsiaTheme="majorEastAsia" w:hAnsi="Arial" w:cs="Arial"/>
          <w:sz w:val="24"/>
          <w:szCs w:val="24"/>
        </w:rPr>
        <w:t xml:space="preserve"> "AGUILAR Y ASOCIADOS SRL C/NATIVE SOFTWARE SRL S/ ORDINARIO" Expediente Nº 038813/11 GS, 17 de abril de 2012, www.legaldoc.com.ar, marzo de 2018. </w:t>
      </w:r>
    </w:p>
    <w:p w:rsidR="00F853AF" w:rsidRPr="00F853AF" w:rsidRDefault="00F853AF" w:rsidP="00F853AF">
      <w:pPr>
        <w:tabs>
          <w:tab w:val="left" w:pos="7805"/>
        </w:tabs>
        <w:spacing w:after="120" w:line="360" w:lineRule="auto"/>
        <w:ind w:left="284" w:right="1529"/>
        <w:jc w:val="both"/>
        <w:rPr>
          <w:rFonts w:ascii="Arial" w:eastAsiaTheme="majorEastAsia" w:hAnsi="Arial" w:cs="Arial"/>
          <w:i/>
          <w:sz w:val="24"/>
          <w:szCs w:val="24"/>
        </w:rPr>
      </w:pPr>
      <w:r w:rsidRPr="00F853AF">
        <w:rPr>
          <w:rFonts w:ascii="Arial" w:eastAsiaTheme="majorEastAsia" w:hAnsi="Arial" w:cs="Arial"/>
          <w:i/>
          <w:sz w:val="24"/>
          <w:szCs w:val="24"/>
        </w:rPr>
        <w:t xml:space="preserve">En ese marco en esta instancia procesal, se presenta el </w:t>
      </w:r>
      <w:proofErr w:type="spellStart"/>
      <w:r w:rsidRPr="00F853AF">
        <w:rPr>
          <w:rFonts w:ascii="Arial" w:eastAsiaTheme="majorEastAsia" w:hAnsi="Arial" w:cs="Arial"/>
          <w:i/>
          <w:sz w:val="24"/>
          <w:szCs w:val="24"/>
        </w:rPr>
        <w:t>fumus</w:t>
      </w:r>
      <w:proofErr w:type="spellEnd"/>
      <w:r w:rsidRPr="00F853AF">
        <w:rPr>
          <w:rFonts w:ascii="Arial" w:eastAsiaTheme="majorEastAsia" w:hAnsi="Arial" w:cs="Arial"/>
          <w:i/>
          <w:sz w:val="24"/>
          <w:szCs w:val="24"/>
        </w:rPr>
        <w:t xml:space="preserve"> </w:t>
      </w:r>
      <w:proofErr w:type="spellStart"/>
      <w:r w:rsidRPr="00F853AF">
        <w:rPr>
          <w:rFonts w:ascii="Arial" w:eastAsiaTheme="majorEastAsia" w:hAnsi="Arial" w:cs="Arial"/>
          <w:i/>
          <w:sz w:val="24"/>
          <w:szCs w:val="24"/>
        </w:rPr>
        <w:t>bonis</w:t>
      </w:r>
      <w:proofErr w:type="spellEnd"/>
      <w:r w:rsidRPr="00F853AF">
        <w:rPr>
          <w:rFonts w:ascii="Arial" w:eastAsiaTheme="majorEastAsia" w:hAnsi="Arial" w:cs="Arial"/>
          <w:i/>
          <w:sz w:val="24"/>
          <w:szCs w:val="24"/>
        </w:rPr>
        <w:t xml:space="preserve"> iuris, comprobación de la apariencia o verosimilitud en el derecho invocado por la actora en su escrito de fs. 46/56, y exigible a toda decisión precautoria (Fallos: 314:695 y 711). T. 560. XLI. </w:t>
      </w:r>
      <w:r w:rsidRPr="00F853AF">
        <w:rPr>
          <w:rFonts w:ascii="Arial" w:eastAsiaTheme="majorEastAsia" w:hAnsi="Arial" w:cs="Arial"/>
          <w:i/>
          <w:sz w:val="24"/>
          <w:szCs w:val="24"/>
        </w:rPr>
        <w:lastRenderedPageBreak/>
        <w:t>Que, en efecto, ante el cierre del aeropuerto de -4-Don Torcuato, las restringidas condiciones de operatividad actuales, y el hecho de que aún las aeronaves se encuentran en él, exige que se adopten decisiones que aseguren los derechos esgrimidos por ambas partes.</w:t>
      </w:r>
    </w:p>
    <w:p w:rsidR="00F853AF" w:rsidRPr="00F853AF" w:rsidRDefault="00F853AF" w:rsidP="00F853AF">
      <w:pPr>
        <w:tabs>
          <w:tab w:val="left" w:pos="7805"/>
        </w:tabs>
        <w:spacing w:after="120" w:line="360" w:lineRule="auto"/>
        <w:ind w:left="284" w:right="1529"/>
        <w:jc w:val="both"/>
        <w:rPr>
          <w:rFonts w:ascii="Arial" w:eastAsiaTheme="majorEastAsia" w:hAnsi="Arial" w:cs="Arial"/>
          <w:sz w:val="24"/>
          <w:szCs w:val="24"/>
        </w:rPr>
      </w:pPr>
      <w:r w:rsidRPr="00F853AF">
        <w:rPr>
          <w:rFonts w:ascii="Arial" w:eastAsiaTheme="majorEastAsia" w:hAnsi="Arial" w:cs="Arial"/>
          <w:sz w:val="24"/>
          <w:szCs w:val="24"/>
        </w:rPr>
        <w:t>Corte Suprema de Justicia de la Nación, Buenos Aires, Tucumán, Provincia de c/ Timen S.A. s/ incidente de medida cautelar, 21 de julio de 2006, www.legaldoc.com.ar, marzo de 2018.</w:t>
      </w:r>
    </w:p>
    <w:p w:rsidR="00F853AF" w:rsidRPr="00F853AF" w:rsidRDefault="00F853AF" w:rsidP="00F853AF">
      <w:pPr>
        <w:tabs>
          <w:tab w:val="left" w:pos="7805"/>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Como se ve, a partir de un pequeño análisis de variada jurisprudencia, advertimos que siempre, sea del fuero que sea, el juez al analizar la verosimilitud del derecho analiza la verosimilitud de los hechos. Para tener por acreditado el </w:t>
      </w:r>
      <w:proofErr w:type="spellStart"/>
      <w:r w:rsidRPr="00F853AF">
        <w:rPr>
          <w:rFonts w:ascii="Arial" w:eastAsiaTheme="majorEastAsia" w:hAnsi="Arial" w:cs="Arial"/>
          <w:sz w:val="24"/>
          <w:szCs w:val="24"/>
        </w:rPr>
        <w:t>fumus</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bonus</w:t>
      </w:r>
      <w:proofErr w:type="spellEnd"/>
      <w:r w:rsidRPr="00F853AF">
        <w:rPr>
          <w:rFonts w:ascii="Arial" w:eastAsiaTheme="majorEastAsia" w:hAnsi="Arial" w:cs="Arial"/>
          <w:sz w:val="24"/>
          <w:szCs w:val="24"/>
        </w:rPr>
        <w:t xml:space="preserve"> iuris requiere la mínima comprobación de hechos que refieran al derecho que se pretende hacer valer. Por tanto para dictar una resolución cautelar se debe generar en el juez un pequeño grado de convencimiento acerca de la veracidad de los hechos afirmados. </w:t>
      </w:r>
    </w:p>
    <w:p w:rsidR="00F853AF" w:rsidRPr="00F853AF" w:rsidRDefault="00F853AF" w:rsidP="00F853AF">
      <w:pPr>
        <w:tabs>
          <w:tab w:val="left" w:pos="7805"/>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Esto sucede en la realidad aun en los casos en los que la ley no lo exige, como en la Provincia de Santa Fe para dicar un embargo preventivo. Como vimos, la jurisprudencia considera necesario analizar la verosimilitud en el derecho, esto lo hace acreditando efectivamente la acreencia del </w:t>
      </w:r>
      <w:proofErr w:type="spellStart"/>
      <w:r w:rsidRPr="00F853AF">
        <w:rPr>
          <w:rFonts w:ascii="Arial" w:eastAsiaTheme="majorEastAsia" w:hAnsi="Arial" w:cs="Arial"/>
          <w:sz w:val="24"/>
          <w:szCs w:val="24"/>
        </w:rPr>
        <w:t>peticionante</w:t>
      </w:r>
      <w:proofErr w:type="spellEnd"/>
      <w:r w:rsidRPr="00F853AF">
        <w:rPr>
          <w:rFonts w:ascii="Arial" w:eastAsiaTheme="majorEastAsia" w:hAnsi="Arial" w:cs="Arial"/>
          <w:sz w:val="24"/>
          <w:szCs w:val="24"/>
        </w:rPr>
        <w:t xml:space="preserve"> de la cautelar. Como adelantamos, consideramos que esta actitud es correcta, ya que entendemos que la única manera de justificar la afectación de un derecho constitucionalmente reconocido como la propiedad debe requerir el convencimiento, aunque sea mínimo, del juez sobre la legalidad del pedido. </w:t>
      </w:r>
    </w:p>
    <w:p w:rsidR="004A2C31" w:rsidRDefault="004A2C31"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r w:rsidRPr="00F853AF">
        <w:rPr>
          <w:rFonts w:ascii="Arial" w:eastAsiaTheme="majorEastAsia" w:hAnsi="Arial" w:cs="Arial"/>
          <w:b/>
          <w:sz w:val="24"/>
          <w:szCs w:val="24"/>
        </w:rPr>
        <w:t>2.2. Análisis de la doctrina</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Por su parte, la doctrina, a la hora de definir qué requiere la verosimilitud en el derecho, sostiene:</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DI IORIO: Para la procedencia de toda medida cautelar, debe acreditarse una apariencia que invista a la pretensión de una credibilidad razonable, con suficiente sustento para descartar una pretensión manifiestamente infundada, temeraria o muy </w:t>
      </w:r>
      <w:r w:rsidRPr="00F853AF">
        <w:rPr>
          <w:rFonts w:ascii="Arial" w:eastAsiaTheme="majorEastAsia" w:hAnsi="Arial" w:cs="Arial"/>
          <w:sz w:val="24"/>
          <w:szCs w:val="24"/>
        </w:rPr>
        <w:lastRenderedPageBreak/>
        <w:t>cuestionable dentro de los límites con que cabe valorar los elementos de juicio incorporados al expediente.</w:t>
      </w:r>
      <w:r w:rsidRPr="00F853AF">
        <w:rPr>
          <w:rFonts w:ascii="Arial" w:eastAsiaTheme="majorEastAsia" w:hAnsi="Arial" w:cs="Arial"/>
          <w:sz w:val="24"/>
          <w:szCs w:val="24"/>
          <w:vertAlign w:val="superscript"/>
        </w:rPr>
        <w:footnoteReference w:id="18"/>
      </w:r>
      <w:r w:rsidRPr="00F853AF">
        <w:rPr>
          <w:rFonts w:ascii="Arial" w:eastAsiaTheme="majorEastAsia" w:hAnsi="Arial" w:cs="Arial"/>
          <w:sz w:val="24"/>
          <w:szCs w:val="24"/>
        </w:rPr>
        <w:t xml:space="preserve"> </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PALACIO: atendiendo a la finalidad del proceso cautelar –asegurar la eficacia práctica de la sentencia que debe recaer en el proceso principal−, la fundabilidad de la pretensión que constituye el objeto de aquél no puede depender de un conocimiento exhaustivo y profundo de la materia controvertida, sino de un conocimiento periférico o superficial encaminado a obtener un pronunciamiento de mera probabilidad acerca de la existencia del derecho discutido.</w:t>
      </w:r>
      <w:r w:rsidRPr="00F853AF">
        <w:rPr>
          <w:rFonts w:ascii="Arial" w:eastAsiaTheme="majorEastAsia" w:hAnsi="Arial" w:cs="Arial"/>
          <w:sz w:val="24"/>
          <w:szCs w:val="24"/>
          <w:vertAlign w:val="superscript"/>
        </w:rPr>
        <w:footnoteReference w:id="19"/>
      </w:r>
      <w:r w:rsidRPr="00F853AF">
        <w:rPr>
          <w:rFonts w:ascii="Arial" w:eastAsiaTheme="majorEastAsia" w:hAnsi="Arial" w:cs="Arial"/>
          <w:sz w:val="24"/>
          <w:szCs w:val="24"/>
        </w:rPr>
        <w:t xml:space="preserve"> </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ALSINA: para obtener el dictado de una resolución que acoja favorablemente una pretensión cautelar, resulta suficiente la comprobación de la apariencia o verosimilitud del derecho invocado por el actor (tradicionalmente llamado </w:t>
      </w:r>
      <w:proofErr w:type="spellStart"/>
      <w:r w:rsidRPr="00F853AF">
        <w:rPr>
          <w:rFonts w:ascii="Arial" w:eastAsiaTheme="majorEastAsia" w:hAnsi="Arial" w:cs="Arial"/>
          <w:sz w:val="24"/>
          <w:szCs w:val="24"/>
        </w:rPr>
        <w:t>fumus</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boni</w:t>
      </w:r>
      <w:proofErr w:type="spellEnd"/>
      <w:r w:rsidRPr="00F853AF">
        <w:rPr>
          <w:rFonts w:ascii="Arial" w:eastAsiaTheme="majorEastAsia" w:hAnsi="Arial" w:cs="Arial"/>
          <w:sz w:val="24"/>
          <w:szCs w:val="24"/>
        </w:rPr>
        <w:t xml:space="preserve"> iuris), por ello la ley no exige a los fines de dicha comprobación una prueba plena y concluyente, sino un mero </w:t>
      </w:r>
      <w:proofErr w:type="spellStart"/>
      <w:r w:rsidRPr="00F853AF">
        <w:rPr>
          <w:rFonts w:ascii="Arial" w:eastAsiaTheme="majorEastAsia" w:hAnsi="Arial" w:cs="Arial"/>
          <w:sz w:val="24"/>
          <w:szCs w:val="24"/>
        </w:rPr>
        <w:t>acreditamiento</w:t>
      </w:r>
      <w:proofErr w:type="spellEnd"/>
      <w:r w:rsidRPr="00F853AF">
        <w:rPr>
          <w:rFonts w:ascii="Arial" w:eastAsiaTheme="majorEastAsia" w:hAnsi="Arial" w:cs="Arial"/>
          <w:sz w:val="24"/>
          <w:szCs w:val="24"/>
        </w:rPr>
        <w:t>.</w:t>
      </w:r>
      <w:r w:rsidRPr="00F853AF">
        <w:rPr>
          <w:rFonts w:ascii="Arial" w:eastAsiaTheme="majorEastAsia" w:hAnsi="Arial" w:cs="Arial"/>
          <w:sz w:val="24"/>
          <w:szCs w:val="24"/>
          <w:vertAlign w:val="superscript"/>
        </w:rPr>
        <w:footnoteReference w:id="20"/>
      </w:r>
      <w:r w:rsidRPr="00F853AF">
        <w:rPr>
          <w:rFonts w:ascii="Arial" w:eastAsiaTheme="majorEastAsia" w:hAnsi="Arial" w:cs="Arial"/>
          <w:sz w:val="24"/>
          <w:szCs w:val="24"/>
        </w:rPr>
        <w:t xml:space="preserve"> </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CHIOVENDA</w:t>
      </w:r>
      <w:r w:rsidRPr="00F853AF">
        <w:rPr>
          <w:rFonts w:ascii="Arial" w:eastAsiaTheme="majorEastAsia" w:hAnsi="Arial" w:cs="Arial"/>
          <w:sz w:val="24"/>
          <w:szCs w:val="24"/>
          <w:vertAlign w:val="superscript"/>
        </w:rPr>
        <w:footnoteReference w:id="21"/>
      </w:r>
      <w:r w:rsidRPr="00F853AF">
        <w:rPr>
          <w:rFonts w:ascii="Arial" w:eastAsiaTheme="majorEastAsia" w:hAnsi="Arial" w:cs="Arial"/>
          <w:sz w:val="24"/>
          <w:szCs w:val="24"/>
        </w:rPr>
        <w:t xml:space="preserve"> la posibilidad del derecho, apreciada en base a un examen evidentemente superficial (</w:t>
      </w:r>
      <w:proofErr w:type="spellStart"/>
      <w:r w:rsidRPr="00F853AF">
        <w:rPr>
          <w:rFonts w:ascii="Arial" w:eastAsiaTheme="majorEastAsia" w:hAnsi="Arial" w:cs="Arial"/>
          <w:sz w:val="24"/>
          <w:szCs w:val="24"/>
        </w:rPr>
        <w:t>summaria</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cognitio</w:t>
      </w:r>
      <w:proofErr w:type="spellEnd"/>
      <w:r w:rsidRPr="00F853AF">
        <w:rPr>
          <w:rFonts w:ascii="Arial" w:eastAsiaTheme="majorEastAsia" w:hAnsi="Arial" w:cs="Arial"/>
          <w:sz w:val="24"/>
          <w:szCs w:val="24"/>
        </w:rPr>
        <w:t>).</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CALAMANDREI</w:t>
      </w:r>
      <w:r w:rsidRPr="00F853AF">
        <w:rPr>
          <w:rFonts w:ascii="Arial" w:eastAsiaTheme="majorEastAsia" w:hAnsi="Arial" w:cs="Arial"/>
          <w:sz w:val="24"/>
          <w:szCs w:val="24"/>
          <w:vertAlign w:val="superscript"/>
        </w:rPr>
        <w:footnoteReference w:id="22"/>
      </w:r>
      <w:r w:rsidRPr="00F853AF">
        <w:rPr>
          <w:rFonts w:ascii="Arial" w:eastAsiaTheme="majorEastAsia" w:hAnsi="Arial" w:cs="Arial"/>
          <w:sz w:val="24"/>
          <w:szCs w:val="24"/>
        </w:rPr>
        <w:t xml:space="preserve"> para juzgar si un hecho es verosímil o inverosímil, recurrimos, sin necesidad de una directa investigación histórica acerca de su verdad en concreto, a un criterio de orden general ya adquirido precedentemente mediante la observación de </w:t>
      </w:r>
      <w:proofErr w:type="spellStart"/>
      <w:r w:rsidRPr="00F853AF">
        <w:rPr>
          <w:rFonts w:ascii="Arial" w:eastAsiaTheme="majorEastAsia" w:hAnsi="Arial" w:cs="Arial"/>
          <w:sz w:val="24"/>
          <w:szCs w:val="24"/>
        </w:rPr>
        <w:t>quod</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plerumque</w:t>
      </w:r>
      <w:proofErr w:type="spellEnd"/>
      <w:r w:rsidRPr="00F853AF">
        <w:rPr>
          <w:rFonts w:ascii="Arial" w:eastAsiaTheme="majorEastAsia" w:hAnsi="Arial" w:cs="Arial"/>
          <w:sz w:val="24"/>
          <w:szCs w:val="24"/>
        </w:rPr>
        <w:t xml:space="preserve"> </w:t>
      </w:r>
      <w:proofErr w:type="spellStart"/>
      <w:r w:rsidRPr="00F853AF">
        <w:rPr>
          <w:rFonts w:ascii="Arial" w:eastAsiaTheme="majorEastAsia" w:hAnsi="Arial" w:cs="Arial"/>
          <w:sz w:val="24"/>
          <w:szCs w:val="24"/>
        </w:rPr>
        <w:t>accidit</w:t>
      </w:r>
      <w:proofErr w:type="spellEnd"/>
      <w:r w:rsidRPr="00F853AF">
        <w:rPr>
          <w:rFonts w:ascii="Arial" w:eastAsiaTheme="majorEastAsia" w:hAnsi="Arial" w:cs="Arial"/>
          <w:sz w:val="24"/>
          <w:szCs w:val="24"/>
          <w:vertAlign w:val="superscript"/>
        </w:rPr>
        <w:footnoteReference w:id="23"/>
      </w:r>
      <w:r w:rsidRPr="00F853AF">
        <w:rPr>
          <w:rFonts w:ascii="Arial" w:eastAsiaTheme="majorEastAsia" w:hAnsi="Arial" w:cs="Arial"/>
          <w:sz w:val="24"/>
          <w:szCs w:val="24"/>
        </w:rPr>
        <w:t>: puesto que la experiencia nos enseña que hechos de aquella misma categoría ocurren normalmente en circunstancias similares a las que se observan en el caso concreto, se infiere de esta experiencia que también el hecho en cuestión se presenta con la apariencia de ser verdadero; y por el contrario, se concluye que es inverosímil cuando, aun pudiendo ser, parece, sin embargo, en contraste con el criterio sugerido por la normalidad.</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FALCON</w:t>
      </w:r>
      <w:r w:rsidRPr="00F853AF">
        <w:rPr>
          <w:rFonts w:ascii="Arial" w:eastAsiaTheme="majorEastAsia" w:hAnsi="Arial" w:cs="Arial"/>
          <w:sz w:val="24"/>
          <w:szCs w:val="24"/>
          <w:vertAlign w:val="superscript"/>
        </w:rPr>
        <w:footnoteReference w:id="24"/>
      </w:r>
      <w:r w:rsidRPr="00F853AF">
        <w:rPr>
          <w:rFonts w:ascii="Arial" w:eastAsiaTheme="majorEastAsia" w:hAnsi="Arial" w:cs="Arial"/>
          <w:sz w:val="24"/>
          <w:szCs w:val="24"/>
        </w:rPr>
        <w:t xml:space="preserve"> la apariencia que presente el pedido, respecto de la probabilidad de obtener una sentencia estimatoria de la pretensión en el proceso, la probabilidad de </w:t>
      </w:r>
      <w:r w:rsidRPr="00F853AF">
        <w:rPr>
          <w:rFonts w:ascii="Arial" w:eastAsiaTheme="majorEastAsia" w:hAnsi="Arial" w:cs="Arial"/>
          <w:sz w:val="24"/>
          <w:szCs w:val="24"/>
        </w:rPr>
        <w:lastRenderedPageBreak/>
        <w:t>que el derecho exista y no como una incontestable realidad, que solo logrará al agotarse el trámite, y que se vincula a su vez con la probabilidad de vencer.</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Como ya advirtiéramos, la doctrina hace referencia a la superficialidad y provisionalidad del conocimiento del juez acerca de la situación fáctica que debe analizar para determinar la procedencia de una cautelar y con ello salva la imparcialidad del juzgador. </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Sin embargo, si analizamos en profundidad las definiciones vemos que Palacio admite que hay conocimiento y el juez decide en base a ese conocimiento, por tanto admite directamente la afectación de la imparcialidad, incluso  que podría configurarse prejuzgamiento; Di </w:t>
      </w:r>
      <w:proofErr w:type="spellStart"/>
      <w:r w:rsidRPr="00F853AF">
        <w:rPr>
          <w:rFonts w:ascii="Arial" w:eastAsiaTheme="majorEastAsia" w:hAnsi="Arial" w:cs="Arial"/>
          <w:sz w:val="24"/>
          <w:szCs w:val="24"/>
        </w:rPr>
        <w:t>Iorio</w:t>
      </w:r>
      <w:proofErr w:type="spellEnd"/>
      <w:r w:rsidRPr="00F853AF">
        <w:rPr>
          <w:rFonts w:ascii="Arial" w:eastAsiaTheme="majorEastAsia" w:hAnsi="Arial" w:cs="Arial"/>
          <w:sz w:val="24"/>
          <w:szCs w:val="24"/>
        </w:rPr>
        <w:t xml:space="preserve"> requiere del </w:t>
      </w:r>
      <w:proofErr w:type="spellStart"/>
      <w:r w:rsidRPr="00F853AF">
        <w:rPr>
          <w:rFonts w:ascii="Arial" w:eastAsiaTheme="majorEastAsia" w:hAnsi="Arial" w:cs="Arial"/>
          <w:sz w:val="24"/>
          <w:szCs w:val="24"/>
        </w:rPr>
        <w:t>peticionante</w:t>
      </w:r>
      <w:proofErr w:type="spellEnd"/>
      <w:r w:rsidRPr="00F853AF">
        <w:rPr>
          <w:rFonts w:ascii="Arial" w:eastAsiaTheme="majorEastAsia" w:hAnsi="Arial" w:cs="Arial"/>
          <w:sz w:val="24"/>
          <w:szCs w:val="24"/>
        </w:rPr>
        <w:t xml:space="preserve"> suficiente sustento, que sólo podrá darse acreditando los hechos que originan la petición; Alsina habla de </w:t>
      </w:r>
      <w:proofErr w:type="spellStart"/>
      <w:r w:rsidRPr="00F853AF">
        <w:rPr>
          <w:rFonts w:ascii="Arial" w:eastAsiaTheme="majorEastAsia" w:hAnsi="Arial" w:cs="Arial"/>
          <w:sz w:val="24"/>
          <w:szCs w:val="24"/>
        </w:rPr>
        <w:t>acreditamiento</w:t>
      </w:r>
      <w:proofErr w:type="spellEnd"/>
      <w:r w:rsidRPr="00F853AF">
        <w:rPr>
          <w:rFonts w:ascii="Arial" w:eastAsiaTheme="majorEastAsia" w:hAnsi="Arial" w:cs="Arial"/>
          <w:sz w:val="24"/>
          <w:szCs w:val="24"/>
        </w:rPr>
        <w:t xml:space="preserve">, requisito que implica la necesidad de demostrar, mínimamente, los hechos que fundamentan el derecho; </w:t>
      </w:r>
      <w:proofErr w:type="spellStart"/>
      <w:r w:rsidRPr="00F853AF">
        <w:rPr>
          <w:rFonts w:ascii="Arial" w:eastAsiaTheme="majorEastAsia" w:hAnsi="Arial" w:cs="Arial"/>
          <w:sz w:val="24"/>
          <w:szCs w:val="24"/>
        </w:rPr>
        <w:t>Calamandrei</w:t>
      </w:r>
      <w:proofErr w:type="spellEnd"/>
      <w:r w:rsidRPr="00F853AF">
        <w:rPr>
          <w:rFonts w:ascii="Arial" w:eastAsiaTheme="majorEastAsia" w:hAnsi="Arial" w:cs="Arial"/>
          <w:sz w:val="24"/>
          <w:szCs w:val="24"/>
        </w:rPr>
        <w:t xml:space="preserve"> refiere al análisis de los hechos y Falcón considera necesario analizar la posibilidad de vencer que tenga el </w:t>
      </w:r>
      <w:proofErr w:type="spellStart"/>
      <w:r w:rsidRPr="00F853AF">
        <w:rPr>
          <w:rFonts w:ascii="Arial" w:eastAsiaTheme="majorEastAsia" w:hAnsi="Arial" w:cs="Arial"/>
          <w:sz w:val="24"/>
          <w:szCs w:val="24"/>
        </w:rPr>
        <w:t>peticionante</w:t>
      </w:r>
      <w:proofErr w:type="spellEnd"/>
      <w:r w:rsidRPr="00F853AF">
        <w:rPr>
          <w:rFonts w:ascii="Arial" w:eastAsiaTheme="majorEastAsia" w:hAnsi="Arial" w:cs="Arial"/>
          <w:sz w:val="24"/>
          <w:szCs w:val="24"/>
        </w:rPr>
        <w:t>, posibilidad que sólo podrá analizarse considerando los hechos y los elementos probatorios que avalen esos hechos.</w:t>
      </w:r>
    </w:p>
    <w:p w:rsidR="00F853AF" w:rsidRPr="00F853AF" w:rsidRDefault="00F853AF" w:rsidP="00F853AF">
      <w:pPr>
        <w:tabs>
          <w:tab w:val="left" w:pos="6501"/>
        </w:tabs>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Por tanto, a partir del análisis de lo que realmente doctrina y jurisprudencia requieren para el dictado de una cautelar, vemos que al decir verosimilitud del derecho realmente están diciendo verosimilitud de los hechos. Para hacer lugar a una cautelar se busca que el juez conozca, “mínima y provisoriamente”, los hechos que esgrime el pretendiente como fundamento del derecho que quiere cautelar.  </w:t>
      </w:r>
    </w:p>
    <w:p w:rsidR="00F853AF" w:rsidRPr="00F853AF" w:rsidRDefault="00F853AF"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r w:rsidRPr="00F853AF">
        <w:rPr>
          <w:rFonts w:ascii="Arial" w:eastAsiaTheme="majorEastAsia" w:hAnsi="Arial" w:cs="Arial"/>
          <w:b/>
          <w:sz w:val="24"/>
          <w:szCs w:val="24"/>
        </w:rPr>
        <w:t xml:space="preserve">3. ¿Juez que cautela pierde la imparcialidad?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Entonces, si bien, autorizada doctrina y reconocida jurisprudencia, incluso de los más altos tribunales de justicia de nuestro país –en materia civil, comercial o laboral</w:t>
      </w:r>
      <w:r w:rsidR="008459C9">
        <w:rPr>
          <w:rFonts w:ascii="Arial" w:eastAsiaTheme="majorEastAsia" w:hAnsi="Arial" w:cs="Arial"/>
          <w:sz w:val="24"/>
          <w:szCs w:val="24"/>
        </w:rPr>
        <w:t>-</w:t>
      </w:r>
      <w:r w:rsidRPr="00F853AF">
        <w:rPr>
          <w:rFonts w:ascii="Arial" w:eastAsiaTheme="majorEastAsia" w:hAnsi="Arial" w:cs="Arial"/>
          <w:sz w:val="24"/>
          <w:szCs w:val="24"/>
        </w:rPr>
        <w:t xml:space="preserve"> reiteran incesantemente que el juez para cautelar analiza el derecho de modo provisorio y que esto no alcanza para viciar de parcialidad el futuro accionar de ese juez en un proceso principal; la realidad es que no hay posibilidad intelectiva de distinguir verosimilitud en el derecho de verosimilitud en los hechos.</w:t>
      </w:r>
      <w:r w:rsidRPr="00F853AF">
        <w:rPr>
          <w:rFonts w:ascii="Arial" w:eastAsiaTheme="majorEastAsia" w:hAnsi="Arial" w:cs="Arial"/>
          <w:sz w:val="24"/>
          <w:szCs w:val="24"/>
          <w:vertAlign w:val="superscript"/>
        </w:rPr>
        <w:footnoteReference w:id="25"/>
      </w:r>
      <w:r w:rsidRPr="00F853AF">
        <w:rPr>
          <w:rFonts w:ascii="Arial" w:eastAsiaTheme="majorEastAsia" w:hAnsi="Arial" w:cs="Arial"/>
          <w:sz w:val="24"/>
          <w:szCs w:val="24"/>
        </w:rPr>
        <w:t xml:space="preserve"> El juez para analizar, aunque sea provisoriamente, si un derecho es verosímil debe verificar la plataforma fáctica que da origen a ese derecho.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A pesar de que se reitera en las legislaciones como requisito “la verosimilitud en el derecho”, del análisis de las resoluciones jurisprudenciales y de la doctrina, surge que en realidad para otorgar una cautelar se requiere y se analiza la verosimilitud en los hechos, para luego sí ver si esos hechos se corresponden con el derecho.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Coincidentemente con esto, plantea Ricardo L. </w:t>
      </w:r>
      <w:proofErr w:type="spellStart"/>
      <w:r w:rsidRPr="00F853AF">
        <w:rPr>
          <w:rFonts w:ascii="Arial" w:eastAsiaTheme="majorEastAsia" w:hAnsi="Arial" w:cs="Arial"/>
          <w:sz w:val="24"/>
          <w:szCs w:val="24"/>
        </w:rPr>
        <w:t>Lorenzetti</w:t>
      </w:r>
      <w:proofErr w:type="spellEnd"/>
      <w:r w:rsidRPr="00F853AF">
        <w:rPr>
          <w:rFonts w:ascii="Arial" w:eastAsiaTheme="majorEastAsia" w:hAnsi="Arial" w:cs="Arial"/>
          <w:sz w:val="24"/>
          <w:szCs w:val="24"/>
          <w:vertAlign w:val="superscript"/>
        </w:rPr>
        <w:footnoteReference w:id="26"/>
      </w:r>
      <w:r w:rsidRPr="00F853AF">
        <w:rPr>
          <w:rFonts w:ascii="Arial" w:eastAsiaTheme="majorEastAsia" w:hAnsi="Arial" w:cs="Arial"/>
          <w:sz w:val="24"/>
          <w:szCs w:val="24"/>
        </w:rPr>
        <w:t xml:space="preserve"> en el esquema de razonamiento judicial que propone que: al enfrentarse a una cuestión a resolver lo primero que hace el juez es delimitar los hechos, el elemento fáctico, delimitar un supuesto de hecho relevante, determinar la existencia de un hecho en sentido jurídico, luego se identificará la norma y se deducirá la solución.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Esta delimitación de hechos está siempre presente, en todas y cada una de la resoluciones judiciales, traten éstas el fondo del asunto o dispongan la aplicación de una medida cautelar. El juez tiene que analizar si el hecho en el que se funda la pretensión o petición que le traen a su conocimiento constituye un hecho de relevancia jurídica y, por tanto, merece ser tratado.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La afirmación es contundente, siempre que un juez tenga ante sí una situación que deba resolver analizará los hechos y su contraste con el derecho.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En cuanto al segundo fundamento con el que se intenta sostener la futura imparcialidad del juez luego del dictado de una cautelar, afirman reiteradamente doctrina y jurisprudencia que el grado de convencimiento del juez en la cautelar es mínimo, por eso se utiliza el término verosimilitud y no certeza.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Como vimos, la situación fáctica tratada en una cautelar es idéntica a la de la pretensión principal, aunque claramente no </w:t>
      </w:r>
      <w:proofErr w:type="gramStart"/>
      <w:r w:rsidRPr="00F853AF">
        <w:rPr>
          <w:rFonts w:ascii="Arial" w:eastAsiaTheme="majorEastAsia" w:hAnsi="Arial" w:cs="Arial"/>
          <w:sz w:val="24"/>
          <w:szCs w:val="24"/>
        </w:rPr>
        <w:t>coincidan</w:t>
      </w:r>
      <w:proofErr w:type="gramEnd"/>
      <w:r w:rsidRPr="00F853AF">
        <w:rPr>
          <w:rFonts w:ascii="Arial" w:eastAsiaTheme="majorEastAsia" w:hAnsi="Arial" w:cs="Arial"/>
          <w:sz w:val="24"/>
          <w:szCs w:val="24"/>
        </w:rPr>
        <w:t xml:space="preserve"> el objeto de la petición cautelar con el de la pretensión principal, los hechos en los que se basarán una y otra son los mismos. Esto es lógico ya que lo que se quiere cautelar es la posibilidad de hacer valer un derecho a través de una sentencia futura, ese derecho emerge de los hechos que justificarán tanto el proceso principal como la necesidad de cautelarlo.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En este sentido, a la hora de acreditar la verosimilitud en el derecho, el pretendiente de la medida cautelar debe demostrar que tiene derecho a requerirla en virtud de la situación de hecho que afirma ocurrió y que genera en él  la necesidad de </w:t>
      </w:r>
      <w:r w:rsidRPr="00F853AF">
        <w:rPr>
          <w:rFonts w:ascii="Arial" w:eastAsiaTheme="majorEastAsia" w:hAnsi="Arial" w:cs="Arial"/>
          <w:sz w:val="24"/>
          <w:szCs w:val="24"/>
        </w:rPr>
        <w:lastRenderedPageBreak/>
        <w:t xml:space="preserve">protección, por ejemplo un daño resarcible, mediante una sentencia que se perseguirá en un juicio principal.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La cuestión está en dilucidar en este punto si la existencia de este pequeño convencimiento de responsabilidad del demandado es o no suficiente para plantear el temor de parcialidad. Luego de todo lo expuesto, se impone una respuesta afirmativa.</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En ese sentido, reafirma </w:t>
      </w:r>
      <w:proofErr w:type="spellStart"/>
      <w:r w:rsidRPr="00F853AF">
        <w:rPr>
          <w:rFonts w:ascii="Arial" w:eastAsiaTheme="majorEastAsia" w:hAnsi="Arial" w:cs="Arial"/>
          <w:sz w:val="24"/>
          <w:szCs w:val="24"/>
        </w:rPr>
        <w:t>Hotham</w:t>
      </w:r>
      <w:proofErr w:type="spellEnd"/>
      <w:r w:rsidRPr="00F853AF">
        <w:rPr>
          <w:rFonts w:ascii="Arial" w:eastAsiaTheme="majorEastAsia" w:hAnsi="Arial" w:cs="Arial"/>
          <w:sz w:val="24"/>
          <w:szCs w:val="24"/>
        </w:rPr>
        <w:t xml:space="preserv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Si [el juez] tuviera alguna idea previa sobre los hechos del caso, o sobre lo justo para su solución, ese sería otro factor de parcialidad. Si la ha expresado, es un caso de prejuzgamiento. Este vicio está presente en sentencias y procesos, y por propuesto, autorizado o fomentado en la teoría, en jurisprudencia y en la ley misma. (…) No depende de la voluntad, ni menos de culpa del juez. No es un elemento subjetivo. (…) Tampoco esperamos que se manifieste una convicción firme: la mera opinión aunque se aclare que es provisoria suprime la imparcialidad, y por tanto implica prejuzgamiento. (…) Si la definición sobre el hecho o derecho se produce antes, la balanza está torcida, no hay  más paridad, desapareció el “tercero imparcial”, ya no hay más juez</w:t>
      </w:r>
      <w:r w:rsidRPr="00F853AF">
        <w:rPr>
          <w:rFonts w:ascii="Arial" w:eastAsiaTheme="majorEastAsia" w:hAnsi="Arial" w:cs="Arial"/>
          <w:sz w:val="24"/>
          <w:szCs w:val="24"/>
          <w:vertAlign w:val="superscript"/>
        </w:rPr>
        <w:footnoteReference w:id="27"/>
      </w:r>
      <w:r w:rsidRPr="00F853AF">
        <w:rPr>
          <w:rFonts w:ascii="Arial" w:eastAsiaTheme="majorEastAsia" w:hAnsi="Arial" w:cs="Arial"/>
          <w:sz w:val="24"/>
          <w:szCs w:val="24"/>
        </w:rPr>
        <w:t xml:space="preserv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La afirmación es contundente: si la definición sobre el hecho o derecho se produce antes, desapareció el tercero imparcial, ya no hay más juez.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Esto mismo puede deducirse de la jurisprudencia que citamos como fundamento de nuestra postura. Así en </w:t>
      </w:r>
      <w:proofErr w:type="spellStart"/>
      <w:r w:rsidRPr="00F853AF">
        <w:rPr>
          <w:rFonts w:ascii="Arial" w:eastAsiaTheme="majorEastAsia" w:hAnsi="Arial" w:cs="Arial"/>
          <w:sz w:val="24"/>
          <w:szCs w:val="24"/>
        </w:rPr>
        <w:t>Dieser</w:t>
      </w:r>
      <w:proofErr w:type="spellEnd"/>
      <w:r w:rsidRPr="00F853AF">
        <w:rPr>
          <w:rFonts w:ascii="Arial" w:eastAsiaTheme="majorEastAsia" w:hAnsi="Arial" w:cs="Arial"/>
          <w:sz w:val="24"/>
          <w:szCs w:val="24"/>
        </w:rPr>
        <w:t xml:space="preserve">, el procurador de la Corte en un dictamen que luego el Tribunal hace suyo para fallar, afirmó que “Es probable conjeturar que quien debió emitir un juicio de verosimilitud podría quedar psíquicamente condicionado para emitir un juicio de certeza”; y consecuentemente ratifica lo dicho por la Corte en el fallo Quiroga: “en materia de imparcialidad judicial lo decisivo es establecer si, desde el punto de vista de las circunstancias externas (objetivas), existen elementos que autoricen a abrigar dudas con relación a la imparcialidad con que debe desempeñarse el juez”. Ante la duda el juez debe ser desplazado, confirma esto cuando cita a </w:t>
      </w:r>
      <w:proofErr w:type="spellStart"/>
      <w:r w:rsidRPr="00F853AF">
        <w:rPr>
          <w:rFonts w:ascii="Arial" w:eastAsiaTheme="majorEastAsia" w:hAnsi="Arial" w:cs="Arial"/>
          <w:sz w:val="24"/>
          <w:szCs w:val="24"/>
        </w:rPr>
        <w:t>Roxin</w:t>
      </w:r>
      <w:proofErr w:type="spellEnd"/>
      <w:r w:rsidRPr="00F853AF">
        <w:rPr>
          <w:rFonts w:ascii="Arial" w:eastAsiaTheme="majorEastAsia" w:hAnsi="Arial" w:cs="Arial"/>
          <w:sz w:val="24"/>
          <w:szCs w:val="24"/>
        </w:rPr>
        <w:t xml:space="preserve">: "un juez, cuya objetividad en un proceso determinado está puesta en duda, no debe resolver en ese proceso, tanto en interés de las partes </w:t>
      </w:r>
      <w:r w:rsidRPr="00F853AF">
        <w:rPr>
          <w:rFonts w:ascii="Arial" w:eastAsiaTheme="majorEastAsia" w:hAnsi="Arial" w:cs="Arial"/>
          <w:sz w:val="24"/>
          <w:szCs w:val="24"/>
        </w:rPr>
        <w:lastRenderedPageBreak/>
        <w:t>como para mantener la confianza en la imparcialidad de la administración de justicia."</w:t>
      </w:r>
      <w:r w:rsidRPr="00F853AF">
        <w:rPr>
          <w:rFonts w:ascii="Arial" w:eastAsiaTheme="majorEastAsia" w:hAnsi="Arial" w:cs="Arial"/>
          <w:sz w:val="24"/>
          <w:szCs w:val="24"/>
          <w:vertAlign w:val="superscript"/>
        </w:rPr>
        <w:footnoteReference w:id="28"/>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En consecuencia, respondiendo a la pregunta del título decimos: sí, juez que cautela pierde la imparcialidad. Pierde la imparcialidad porque analiza hechos y se convence provisoria y mínimamente de la veracidad de los mismos y de la necesidad de tutela del </w:t>
      </w:r>
      <w:proofErr w:type="spellStart"/>
      <w:r w:rsidRPr="00F853AF">
        <w:rPr>
          <w:rFonts w:ascii="Arial" w:eastAsiaTheme="majorEastAsia" w:hAnsi="Arial" w:cs="Arial"/>
          <w:sz w:val="24"/>
          <w:szCs w:val="24"/>
        </w:rPr>
        <w:t>cautelante</w:t>
      </w:r>
      <w:proofErr w:type="spellEnd"/>
      <w:r w:rsidRPr="00F853AF">
        <w:rPr>
          <w:rFonts w:ascii="Arial" w:eastAsiaTheme="majorEastAsia" w:hAnsi="Arial" w:cs="Arial"/>
          <w:sz w:val="24"/>
          <w:szCs w:val="24"/>
        </w:rPr>
        <w:t xml:space="preserve">. Se convence de que haya una probable sentencia favorable que luego no pueda ser ejecutada y por ello hace lugar a la cautela. El juez proyecta esta situación y la ve como posible, por eso admite la cautela peticionada.  </w:t>
      </w:r>
    </w:p>
    <w:p w:rsidR="004A2C31" w:rsidRDefault="004A2C31"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r w:rsidRPr="00F853AF">
        <w:rPr>
          <w:rFonts w:ascii="Arial" w:eastAsiaTheme="majorEastAsia" w:hAnsi="Arial" w:cs="Arial"/>
          <w:b/>
          <w:sz w:val="24"/>
          <w:szCs w:val="24"/>
        </w:rPr>
        <w:t>4. Juez que cautela no debe juzgar</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Como lógica consecuencia entonces de todo lo analizado entendemos que juez que cautela no debe juzgar.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Ahora, nuestro fundamento radica en el análisis real del requisito de verosimilitud en el derecho, pero hay disposiciones normativas que no lo establecen como tal para el dictado de una cautelar, ¿podría el juez resolver esas cautelas y tramitar el principal?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Como dijimos cuando analizamos la normativa referida a las cautelares, no consentimos quitar el requisito de verosimilitud en el derecho de ninguna cautelar. Esto por varios motivos, el primero tiene que ver con no coincidir con el fundamento que otorgan quienes lo eliminan, esto es, considerar que los derechos del cautelado se encuentran salvados por la </w:t>
      </w:r>
      <w:proofErr w:type="spellStart"/>
      <w:r w:rsidRPr="00F853AF">
        <w:rPr>
          <w:rFonts w:ascii="Arial" w:eastAsiaTheme="majorEastAsia" w:hAnsi="Arial" w:cs="Arial"/>
          <w:sz w:val="24"/>
          <w:szCs w:val="24"/>
        </w:rPr>
        <w:t>contracautela</w:t>
      </w:r>
      <w:proofErr w:type="spellEnd"/>
      <w:r w:rsidRPr="00F853AF">
        <w:rPr>
          <w:rFonts w:ascii="Arial" w:eastAsiaTheme="majorEastAsia" w:hAnsi="Arial" w:cs="Arial"/>
          <w:sz w:val="24"/>
          <w:szCs w:val="24"/>
        </w:rPr>
        <w:t xml:space="preserve">. Este fundamento no resulta útil ante </w:t>
      </w:r>
      <w:proofErr w:type="spellStart"/>
      <w:r w:rsidRPr="00F853AF">
        <w:rPr>
          <w:rFonts w:ascii="Arial" w:eastAsiaTheme="majorEastAsia" w:hAnsi="Arial" w:cs="Arial"/>
          <w:sz w:val="24"/>
          <w:szCs w:val="24"/>
        </w:rPr>
        <w:t>cautelantes</w:t>
      </w:r>
      <w:proofErr w:type="spellEnd"/>
      <w:r w:rsidRPr="00F853AF">
        <w:rPr>
          <w:rFonts w:ascii="Arial" w:eastAsiaTheme="majorEastAsia" w:hAnsi="Arial" w:cs="Arial"/>
          <w:sz w:val="24"/>
          <w:szCs w:val="24"/>
        </w:rPr>
        <w:t xml:space="preserve"> que se encuentren eximidos de prestar </w:t>
      </w:r>
      <w:proofErr w:type="spellStart"/>
      <w:r w:rsidRPr="00F853AF">
        <w:rPr>
          <w:rFonts w:ascii="Arial" w:eastAsiaTheme="majorEastAsia" w:hAnsi="Arial" w:cs="Arial"/>
          <w:sz w:val="24"/>
          <w:szCs w:val="24"/>
        </w:rPr>
        <w:t>contracautela</w:t>
      </w:r>
      <w:proofErr w:type="spellEnd"/>
      <w:r w:rsidRPr="00F853AF">
        <w:rPr>
          <w:rFonts w:ascii="Arial" w:eastAsiaTheme="majorEastAsia" w:hAnsi="Arial" w:cs="Arial"/>
          <w:sz w:val="24"/>
          <w:szCs w:val="24"/>
        </w:rPr>
        <w:t xml:space="preserve">, en esos casos podría causarse un perjuicio irreparable al cautelado, sin tener derecho a hacerlo. Otro motivo radica en que consideramos que para conculcar un derecho constitucionalmente reconocido -propiedad, libertad-, debe el juez analizar mínimamente si quien lo solicita tiene derecho a hacerlo. Y por último, de la contrastación empírica de las cautelares, es decir en la realidad jurídica, vimos que aunque la ley no lo exija, la jurisprudencia lo hace.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Por tanto, la verosimilitud en el derecho nos parece un requisito necesario a analizar en todas las peticiones cautelares, es más, consideramos que junto al peligro en la demora, constituyen el fundamento de la conculcación de los derechos de defensa y de propiedad o de libertad del cautelado.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Con eso en mente, entendemos que la única alternativa posible para tratar adecuadamente las peticiones cautelares es que el juez que lo haga sea uno </w:t>
      </w:r>
      <w:r w:rsidRPr="00F853AF">
        <w:rPr>
          <w:rFonts w:ascii="Arial" w:eastAsiaTheme="majorEastAsia" w:hAnsi="Arial" w:cs="Arial"/>
          <w:i/>
          <w:sz w:val="24"/>
          <w:szCs w:val="24"/>
        </w:rPr>
        <w:t>diferente</w:t>
      </w:r>
      <w:r w:rsidRPr="00F853AF">
        <w:rPr>
          <w:rFonts w:ascii="Arial" w:eastAsiaTheme="majorEastAsia" w:hAnsi="Arial" w:cs="Arial"/>
          <w:sz w:val="24"/>
          <w:szCs w:val="24"/>
        </w:rPr>
        <w:t xml:space="preserve"> del que entiende o entenderá en el proceso principal.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Esto puede instrumentarse a través de un fuero de lo cautelar o, como se solucionó a nivel penal el conflicto de funciones judiciales advertido por la Corte en Llerena, un juez cautela y otro de igual grado de conocimiento y competencia juzga. Trasladando por ejemplo esta situación a la ciudad de Rosario, suponiendo que nos encontremos ante una cuestión de competencia de un juez de distrito y que por sorteo la cautelar haya recaído en el Juzgado de Primera Instancia de Distrito de la Primera Nominación, finalizada la cautelar el principal se ingresará por Mesa de Entradas Única, solicitando el sorteo de un nuevo juzgado, excluyendo a la Primera Nominación. En caso que la petición cautelar se suscite durante la tramitación del proceso, se ingresará un incidente en un expediente independiente por mesa de entradas, excluyendo del sorteo al juzgado que esté entendiendo en el principal.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Esta solución parece útil para solucionar el problema de parcialidad de un modo rápido y económico, ya que no requiere la conformación de un nuevo fuero y garantiza que quien trata el proceso principal no tiene opiniones preconcebidas ni convencimiento alguno sobre la pretensión del </w:t>
      </w:r>
      <w:proofErr w:type="spellStart"/>
      <w:r w:rsidRPr="00F853AF">
        <w:rPr>
          <w:rFonts w:ascii="Arial" w:eastAsiaTheme="majorEastAsia" w:hAnsi="Arial" w:cs="Arial"/>
          <w:sz w:val="24"/>
          <w:szCs w:val="24"/>
        </w:rPr>
        <w:t>cautelante</w:t>
      </w:r>
      <w:proofErr w:type="spellEnd"/>
      <w:r w:rsidRPr="00F853AF">
        <w:rPr>
          <w:rFonts w:ascii="Arial" w:eastAsiaTheme="majorEastAsia" w:hAnsi="Arial" w:cs="Arial"/>
          <w:sz w:val="24"/>
          <w:szCs w:val="24"/>
        </w:rPr>
        <w:t xml:space="preserve">, permitiendo en consecuencia presumir su imparcialidad. </w:t>
      </w:r>
    </w:p>
    <w:p w:rsidR="004A2C31" w:rsidRDefault="004A2C31"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r w:rsidRPr="00F853AF">
        <w:rPr>
          <w:rFonts w:ascii="Arial" w:eastAsiaTheme="majorEastAsia" w:hAnsi="Arial" w:cs="Arial"/>
          <w:b/>
          <w:sz w:val="24"/>
          <w:szCs w:val="24"/>
        </w:rPr>
        <w:t xml:space="preserve">5. Conclusión final.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Mucho hemos dicho acerca de la necesidad de que los procesos sean llevados adelante por un juez imparcial. Esta necesidad, que surge de los principios mismos del proceso, ha sido captada por la normativa internacional y a su vez incorporada a nuestra Constitución y ratificada por la jurisprudencia. De modo que podemos decir que para hablar de debido proceso, tanto abstracto como concreto, necesitamos un juez imparcial, por ser éste el único modo de garantizar la igualdad jurídica de las partes.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lastRenderedPageBreak/>
        <w:t xml:space="preserve">Como consecuencia, para preservar ese derecho a un juez imparcial, cualquier circunstancia que genere temor de parcialidad debe habilitar a la parte a solicitar el apartamiento del juez de la causa.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Ahora, vimos que tanto doctrina como jurisprudencia en materia civil, entienden que el análisis somero de la verosimilitud en el derecho que requiere el dictado de una medida cautelar no alcanza para configurar este temor.  Pero la realidad es que, como demostramos, al analizar la verosimilitud en el derecho, el juez debe necesariamente analizar la plataforma fáctica en la que el </w:t>
      </w:r>
      <w:proofErr w:type="spellStart"/>
      <w:r w:rsidRPr="00F853AF">
        <w:rPr>
          <w:rFonts w:ascii="Arial" w:eastAsiaTheme="majorEastAsia" w:hAnsi="Arial" w:cs="Arial"/>
          <w:sz w:val="24"/>
          <w:szCs w:val="24"/>
        </w:rPr>
        <w:t>peticionante</w:t>
      </w:r>
      <w:proofErr w:type="spellEnd"/>
      <w:r w:rsidRPr="00F853AF">
        <w:rPr>
          <w:rFonts w:ascii="Arial" w:eastAsiaTheme="majorEastAsia" w:hAnsi="Arial" w:cs="Arial"/>
          <w:sz w:val="24"/>
          <w:szCs w:val="24"/>
        </w:rPr>
        <w:t xml:space="preserve"> de la cautela sustenta su solicitud. No sólo porque en la práctica resulta muy difícil, o quizás imposible, distinguir hechos de derechos, sino también porque para determinar la validez del derecho que esgrime el juez deberá vincularlo con el hecho que lo fundamenta. En consecuencia, el juez que hace lugar a una petición cautelar, porque considera acreditada la verosimilitud en el derecho, en realidad considera verosímiles los hechos que la justifican.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Este grado de convencimiento sobre los hechos y el derecho, aun consintiendo que pueda ser pequeño, alcanza para generar en el cautelado el temor de que el mismo juez, a la hora de resolver el proceso principal, no lo haga de manera imparcial.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Por todo esto consideramos que ha quedado demostrada nuestra proposición inicial: juez que cautela NO debe juzgar. </w:t>
      </w:r>
    </w:p>
    <w:p w:rsidR="00F853AF" w:rsidRPr="00F853AF" w:rsidRDefault="00F853AF" w:rsidP="00F853AF">
      <w:pPr>
        <w:spacing w:after="120" w:line="360" w:lineRule="auto"/>
        <w:jc w:val="both"/>
        <w:rPr>
          <w:rFonts w:ascii="Arial" w:eastAsiaTheme="majorEastAsia" w:hAnsi="Arial" w:cs="Arial"/>
          <w:sz w:val="24"/>
          <w:szCs w:val="24"/>
        </w:rPr>
      </w:pPr>
      <w:r w:rsidRPr="00F853AF">
        <w:rPr>
          <w:rFonts w:ascii="Arial" w:eastAsiaTheme="majorEastAsia" w:hAnsi="Arial" w:cs="Arial"/>
          <w:sz w:val="24"/>
          <w:szCs w:val="24"/>
        </w:rPr>
        <w:t xml:space="preserve">Como vimos, la CIDH ha extendido la totalidad de las garantías del proceso penal al proceso civil, esto coincide con nuestra visión del proceso como fenómeno único, independientemente de la materia que se trate. De modo que, más temprano que tarde, deberá la jurisprudencia civil adaptarse a los estándares de imparcialidad requeridos a nivel mundial y el juez que cautele deberá necesariamente ser diferente del que trate el trámite principal. </w:t>
      </w:r>
    </w:p>
    <w:p w:rsidR="00F853AF" w:rsidRPr="00F853AF" w:rsidRDefault="00F853AF"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both"/>
        <w:rPr>
          <w:rFonts w:ascii="Arial" w:eastAsiaTheme="majorEastAsia" w:hAnsi="Arial" w:cs="Arial"/>
          <w:b/>
          <w:sz w:val="24"/>
          <w:szCs w:val="24"/>
        </w:rPr>
      </w:pPr>
    </w:p>
    <w:p w:rsidR="00F853AF" w:rsidRPr="00F853AF" w:rsidRDefault="00F853AF" w:rsidP="00F853AF">
      <w:pPr>
        <w:spacing w:after="120" w:line="360" w:lineRule="auto"/>
        <w:jc w:val="center"/>
        <w:rPr>
          <w:rFonts w:ascii="Arial" w:eastAsiaTheme="majorEastAsia" w:hAnsi="Arial" w:cs="Arial"/>
          <w:b/>
          <w:sz w:val="24"/>
          <w:szCs w:val="24"/>
        </w:rPr>
      </w:pPr>
    </w:p>
    <w:p w:rsidR="00342FCB" w:rsidRDefault="00342FCB"/>
    <w:sectPr w:rsidR="00342F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AEC" w:rsidRDefault="00911AEC" w:rsidP="00342FCB">
      <w:pPr>
        <w:spacing w:after="0" w:line="240" w:lineRule="auto"/>
      </w:pPr>
      <w:r>
        <w:separator/>
      </w:r>
    </w:p>
  </w:endnote>
  <w:endnote w:type="continuationSeparator" w:id="0">
    <w:p w:rsidR="00911AEC" w:rsidRDefault="00911AEC" w:rsidP="00342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AEC" w:rsidRDefault="00911AEC" w:rsidP="00342FCB">
      <w:pPr>
        <w:spacing w:after="0" w:line="240" w:lineRule="auto"/>
      </w:pPr>
      <w:r>
        <w:separator/>
      </w:r>
    </w:p>
  </w:footnote>
  <w:footnote w:type="continuationSeparator" w:id="0">
    <w:p w:rsidR="00911AEC" w:rsidRDefault="00911AEC" w:rsidP="00342FCB">
      <w:pPr>
        <w:spacing w:after="0" w:line="240" w:lineRule="auto"/>
      </w:pPr>
      <w:r>
        <w:continuationSeparator/>
      </w:r>
    </w:p>
  </w:footnote>
  <w:footnote w:id="1">
    <w:p w:rsidR="00342FCB" w:rsidRPr="00342FCB" w:rsidRDefault="00342FCB">
      <w:pPr>
        <w:pStyle w:val="Textonotapie"/>
      </w:pPr>
      <w:r>
        <w:rPr>
          <w:rStyle w:val="Refdenotaalpie"/>
        </w:rPr>
        <w:footnoteRef/>
      </w:r>
      <w:r>
        <w:t xml:space="preserve"> Ponencia presentada en el </w:t>
      </w:r>
      <w:r w:rsidRPr="00342FCB">
        <w:t>XVII Congreso Nacional de Derecho Procesal Garantista 2022</w:t>
      </w:r>
      <w:r>
        <w:t>.</w:t>
      </w:r>
    </w:p>
  </w:footnote>
  <w:footnote w:id="2">
    <w:p w:rsidR="00342FCB" w:rsidRPr="00A84450" w:rsidRDefault="00342FCB" w:rsidP="00342FCB">
      <w:pPr>
        <w:pStyle w:val="Textonotapie"/>
        <w:jc w:val="both"/>
      </w:pPr>
      <w:r>
        <w:rPr>
          <w:rStyle w:val="Refdenotaalpie"/>
        </w:rPr>
        <w:footnoteRef/>
      </w:r>
      <w:r>
        <w:t xml:space="preserve"> Abogada, Profesora de Derecho, Magíster en Derecho Procesal, Doctorando en Derecho, Docente de grado y posgrado de Derecho Procesal en la U</w:t>
      </w:r>
      <w:r w:rsidR="00B61BD2">
        <w:t xml:space="preserve">niversidad Nacional de </w:t>
      </w:r>
      <w:r w:rsidR="00B61BD2">
        <w:t>Rosario.</w:t>
      </w:r>
      <w:bookmarkStart w:id="0" w:name="_GoBack"/>
      <w:bookmarkEnd w:id="0"/>
    </w:p>
  </w:footnote>
  <w:footnote w:id="3">
    <w:p w:rsidR="004A2C31" w:rsidRPr="00702E4D" w:rsidRDefault="004A2C31" w:rsidP="004A2C31">
      <w:pPr>
        <w:pStyle w:val="Textonotapie"/>
        <w:jc w:val="both"/>
        <w:rPr>
          <w:rFonts w:ascii="Arial" w:hAnsi="Arial" w:cs="Arial"/>
        </w:rPr>
      </w:pPr>
      <w:r>
        <w:rPr>
          <w:rStyle w:val="Refdenotaalpie"/>
        </w:rPr>
        <w:footnoteRef/>
      </w:r>
      <w:r>
        <w:t xml:space="preserve"> </w:t>
      </w:r>
      <w:r w:rsidRPr="00702E4D">
        <w:rPr>
          <w:rFonts w:ascii="Arial" w:hAnsi="Arial" w:cs="Arial"/>
        </w:rPr>
        <w:t xml:space="preserve">ORTEGA Y GASSET, José. </w:t>
      </w:r>
      <w:r>
        <w:rPr>
          <w:rFonts w:ascii="Arial" w:hAnsi="Arial" w:cs="Arial"/>
          <w:i/>
        </w:rPr>
        <w:t>Obras completas</w:t>
      </w:r>
      <w:r>
        <w:rPr>
          <w:rFonts w:ascii="Arial" w:hAnsi="Arial" w:cs="Arial"/>
        </w:rPr>
        <w:t xml:space="preserve">, Vol. I., </w:t>
      </w:r>
      <w:r w:rsidRPr="00702E4D">
        <w:rPr>
          <w:rFonts w:ascii="Arial" w:hAnsi="Arial" w:cs="Arial"/>
        </w:rPr>
        <w:t xml:space="preserve">Taurus/Fundación José Ortega y Gasset, Madrid, 2004, p. 757. </w:t>
      </w:r>
    </w:p>
  </w:footnote>
  <w:footnote w:id="4">
    <w:p w:rsidR="004A2C31" w:rsidRPr="00050F35" w:rsidRDefault="004A2C31" w:rsidP="004A2C31">
      <w:pPr>
        <w:pStyle w:val="Textonotapie"/>
        <w:jc w:val="both"/>
        <w:rPr>
          <w:rFonts w:ascii="Arial" w:hAnsi="Arial" w:cs="Arial"/>
        </w:rPr>
      </w:pPr>
      <w:r w:rsidRPr="00050F35">
        <w:rPr>
          <w:rStyle w:val="Refdenotaalpie"/>
          <w:rFonts w:ascii="Arial" w:hAnsi="Arial" w:cs="Arial"/>
        </w:rPr>
        <w:footnoteRef/>
      </w:r>
      <w:r w:rsidRPr="00050F35">
        <w:rPr>
          <w:rFonts w:ascii="Arial" w:hAnsi="Arial" w:cs="Arial"/>
        </w:rPr>
        <w:t xml:space="preserve"> </w:t>
      </w:r>
      <w:r>
        <w:rPr>
          <w:rFonts w:ascii="Arial" w:hAnsi="Arial" w:cs="Arial"/>
        </w:rPr>
        <w:t xml:space="preserve">AA.VV. GOZAINI, Osvaldo, </w:t>
      </w:r>
      <w:r>
        <w:rPr>
          <w:rFonts w:ascii="Arial" w:hAnsi="Arial" w:cs="Arial"/>
          <w:i/>
        </w:rPr>
        <w:t xml:space="preserve">Proceso y Constitución, </w:t>
      </w:r>
      <w:r>
        <w:rPr>
          <w:rFonts w:ascii="Arial" w:hAnsi="Arial" w:cs="Arial"/>
        </w:rPr>
        <w:t>1ª Ed, EDIAR, Buenos Aires, 2013, p.</w:t>
      </w:r>
      <w:r w:rsidRPr="00050F35">
        <w:rPr>
          <w:rFonts w:ascii="Arial" w:hAnsi="Arial" w:cs="Arial"/>
        </w:rPr>
        <w:t>130</w:t>
      </w:r>
    </w:p>
  </w:footnote>
  <w:footnote w:id="5">
    <w:p w:rsidR="004A2C31" w:rsidRPr="00050F35" w:rsidRDefault="004A2C31" w:rsidP="004A2C31">
      <w:pPr>
        <w:pStyle w:val="Textonotapie"/>
        <w:jc w:val="both"/>
        <w:rPr>
          <w:rFonts w:ascii="Arial" w:hAnsi="Arial" w:cs="Arial"/>
        </w:rPr>
      </w:pPr>
      <w:r w:rsidRPr="00050F35">
        <w:rPr>
          <w:rStyle w:val="Refdenotaalpie"/>
          <w:rFonts w:ascii="Arial" w:hAnsi="Arial" w:cs="Arial"/>
        </w:rPr>
        <w:footnoteRef/>
      </w:r>
      <w:r>
        <w:rPr>
          <w:rFonts w:ascii="Arial" w:hAnsi="Arial" w:cs="Arial"/>
        </w:rPr>
        <w:t xml:space="preserve"> </w:t>
      </w:r>
      <w:r w:rsidRPr="00050F35">
        <w:rPr>
          <w:rFonts w:ascii="Arial" w:hAnsi="Arial" w:cs="Arial"/>
        </w:rPr>
        <w:t xml:space="preserve">PINTO, Mónica, </w:t>
      </w:r>
      <w:r w:rsidRPr="00050F35">
        <w:rPr>
          <w:rFonts w:ascii="Arial" w:hAnsi="Arial" w:cs="Arial"/>
          <w:i/>
        </w:rPr>
        <w:t xml:space="preserve">El principio pro </w:t>
      </w:r>
      <w:proofErr w:type="spellStart"/>
      <w:r w:rsidRPr="00050F35">
        <w:rPr>
          <w:rFonts w:ascii="Arial" w:hAnsi="Arial" w:cs="Arial"/>
          <w:i/>
        </w:rPr>
        <w:t>homine</w:t>
      </w:r>
      <w:proofErr w:type="spellEnd"/>
      <w:r w:rsidRPr="00050F35">
        <w:rPr>
          <w:rFonts w:ascii="Arial" w:hAnsi="Arial" w:cs="Arial"/>
          <w:i/>
        </w:rPr>
        <w:t xml:space="preserve">. Criterios de hermenéutica y pautas para la regulación de los derechos humanos, </w:t>
      </w:r>
      <w:r w:rsidRPr="00050F35">
        <w:rPr>
          <w:rFonts w:ascii="Arial" w:hAnsi="Arial" w:cs="Arial"/>
        </w:rPr>
        <w:t xml:space="preserve"> www.derechoshumanos.unlp.edu.ar/, marzo 2018.</w:t>
      </w:r>
    </w:p>
  </w:footnote>
  <w:footnote w:id="6">
    <w:p w:rsidR="004A2C31" w:rsidRPr="00050F35" w:rsidRDefault="004A2C31" w:rsidP="004A2C31">
      <w:pPr>
        <w:pStyle w:val="Textonotapie"/>
        <w:jc w:val="both"/>
        <w:rPr>
          <w:rFonts w:ascii="Arial" w:hAnsi="Arial" w:cs="Arial"/>
        </w:rPr>
      </w:pPr>
      <w:r w:rsidRPr="00050F35">
        <w:rPr>
          <w:rStyle w:val="Refdenotaalpie"/>
          <w:rFonts w:ascii="Arial" w:hAnsi="Arial" w:cs="Arial"/>
        </w:rPr>
        <w:footnoteRef/>
      </w:r>
      <w:r w:rsidRPr="00050F35">
        <w:rPr>
          <w:rFonts w:ascii="Arial" w:hAnsi="Arial" w:cs="Arial"/>
        </w:rPr>
        <w:t xml:space="preserve"> MORELLO, A</w:t>
      </w:r>
      <w:r>
        <w:rPr>
          <w:rFonts w:ascii="Arial" w:hAnsi="Arial" w:cs="Arial"/>
        </w:rPr>
        <w:t>u</w:t>
      </w:r>
      <w:r w:rsidRPr="00050F35">
        <w:rPr>
          <w:rFonts w:ascii="Arial" w:hAnsi="Arial" w:cs="Arial"/>
        </w:rPr>
        <w:t xml:space="preserve">gusto, </w:t>
      </w:r>
      <w:r w:rsidRPr="00E50C7D">
        <w:rPr>
          <w:rFonts w:ascii="Arial" w:hAnsi="Arial" w:cs="Arial"/>
          <w:i/>
        </w:rPr>
        <w:t xml:space="preserve">Del debido proceso y la defensa en juicio, </w:t>
      </w:r>
      <w:r>
        <w:rPr>
          <w:rFonts w:ascii="Arial" w:hAnsi="Arial" w:cs="Arial"/>
          <w:i/>
        </w:rPr>
        <w:t>al proceso justo constitucional</w:t>
      </w:r>
      <w:r w:rsidRPr="00050F35">
        <w:rPr>
          <w:rFonts w:ascii="Arial" w:hAnsi="Arial" w:cs="Arial"/>
        </w:rPr>
        <w:t>, La Ley,</w:t>
      </w:r>
      <w:r>
        <w:rPr>
          <w:rFonts w:ascii="Arial" w:hAnsi="Arial" w:cs="Arial"/>
        </w:rPr>
        <w:t xml:space="preserve"> </w:t>
      </w:r>
      <w:r w:rsidRPr="00ED6D8F">
        <w:rPr>
          <w:rFonts w:ascii="Arial" w:hAnsi="Arial" w:cs="Arial"/>
        </w:rPr>
        <w:t>https</w:t>
      </w:r>
      <w:proofErr w:type="gramStart"/>
      <w:r w:rsidRPr="00ED6D8F">
        <w:rPr>
          <w:rFonts w:ascii="Arial" w:hAnsi="Arial" w:cs="Arial"/>
        </w:rPr>
        <w:t>:/</w:t>
      </w:r>
      <w:proofErr w:type="gramEnd"/>
      <w:r w:rsidRPr="00ED6D8F">
        <w:rPr>
          <w:rFonts w:ascii="Arial" w:hAnsi="Arial" w:cs="Arial"/>
        </w:rPr>
        <w:t>/www.thomsonreuters.com.ar</w:t>
      </w:r>
      <w:r>
        <w:rPr>
          <w:rFonts w:ascii="Arial" w:hAnsi="Arial" w:cs="Arial"/>
        </w:rPr>
        <w:t>, 2003</w:t>
      </w:r>
      <w:r w:rsidRPr="00050F35">
        <w:rPr>
          <w:rFonts w:ascii="Arial" w:hAnsi="Arial" w:cs="Arial"/>
        </w:rPr>
        <w:t>.</w:t>
      </w:r>
    </w:p>
  </w:footnote>
  <w:footnote w:id="7">
    <w:p w:rsidR="004A2C31" w:rsidRDefault="004A2C31" w:rsidP="004A2C31">
      <w:pPr>
        <w:pStyle w:val="Textonotapie"/>
      </w:pPr>
      <w:r>
        <w:rPr>
          <w:rStyle w:val="Refdenotaalpie"/>
        </w:rPr>
        <w:footnoteRef/>
      </w:r>
      <w:r>
        <w:t xml:space="preserve"> </w:t>
      </w:r>
      <w:r>
        <w:rPr>
          <w:rFonts w:ascii="Arial" w:hAnsi="Arial" w:cs="Arial"/>
        </w:rPr>
        <w:t xml:space="preserve">AA.VV. GOZAINI, Osvaldo, </w:t>
      </w:r>
      <w:proofErr w:type="spellStart"/>
      <w:r>
        <w:rPr>
          <w:rFonts w:ascii="Arial" w:hAnsi="Arial" w:cs="Arial"/>
        </w:rPr>
        <w:t>op</w:t>
      </w:r>
      <w:proofErr w:type="spellEnd"/>
      <w:r>
        <w:rPr>
          <w:rFonts w:ascii="Arial" w:hAnsi="Arial" w:cs="Arial"/>
        </w:rPr>
        <w:t xml:space="preserve">. cit., </w:t>
      </w:r>
      <w:proofErr w:type="spellStart"/>
      <w:r>
        <w:rPr>
          <w:rFonts w:ascii="Arial" w:hAnsi="Arial" w:cs="Arial"/>
        </w:rPr>
        <w:t>p.p</w:t>
      </w:r>
      <w:proofErr w:type="spellEnd"/>
      <w:r>
        <w:rPr>
          <w:rFonts w:ascii="Arial" w:hAnsi="Arial" w:cs="Arial"/>
        </w:rPr>
        <w:t xml:space="preserve"> 129-130.</w:t>
      </w:r>
    </w:p>
  </w:footnote>
  <w:footnote w:id="8">
    <w:p w:rsidR="00F853AF" w:rsidRPr="004023B0" w:rsidRDefault="00F853AF" w:rsidP="00F853AF">
      <w:pPr>
        <w:pStyle w:val="Textonotapie"/>
        <w:jc w:val="both"/>
        <w:rPr>
          <w:rFonts w:ascii="Arial" w:hAnsi="Arial" w:cs="Arial"/>
        </w:rPr>
      </w:pPr>
      <w:r w:rsidRPr="004023B0">
        <w:rPr>
          <w:rStyle w:val="Refdenotaalpie"/>
          <w:rFonts w:ascii="Arial" w:hAnsi="Arial" w:cs="Arial"/>
        </w:rPr>
        <w:footnoteRef/>
      </w:r>
      <w:r>
        <w:rPr>
          <w:rFonts w:ascii="Arial" w:hAnsi="Arial" w:cs="Arial"/>
        </w:rPr>
        <w:t xml:space="preserve"> C</w:t>
      </w:r>
      <w:r w:rsidRPr="004023B0">
        <w:rPr>
          <w:rFonts w:ascii="Arial" w:hAnsi="Arial" w:cs="Arial"/>
        </w:rPr>
        <w:t>IDH, “Herrera Ulloa Vs. Costa Rica”, 2 de julio de 2004, párr. 170. La CSJN ha seguido este criterio transcribiendo el aforismo en Fallos 329:3034. No obstante el adagio fue acuñado orig</w:t>
      </w:r>
      <w:r w:rsidRPr="004023B0">
        <w:rPr>
          <w:rFonts w:ascii="Arial" w:hAnsi="Arial" w:cs="Arial"/>
        </w:rPr>
        <w:t>i</w:t>
      </w:r>
      <w:r w:rsidRPr="004023B0">
        <w:rPr>
          <w:rFonts w:ascii="Arial" w:hAnsi="Arial" w:cs="Arial"/>
        </w:rPr>
        <w:t xml:space="preserve">nariamente en Inglaterra en 1924 en el caso “R. Vs. Sussex”. Un motorista llamado Mc </w:t>
      </w:r>
      <w:proofErr w:type="spellStart"/>
      <w:r w:rsidRPr="004023B0">
        <w:rPr>
          <w:rFonts w:ascii="Arial" w:hAnsi="Arial" w:cs="Arial"/>
        </w:rPr>
        <w:t>Carthy</w:t>
      </w:r>
      <w:proofErr w:type="spellEnd"/>
      <w:r w:rsidRPr="004023B0">
        <w:rPr>
          <w:rFonts w:ascii="Arial" w:hAnsi="Arial" w:cs="Arial"/>
        </w:rPr>
        <w:t xml:space="preserve"> fue procesado por un accidente. El secretario del tribunal resultó ser miembro del bufete de abogados que había demandado al acusado. Los jueces condenaron a Mc </w:t>
      </w:r>
      <w:proofErr w:type="spellStart"/>
      <w:r w:rsidRPr="004023B0">
        <w:rPr>
          <w:rFonts w:ascii="Arial" w:hAnsi="Arial" w:cs="Arial"/>
        </w:rPr>
        <w:t>Carthy</w:t>
      </w:r>
      <w:proofErr w:type="spellEnd"/>
      <w:r w:rsidRPr="004023B0">
        <w:rPr>
          <w:rFonts w:ascii="Arial" w:hAnsi="Arial" w:cs="Arial"/>
        </w:rPr>
        <w:t xml:space="preserve"> quien, al entera</w:t>
      </w:r>
      <w:r w:rsidRPr="004023B0">
        <w:rPr>
          <w:rFonts w:ascii="Arial" w:hAnsi="Arial" w:cs="Arial"/>
        </w:rPr>
        <w:t>r</w:t>
      </w:r>
      <w:r w:rsidRPr="004023B0">
        <w:rPr>
          <w:rFonts w:ascii="Arial" w:hAnsi="Arial" w:cs="Arial"/>
        </w:rPr>
        <w:t xml:space="preserve">se de las vinculaciones del secretario, pidió que se anulara el fallo. Los magistrados debieron jurar que habían adoptado su decisión sin haber consultado ni haber sido influenciados por el secretario. A raíz de ese caso quedó claro que las decisiones de los tribunales, como la mujer del César, no solo deben ser justas, sino también parecerlas (El País, 1º de junio de 2011, La buena "apariencia" de la justicia). Citado por FERRER ARROYO, Francisco Javier, </w:t>
      </w:r>
      <w:proofErr w:type="spellStart"/>
      <w:r w:rsidRPr="004023B0">
        <w:rPr>
          <w:rFonts w:ascii="Arial" w:hAnsi="Arial" w:cs="Arial"/>
        </w:rPr>
        <w:t>op</w:t>
      </w:r>
      <w:proofErr w:type="spellEnd"/>
      <w:r w:rsidRPr="004023B0">
        <w:rPr>
          <w:rFonts w:ascii="Arial" w:hAnsi="Arial" w:cs="Arial"/>
        </w:rPr>
        <w:t>. cit. p. 170</w:t>
      </w:r>
      <w:r>
        <w:rPr>
          <w:rFonts w:ascii="Arial" w:hAnsi="Arial" w:cs="Arial"/>
        </w:rPr>
        <w:t>.</w:t>
      </w:r>
    </w:p>
  </w:footnote>
  <w:footnote w:id="9">
    <w:p w:rsidR="00F853AF" w:rsidRPr="004023B0" w:rsidRDefault="00F853AF" w:rsidP="00F853AF">
      <w:pPr>
        <w:pStyle w:val="Textonotapie"/>
        <w:jc w:val="both"/>
        <w:rPr>
          <w:rFonts w:ascii="Arial" w:hAnsi="Arial" w:cs="Arial"/>
        </w:rPr>
      </w:pPr>
      <w:r w:rsidRPr="004023B0">
        <w:rPr>
          <w:rStyle w:val="Refdenotaalpie"/>
          <w:rFonts w:ascii="Arial" w:hAnsi="Arial" w:cs="Arial"/>
        </w:rPr>
        <w:footnoteRef/>
      </w:r>
      <w:r w:rsidRPr="004023B0">
        <w:rPr>
          <w:rFonts w:ascii="Arial" w:hAnsi="Arial" w:cs="Arial"/>
        </w:rPr>
        <w:t>Salvo que expresamente así la ley lo disponga, a base de presunciones y con una lógica i</w:t>
      </w:r>
      <w:r w:rsidRPr="004023B0">
        <w:rPr>
          <w:rFonts w:ascii="Arial" w:hAnsi="Arial" w:cs="Arial"/>
        </w:rPr>
        <w:t>m</w:t>
      </w:r>
      <w:r w:rsidRPr="004023B0">
        <w:rPr>
          <w:rFonts w:ascii="Arial" w:hAnsi="Arial" w:cs="Arial"/>
        </w:rPr>
        <w:t xml:space="preserve">posición de responsabilidad en caso de que genere un daño. Incluso esta situación parece ser complicada, sobre todo ante una excepción de la obligación de </w:t>
      </w:r>
      <w:proofErr w:type="spellStart"/>
      <w:r w:rsidRPr="004023B0">
        <w:rPr>
          <w:rFonts w:ascii="Arial" w:hAnsi="Arial" w:cs="Arial"/>
        </w:rPr>
        <w:t>contracautela</w:t>
      </w:r>
      <w:proofErr w:type="spellEnd"/>
      <w:r w:rsidRPr="004023B0">
        <w:rPr>
          <w:rFonts w:ascii="Arial" w:hAnsi="Arial" w:cs="Arial"/>
        </w:rPr>
        <w:t xml:space="preserve">, como puede ser cuando alguien litiga bajo declaración jurada de pobreza o con beneficio de litigar sin gastos. En estos casos, si tenemos una ley que permita aplicar directamente una cautelar, sin analizar la verosimilitud en el derecho y sin lograr la efectiva protección de los derechos del cautelado ante un eventual daño, por encontrarse el </w:t>
      </w:r>
      <w:proofErr w:type="spellStart"/>
      <w:r w:rsidRPr="004023B0">
        <w:rPr>
          <w:rFonts w:ascii="Arial" w:hAnsi="Arial" w:cs="Arial"/>
        </w:rPr>
        <w:t>cautelante</w:t>
      </w:r>
      <w:proofErr w:type="spellEnd"/>
      <w:r w:rsidRPr="004023B0">
        <w:rPr>
          <w:rFonts w:ascii="Arial" w:hAnsi="Arial" w:cs="Arial"/>
        </w:rPr>
        <w:t xml:space="preserve"> alcanzado por las excepciones de la </w:t>
      </w:r>
      <w:proofErr w:type="spellStart"/>
      <w:r w:rsidRPr="004023B0">
        <w:rPr>
          <w:rFonts w:ascii="Arial" w:hAnsi="Arial" w:cs="Arial"/>
        </w:rPr>
        <w:t>contraca</w:t>
      </w:r>
      <w:r w:rsidRPr="004023B0">
        <w:rPr>
          <w:rFonts w:ascii="Arial" w:hAnsi="Arial" w:cs="Arial"/>
        </w:rPr>
        <w:t>u</w:t>
      </w:r>
      <w:r w:rsidRPr="004023B0">
        <w:rPr>
          <w:rFonts w:ascii="Arial" w:hAnsi="Arial" w:cs="Arial"/>
        </w:rPr>
        <w:t>tela</w:t>
      </w:r>
      <w:proofErr w:type="spellEnd"/>
      <w:r w:rsidRPr="004023B0">
        <w:rPr>
          <w:rFonts w:ascii="Arial" w:hAnsi="Arial" w:cs="Arial"/>
        </w:rPr>
        <w:t>, damos lugar a la posibilidad de generar un perjuicio irreparable. Parece más adecuado mantener el requisito de verosimilitud en el de</w:t>
      </w:r>
      <w:r>
        <w:rPr>
          <w:rFonts w:ascii="Arial" w:hAnsi="Arial" w:cs="Arial"/>
        </w:rPr>
        <w:t>recho para justificar todas las peticiones cautel</w:t>
      </w:r>
      <w:r>
        <w:rPr>
          <w:rFonts w:ascii="Arial" w:hAnsi="Arial" w:cs="Arial"/>
        </w:rPr>
        <w:t>a</w:t>
      </w:r>
      <w:r>
        <w:rPr>
          <w:rFonts w:ascii="Arial" w:hAnsi="Arial" w:cs="Arial"/>
        </w:rPr>
        <w:t>res</w:t>
      </w:r>
      <w:r w:rsidRPr="004023B0">
        <w:rPr>
          <w:rFonts w:ascii="Arial" w:hAnsi="Arial" w:cs="Arial"/>
        </w:rPr>
        <w:t xml:space="preserve">.  </w:t>
      </w:r>
    </w:p>
  </w:footnote>
  <w:footnote w:id="10">
    <w:p w:rsidR="00F853AF" w:rsidRPr="006D57E7" w:rsidRDefault="00F853AF" w:rsidP="00F853AF">
      <w:pPr>
        <w:pStyle w:val="Textonotapie"/>
        <w:jc w:val="both"/>
        <w:rPr>
          <w:rFonts w:ascii="Arial" w:hAnsi="Arial" w:cs="Arial"/>
        </w:rPr>
      </w:pPr>
      <w:r w:rsidRPr="006D57E7">
        <w:rPr>
          <w:rStyle w:val="Refdenotaalpie"/>
          <w:rFonts w:ascii="Arial" w:hAnsi="Arial" w:cs="Arial"/>
        </w:rPr>
        <w:footnoteRef/>
      </w:r>
      <w:r w:rsidRPr="006D57E7">
        <w:rPr>
          <w:rFonts w:ascii="Arial" w:hAnsi="Arial" w:cs="Arial"/>
        </w:rPr>
        <w:t xml:space="preserve"> Tan objetivo como el análisis de un juez </w:t>
      </w:r>
      <w:r>
        <w:rPr>
          <w:rFonts w:ascii="Arial" w:hAnsi="Arial" w:cs="Arial"/>
        </w:rPr>
        <w:t>pueda ser, ya hablamos a este respecto de la imp</w:t>
      </w:r>
      <w:r>
        <w:rPr>
          <w:rFonts w:ascii="Arial" w:hAnsi="Arial" w:cs="Arial"/>
        </w:rPr>
        <w:t>o</w:t>
      </w:r>
      <w:r>
        <w:rPr>
          <w:rFonts w:ascii="Arial" w:hAnsi="Arial" w:cs="Arial"/>
        </w:rPr>
        <w:t xml:space="preserve">sibilidad de absolutos y de la contextualización social del juez. </w:t>
      </w:r>
    </w:p>
  </w:footnote>
  <w:footnote w:id="11">
    <w:p w:rsidR="00F853AF" w:rsidRPr="002A1D5D" w:rsidRDefault="00F853AF" w:rsidP="00F853AF">
      <w:pPr>
        <w:pStyle w:val="Textonotapie"/>
        <w:jc w:val="both"/>
        <w:rPr>
          <w:rFonts w:ascii="Arial" w:hAnsi="Arial" w:cs="Arial"/>
        </w:rPr>
      </w:pPr>
      <w:r w:rsidRPr="002A1D5D">
        <w:rPr>
          <w:rStyle w:val="Refdenotaalpie"/>
          <w:rFonts w:ascii="Arial" w:hAnsi="Arial" w:cs="Arial"/>
        </w:rPr>
        <w:footnoteRef/>
      </w:r>
      <w:r w:rsidRPr="002A1D5D">
        <w:rPr>
          <w:rFonts w:ascii="Arial" w:hAnsi="Arial" w:cs="Arial"/>
        </w:rPr>
        <w:t xml:space="preserve"> Corte </w:t>
      </w:r>
      <w:r>
        <w:rPr>
          <w:rFonts w:ascii="Arial" w:hAnsi="Arial" w:cs="Arial"/>
        </w:rPr>
        <w:t>Suprema de Justicia de la Nación</w:t>
      </w:r>
      <w:r w:rsidRPr="002A1D5D">
        <w:rPr>
          <w:rFonts w:ascii="Arial" w:hAnsi="Arial" w:cs="Arial"/>
        </w:rPr>
        <w:t xml:space="preserve">, </w:t>
      </w:r>
      <w:r>
        <w:rPr>
          <w:rFonts w:ascii="Arial" w:hAnsi="Arial" w:cs="Arial"/>
        </w:rPr>
        <w:t>“</w:t>
      </w:r>
      <w:proofErr w:type="spellStart"/>
      <w:r w:rsidRPr="002A1D5D">
        <w:rPr>
          <w:rFonts w:ascii="Arial" w:hAnsi="Arial" w:cs="Arial"/>
        </w:rPr>
        <w:t>Dieser</w:t>
      </w:r>
      <w:proofErr w:type="spellEnd"/>
      <w:r w:rsidRPr="002A1D5D">
        <w:rPr>
          <w:rFonts w:ascii="Arial" w:hAnsi="Arial" w:cs="Arial"/>
        </w:rPr>
        <w:t xml:space="preserve">, María Graciela y </w:t>
      </w:r>
      <w:proofErr w:type="spellStart"/>
      <w:r w:rsidRPr="002A1D5D">
        <w:rPr>
          <w:rFonts w:ascii="Arial" w:hAnsi="Arial" w:cs="Arial"/>
        </w:rPr>
        <w:t>Fraticelli</w:t>
      </w:r>
      <w:proofErr w:type="spellEnd"/>
      <w:r w:rsidRPr="002A1D5D">
        <w:rPr>
          <w:rFonts w:ascii="Arial" w:hAnsi="Arial" w:cs="Arial"/>
        </w:rPr>
        <w:t>, Carlos</w:t>
      </w:r>
    </w:p>
    <w:p w:rsidR="00F853AF" w:rsidRPr="004023B0" w:rsidRDefault="00F853AF" w:rsidP="00F853AF">
      <w:pPr>
        <w:pStyle w:val="Textonotapie"/>
        <w:jc w:val="both"/>
        <w:rPr>
          <w:rFonts w:ascii="Arial" w:hAnsi="Arial" w:cs="Arial"/>
        </w:rPr>
      </w:pPr>
      <w:r w:rsidRPr="002A1D5D">
        <w:rPr>
          <w:rFonts w:ascii="Arial" w:hAnsi="Arial" w:cs="Arial"/>
        </w:rPr>
        <w:t>Andrés s/ homicidio calificado por el</w:t>
      </w:r>
      <w:r>
        <w:rPr>
          <w:rFonts w:ascii="Arial" w:hAnsi="Arial" w:cs="Arial"/>
        </w:rPr>
        <w:t xml:space="preserve"> </w:t>
      </w:r>
      <w:r w:rsidRPr="002A1D5D">
        <w:rPr>
          <w:rFonts w:ascii="Arial" w:hAnsi="Arial" w:cs="Arial"/>
        </w:rPr>
        <w:t>vínculo y por alevosía RECURSO DE HECHO</w:t>
      </w:r>
      <w:r>
        <w:rPr>
          <w:rFonts w:ascii="Arial" w:hAnsi="Arial" w:cs="Arial"/>
        </w:rPr>
        <w:t xml:space="preserve">” Causa N°120/02C, </w:t>
      </w:r>
      <w:r w:rsidRPr="002A1D5D">
        <w:rPr>
          <w:rFonts w:ascii="Arial" w:hAnsi="Arial" w:cs="Arial"/>
        </w:rPr>
        <w:t>Buenos Aires, 8 de agosto de 2006, D. 81. XLI.</w:t>
      </w:r>
    </w:p>
  </w:footnote>
  <w:footnote w:id="12">
    <w:p w:rsidR="00F853AF" w:rsidRPr="008731D4" w:rsidRDefault="00F853AF" w:rsidP="00F853AF">
      <w:pPr>
        <w:pStyle w:val="Textonotapie"/>
        <w:jc w:val="both"/>
        <w:rPr>
          <w:rFonts w:ascii="Arial" w:hAnsi="Arial" w:cs="Arial"/>
        </w:rPr>
      </w:pPr>
      <w:r w:rsidRPr="008731D4">
        <w:rPr>
          <w:rStyle w:val="Refdenotaalpie"/>
          <w:rFonts w:ascii="Arial" w:hAnsi="Arial" w:cs="Arial"/>
        </w:rPr>
        <w:footnoteRef/>
      </w:r>
      <w:r w:rsidRPr="008731D4">
        <w:rPr>
          <w:rFonts w:ascii="Arial" w:hAnsi="Arial" w:cs="Arial"/>
        </w:rPr>
        <w:t>Corte Suprema de Justicia de la Nación, “Llerena, Horacio Luis s/ abuso de armas y lesiones - arts. 104 y 89 de Código Penal -causa N° 3221-“, 17 de Mayo de 2005, Id SAIJ: FA05000320</w:t>
      </w:r>
    </w:p>
  </w:footnote>
  <w:footnote w:id="13">
    <w:p w:rsidR="00F853AF" w:rsidRPr="008731D4" w:rsidRDefault="00F853AF" w:rsidP="00F853AF">
      <w:pPr>
        <w:pStyle w:val="Textonotapie"/>
        <w:jc w:val="both"/>
        <w:rPr>
          <w:rFonts w:ascii="Arial" w:hAnsi="Arial" w:cs="Arial"/>
        </w:rPr>
      </w:pPr>
      <w:r w:rsidRPr="008731D4">
        <w:rPr>
          <w:rStyle w:val="Refdenotaalpie"/>
          <w:rFonts w:ascii="Arial" w:hAnsi="Arial" w:cs="Arial"/>
        </w:rPr>
        <w:footnoteRef/>
      </w:r>
      <w:r w:rsidRPr="008731D4">
        <w:rPr>
          <w:rFonts w:ascii="Arial" w:hAnsi="Arial" w:cs="Arial"/>
        </w:rPr>
        <w:t xml:space="preserve"> Corte Suprema de Justicia de la Nación, </w:t>
      </w:r>
      <w:r>
        <w:rPr>
          <w:rFonts w:ascii="Arial" w:hAnsi="Arial" w:cs="Arial"/>
        </w:rPr>
        <w:t>“</w:t>
      </w:r>
      <w:r w:rsidRPr="008731D4">
        <w:rPr>
          <w:rFonts w:ascii="Arial" w:hAnsi="Arial" w:cs="Arial"/>
        </w:rPr>
        <w:t xml:space="preserve">Casal, Matías Eugenio y </w:t>
      </w:r>
      <w:proofErr w:type="spellStart"/>
      <w:r w:rsidRPr="008731D4">
        <w:rPr>
          <w:rFonts w:ascii="Arial" w:hAnsi="Arial" w:cs="Arial"/>
        </w:rPr>
        <w:t>otro s</w:t>
      </w:r>
      <w:proofErr w:type="spellEnd"/>
      <w:r w:rsidRPr="008731D4">
        <w:rPr>
          <w:rFonts w:ascii="Arial" w:hAnsi="Arial" w:cs="Arial"/>
        </w:rPr>
        <w:t>/ robo simple en gr</w:t>
      </w:r>
      <w:r w:rsidRPr="008731D4">
        <w:rPr>
          <w:rFonts w:ascii="Arial" w:hAnsi="Arial" w:cs="Arial"/>
        </w:rPr>
        <w:t>a</w:t>
      </w:r>
      <w:r w:rsidRPr="008731D4">
        <w:rPr>
          <w:rFonts w:ascii="Arial" w:hAnsi="Arial" w:cs="Arial"/>
        </w:rPr>
        <w:t>do de tentativa, Recurso de hecho, Causa N° 1681C</w:t>
      </w:r>
      <w:r>
        <w:rPr>
          <w:rFonts w:ascii="Arial" w:hAnsi="Arial" w:cs="Arial"/>
        </w:rPr>
        <w:t>”</w:t>
      </w:r>
      <w:r w:rsidRPr="008731D4">
        <w:rPr>
          <w:rFonts w:ascii="Arial" w:hAnsi="Arial" w:cs="Arial"/>
        </w:rPr>
        <w:t xml:space="preserve">, fallo C. 1757. XL. </w:t>
      </w:r>
    </w:p>
  </w:footnote>
  <w:footnote w:id="14">
    <w:p w:rsidR="00F853AF" w:rsidRPr="00344750" w:rsidRDefault="00F853AF" w:rsidP="00F853AF">
      <w:pPr>
        <w:pStyle w:val="Textonotapie"/>
        <w:jc w:val="both"/>
        <w:rPr>
          <w:rFonts w:ascii="Arial" w:hAnsi="Arial" w:cs="Arial"/>
        </w:rPr>
      </w:pPr>
      <w:r w:rsidRPr="00344750">
        <w:rPr>
          <w:rStyle w:val="Refdenotaalpie"/>
          <w:rFonts w:ascii="Arial" w:hAnsi="Arial" w:cs="Arial"/>
        </w:rPr>
        <w:footnoteRef/>
      </w:r>
      <w:r w:rsidRPr="00344750">
        <w:rPr>
          <w:rFonts w:ascii="Arial" w:hAnsi="Arial" w:cs="Arial"/>
        </w:rPr>
        <w:t xml:space="preserve"> CALAMANDREI, Piero, </w:t>
      </w:r>
      <w:r w:rsidRPr="00344750">
        <w:rPr>
          <w:rFonts w:ascii="Arial" w:hAnsi="Arial" w:cs="Arial"/>
          <w:i/>
        </w:rPr>
        <w:t>La Casación Civil</w:t>
      </w:r>
      <w:r w:rsidRPr="00344750">
        <w:rPr>
          <w:rFonts w:ascii="Arial" w:hAnsi="Arial" w:cs="Arial"/>
        </w:rPr>
        <w:t>,</w:t>
      </w:r>
      <w:r>
        <w:rPr>
          <w:rFonts w:ascii="Arial" w:hAnsi="Arial" w:cs="Arial"/>
        </w:rPr>
        <w:t xml:space="preserve"> </w:t>
      </w:r>
      <w:r w:rsidRPr="00344750">
        <w:rPr>
          <w:rFonts w:ascii="Arial" w:hAnsi="Arial" w:cs="Arial"/>
        </w:rPr>
        <w:t xml:space="preserve">trad. de Santiago Sentís </w:t>
      </w:r>
      <w:proofErr w:type="spellStart"/>
      <w:r w:rsidRPr="00344750">
        <w:rPr>
          <w:rFonts w:ascii="Arial" w:hAnsi="Arial" w:cs="Arial"/>
        </w:rPr>
        <w:t>Melendo</w:t>
      </w:r>
      <w:proofErr w:type="spellEnd"/>
      <w:r w:rsidRPr="00344750">
        <w:rPr>
          <w:rFonts w:ascii="Arial" w:hAnsi="Arial" w:cs="Arial"/>
        </w:rPr>
        <w:t>, Bibliográ</w:t>
      </w:r>
      <w:r>
        <w:rPr>
          <w:rFonts w:ascii="Arial" w:hAnsi="Arial" w:cs="Arial"/>
        </w:rPr>
        <w:t>fica Argentina, Buenos Aires, 1945, TII, p</w:t>
      </w:r>
      <w:r w:rsidRPr="00344750">
        <w:rPr>
          <w:rFonts w:ascii="Arial" w:hAnsi="Arial" w:cs="Arial"/>
        </w:rPr>
        <w:t>. 294.</w:t>
      </w:r>
    </w:p>
  </w:footnote>
  <w:footnote w:id="15">
    <w:p w:rsidR="00F853AF" w:rsidRPr="00554B58" w:rsidRDefault="00F853AF" w:rsidP="00F853AF">
      <w:pPr>
        <w:pStyle w:val="Textonotapie"/>
        <w:jc w:val="both"/>
        <w:rPr>
          <w:rFonts w:ascii="Arial" w:hAnsi="Arial" w:cs="Arial"/>
        </w:rPr>
      </w:pPr>
      <w:r w:rsidRPr="00554B58">
        <w:rPr>
          <w:rStyle w:val="Refdenotaalpie"/>
          <w:rFonts w:ascii="Arial" w:hAnsi="Arial" w:cs="Arial"/>
        </w:rPr>
        <w:footnoteRef/>
      </w:r>
      <w:r w:rsidRPr="00554B58">
        <w:rPr>
          <w:rFonts w:ascii="Arial" w:hAnsi="Arial" w:cs="Arial"/>
        </w:rPr>
        <w:t xml:space="preserve"> Corte Suprema de Justicia de la Nación, “Casal, Matías Eugenio y </w:t>
      </w:r>
      <w:proofErr w:type="spellStart"/>
      <w:r w:rsidRPr="00554B58">
        <w:rPr>
          <w:rFonts w:ascii="Arial" w:hAnsi="Arial" w:cs="Arial"/>
        </w:rPr>
        <w:t>otro s</w:t>
      </w:r>
      <w:proofErr w:type="spellEnd"/>
      <w:r w:rsidRPr="00554B58">
        <w:rPr>
          <w:rFonts w:ascii="Arial" w:hAnsi="Arial" w:cs="Arial"/>
        </w:rPr>
        <w:t>/ robo simple en gr</w:t>
      </w:r>
      <w:r w:rsidRPr="00554B58">
        <w:rPr>
          <w:rFonts w:ascii="Arial" w:hAnsi="Arial" w:cs="Arial"/>
        </w:rPr>
        <w:t>a</w:t>
      </w:r>
      <w:r w:rsidRPr="00554B58">
        <w:rPr>
          <w:rFonts w:ascii="Arial" w:hAnsi="Arial" w:cs="Arial"/>
        </w:rPr>
        <w:t>do de tentativa, Recurso de hecho, Causa N° 1681C”, fallo C. 1757. XL.</w:t>
      </w:r>
    </w:p>
  </w:footnote>
  <w:footnote w:id="16">
    <w:p w:rsidR="00F853AF" w:rsidRPr="00AE0A68" w:rsidRDefault="00F853AF" w:rsidP="00F853AF">
      <w:pPr>
        <w:pStyle w:val="Textonotapie"/>
        <w:rPr>
          <w:rFonts w:ascii="Arial" w:hAnsi="Arial" w:cs="Arial"/>
        </w:rPr>
      </w:pPr>
      <w:r w:rsidRPr="00AE0A68">
        <w:rPr>
          <w:rStyle w:val="Refdenotaalpie"/>
          <w:rFonts w:ascii="Arial" w:hAnsi="Arial" w:cs="Arial"/>
        </w:rPr>
        <w:footnoteRef/>
      </w:r>
      <w:r w:rsidRPr="00AE0A68">
        <w:rPr>
          <w:rFonts w:ascii="Arial" w:hAnsi="Arial" w:cs="Arial"/>
        </w:rPr>
        <w:t xml:space="preserve"> FERRAJOLI, Luigi, </w:t>
      </w:r>
      <w:r w:rsidRPr="007C71E4">
        <w:rPr>
          <w:rFonts w:ascii="Arial" w:hAnsi="Arial" w:cs="Arial"/>
          <w:i/>
        </w:rPr>
        <w:t>Derecho y razón</w:t>
      </w:r>
      <w:r w:rsidRPr="00AE0A68">
        <w:rPr>
          <w:rFonts w:ascii="Arial" w:hAnsi="Arial" w:cs="Arial"/>
        </w:rPr>
        <w:t xml:space="preserve">, trad. Ibáñez, Perfecto </w:t>
      </w:r>
      <w:proofErr w:type="spellStart"/>
      <w:r w:rsidRPr="00AE0A68">
        <w:rPr>
          <w:rFonts w:ascii="Arial" w:hAnsi="Arial" w:cs="Arial"/>
        </w:rPr>
        <w:t>Andrés</w:t>
      </w:r>
      <w:proofErr w:type="gramStart"/>
      <w:r w:rsidRPr="00AE0A68">
        <w:rPr>
          <w:rFonts w:ascii="Arial" w:hAnsi="Arial" w:cs="Arial"/>
        </w:rPr>
        <w:t>,Trotta</w:t>
      </w:r>
      <w:proofErr w:type="spellEnd"/>
      <w:proofErr w:type="gramEnd"/>
      <w:r w:rsidRPr="00AE0A68">
        <w:rPr>
          <w:rFonts w:ascii="Arial" w:hAnsi="Arial" w:cs="Arial"/>
        </w:rPr>
        <w:t>, Madrid, 1995, pág. 581</w:t>
      </w:r>
      <w:r>
        <w:rPr>
          <w:rFonts w:ascii="Arial" w:hAnsi="Arial" w:cs="Arial"/>
        </w:rPr>
        <w:t>.</w:t>
      </w:r>
    </w:p>
  </w:footnote>
  <w:footnote w:id="17">
    <w:p w:rsidR="00F853AF" w:rsidRPr="00CE5DB9" w:rsidRDefault="00F853AF" w:rsidP="00F853AF">
      <w:pPr>
        <w:autoSpaceDE w:val="0"/>
        <w:autoSpaceDN w:val="0"/>
        <w:adjustRightInd w:val="0"/>
        <w:spacing w:after="0" w:line="240" w:lineRule="auto"/>
        <w:ind w:right="112"/>
        <w:jc w:val="both"/>
        <w:rPr>
          <w:rFonts w:ascii="Arial" w:hAnsi="Arial" w:cs="Arial"/>
        </w:rPr>
      </w:pPr>
      <w:r w:rsidRPr="00E805DF">
        <w:rPr>
          <w:rStyle w:val="Refdenotaalpie"/>
          <w:rFonts w:ascii="Arial" w:hAnsi="Arial" w:cs="Arial"/>
          <w:sz w:val="20"/>
        </w:rPr>
        <w:footnoteRef/>
      </w:r>
      <w:r w:rsidRPr="00E805DF">
        <w:rPr>
          <w:rFonts w:ascii="Arial" w:hAnsi="Arial" w:cs="Arial"/>
          <w:sz w:val="20"/>
        </w:rPr>
        <w:t xml:space="preserve"> </w:t>
      </w:r>
      <w:r w:rsidRPr="00CE5DB9">
        <w:rPr>
          <w:rFonts w:ascii="Arial" w:hAnsi="Arial" w:cs="Arial"/>
          <w:sz w:val="20"/>
        </w:rPr>
        <w:t>Continúa analizando el juez:</w:t>
      </w:r>
      <w:r w:rsidRPr="00CE5DB9">
        <w:rPr>
          <w:rFonts w:ascii="Arial" w:hAnsi="Arial" w:cs="Arial"/>
        </w:rPr>
        <w:t xml:space="preserve"> </w:t>
      </w:r>
      <w:r w:rsidRPr="00CE5DB9">
        <w:rPr>
          <w:rFonts w:ascii="Arial" w:hAnsi="Arial" w:cs="Arial"/>
          <w:i/>
          <w:sz w:val="20"/>
          <w:szCs w:val="20"/>
        </w:rPr>
        <w:t xml:space="preserve">En la causa </w:t>
      </w:r>
      <w:proofErr w:type="spellStart"/>
      <w:r w:rsidRPr="00CE5DB9">
        <w:rPr>
          <w:rFonts w:ascii="Arial" w:hAnsi="Arial" w:cs="Arial"/>
          <w:i/>
          <w:sz w:val="20"/>
          <w:szCs w:val="20"/>
        </w:rPr>
        <w:t>Gottschau</w:t>
      </w:r>
      <w:proofErr w:type="spellEnd"/>
      <w:r w:rsidRPr="00CE5DB9">
        <w:rPr>
          <w:rFonts w:ascii="Arial" w:hAnsi="Arial" w:cs="Arial"/>
          <w:i/>
          <w:sz w:val="20"/>
          <w:szCs w:val="20"/>
        </w:rPr>
        <w:t>, Evelyn P. c. Consejo de la 2 Magistr</w:t>
      </w:r>
      <w:r w:rsidRPr="00CE5DB9">
        <w:rPr>
          <w:rFonts w:ascii="Arial" w:hAnsi="Arial" w:cs="Arial"/>
          <w:i/>
          <w:sz w:val="20"/>
          <w:szCs w:val="20"/>
        </w:rPr>
        <w:t>a</w:t>
      </w:r>
      <w:r w:rsidRPr="00CE5DB9">
        <w:rPr>
          <w:rFonts w:ascii="Arial" w:hAnsi="Arial" w:cs="Arial"/>
          <w:i/>
          <w:sz w:val="20"/>
          <w:szCs w:val="20"/>
        </w:rPr>
        <w:t>tura de la Ciudad Autónoma de Buenos Aires1, declaró la inconstitucionalidad del art. 10.1.4 del Reglamento de Concursos para la Selección de Secretarios del Poder Judicial de la Ciudad Autónoma de Buenos Aires, que prevé el requisito de la nacionalidad argentina para concursar al cargo de secretario de primera instancia, ya que, sin perjuicio de la importancia que tienen las funciones que deben cumplir, ellas no implican el ejercicio de la jurisdicción en sentido e</w:t>
      </w:r>
      <w:r w:rsidRPr="00CE5DB9">
        <w:rPr>
          <w:rFonts w:ascii="Arial" w:hAnsi="Arial" w:cs="Arial"/>
          <w:i/>
          <w:sz w:val="20"/>
          <w:szCs w:val="20"/>
        </w:rPr>
        <w:t>s</w:t>
      </w:r>
      <w:r w:rsidRPr="00CE5DB9">
        <w:rPr>
          <w:rFonts w:ascii="Arial" w:hAnsi="Arial" w:cs="Arial"/>
          <w:i/>
          <w:sz w:val="20"/>
          <w:szCs w:val="20"/>
        </w:rPr>
        <w:t>tricto o, si la comprometen, es sólo en áreas muy secundarias y sujetas al control de los jueces, razón por la cual cabe descartar que su desempeño pueda per se poner en juego fines susta</w:t>
      </w:r>
      <w:r w:rsidRPr="00CE5DB9">
        <w:rPr>
          <w:rFonts w:ascii="Arial" w:hAnsi="Arial" w:cs="Arial"/>
          <w:i/>
          <w:sz w:val="20"/>
          <w:szCs w:val="20"/>
        </w:rPr>
        <w:t>n</w:t>
      </w:r>
      <w:r w:rsidRPr="00CE5DB9">
        <w:rPr>
          <w:rFonts w:ascii="Arial" w:hAnsi="Arial" w:cs="Arial"/>
          <w:i/>
          <w:sz w:val="20"/>
          <w:szCs w:val="20"/>
        </w:rPr>
        <w:t xml:space="preserve">ciales que hacen al ejercicio de funciones básicas del Estado. El criterio sentado es mantenido en otros casos. En la causa </w:t>
      </w:r>
      <w:proofErr w:type="spellStart"/>
      <w:r w:rsidRPr="00CE5DB9">
        <w:rPr>
          <w:rFonts w:ascii="Arial" w:hAnsi="Arial" w:cs="Arial"/>
          <w:i/>
          <w:sz w:val="20"/>
          <w:szCs w:val="20"/>
        </w:rPr>
        <w:t>Repetto</w:t>
      </w:r>
      <w:proofErr w:type="spellEnd"/>
      <w:r w:rsidRPr="00CE5DB9">
        <w:rPr>
          <w:rFonts w:ascii="Arial" w:hAnsi="Arial" w:cs="Arial"/>
          <w:i/>
          <w:sz w:val="20"/>
          <w:szCs w:val="20"/>
        </w:rPr>
        <w:t>, Inés M. c. Provincia de Buenos Aires2 el mismo tribunal declaró inconstitucional, por contraponerse al art. 20 de la Constitución Nacional, el art. 5°, inc. a), del Reglamento General de Escuelas Privadas de la Provincia de Buenos Aires, vigente por resolución 2877 del ex Ministerio de Educación del 17 de julio de 1959 (t. o. con las resoluci</w:t>
      </w:r>
      <w:r w:rsidRPr="00CE5DB9">
        <w:rPr>
          <w:rFonts w:ascii="Arial" w:hAnsi="Arial" w:cs="Arial"/>
          <w:i/>
          <w:sz w:val="20"/>
          <w:szCs w:val="20"/>
        </w:rPr>
        <w:t>o</w:t>
      </w:r>
      <w:r w:rsidRPr="00CE5DB9">
        <w:rPr>
          <w:rFonts w:ascii="Arial" w:hAnsi="Arial" w:cs="Arial"/>
          <w:i/>
          <w:sz w:val="20"/>
          <w:szCs w:val="20"/>
        </w:rPr>
        <w:t xml:space="preserve">nes 3599 y 53/63), y su modificación por resolución 721 del 23 de marzo de 1977, y el art. 4°, </w:t>
      </w:r>
      <w:proofErr w:type="spellStart"/>
      <w:r w:rsidRPr="00CE5DB9">
        <w:rPr>
          <w:rFonts w:ascii="Arial" w:hAnsi="Arial" w:cs="Arial"/>
          <w:i/>
          <w:sz w:val="20"/>
          <w:szCs w:val="20"/>
        </w:rPr>
        <w:t>inc</w:t>
      </w:r>
      <w:proofErr w:type="spellEnd"/>
      <w:r w:rsidRPr="00CE5DB9">
        <w:rPr>
          <w:rFonts w:ascii="Arial" w:hAnsi="Arial" w:cs="Arial"/>
          <w:i/>
          <w:sz w:val="20"/>
          <w:szCs w:val="20"/>
        </w:rPr>
        <w:t xml:space="preserve"> a), del decreto 4 de la misma provincia del 4 de enero de 1980 (</w:t>
      </w:r>
      <w:proofErr w:type="spellStart"/>
      <w:r w:rsidRPr="00CE5DB9">
        <w:rPr>
          <w:rFonts w:ascii="Arial" w:hAnsi="Arial" w:cs="Arial"/>
          <w:i/>
          <w:sz w:val="20"/>
          <w:szCs w:val="20"/>
        </w:rPr>
        <w:t>Adla</w:t>
      </w:r>
      <w:proofErr w:type="spellEnd"/>
      <w:r w:rsidRPr="00CE5DB9">
        <w:rPr>
          <w:rFonts w:ascii="Arial" w:hAnsi="Arial" w:cs="Arial"/>
          <w:i/>
          <w:sz w:val="20"/>
          <w:szCs w:val="20"/>
        </w:rPr>
        <w:t xml:space="preserve">, XLB, 1546), en cuanto  establecen el requisito de ser argentino nativo para ejercer la docencia en carácter de titular o interno de un establecimiento de enseñanza privada. En la causa </w:t>
      </w:r>
      <w:proofErr w:type="spellStart"/>
      <w:r w:rsidRPr="00CE5DB9">
        <w:rPr>
          <w:rFonts w:ascii="Arial" w:hAnsi="Arial" w:cs="Arial"/>
          <w:i/>
          <w:sz w:val="20"/>
          <w:szCs w:val="20"/>
        </w:rPr>
        <w:t>Hooft</w:t>
      </w:r>
      <w:proofErr w:type="spellEnd"/>
      <w:r w:rsidRPr="00CE5DB9">
        <w:rPr>
          <w:rFonts w:ascii="Arial" w:hAnsi="Arial" w:cs="Arial"/>
          <w:i/>
          <w:sz w:val="20"/>
          <w:szCs w:val="20"/>
        </w:rPr>
        <w:t>, Pedro C. F. c. Provi</w:t>
      </w:r>
      <w:r w:rsidRPr="00CE5DB9">
        <w:rPr>
          <w:rFonts w:ascii="Arial" w:hAnsi="Arial" w:cs="Arial"/>
          <w:i/>
          <w:sz w:val="20"/>
          <w:szCs w:val="20"/>
        </w:rPr>
        <w:t>n</w:t>
      </w:r>
      <w:r w:rsidRPr="00CE5DB9">
        <w:rPr>
          <w:rFonts w:ascii="Arial" w:hAnsi="Arial" w:cs="Arial"/>
          <w:i/>
          <w:sz w:val="20"/>
          <w:szCs w:val="20"/>
        </w:rPr>
        <w:t>cia de Buenos Aires3 declaró inconstitucional el art. 177 de la Constitución de la Provincia de Buenos Aires, en cuanto exige para poder acceder al cargo de juez de una Cámara de Apel</w:t>
      </w:r>
      <w:r w:rsidRPr="00CE5DB9">
        <w:rPr>
          <w:rFonts w:ascii="Arial" w:hAnsi="Arial" w:cs="Arial"/>
          <w:i/>
          <w:sz w:val="20"/>
          <w:szCs w:val="20"/>
        </w:rPr>
        <w:t>a</w:t>
      </w:r>
      <w:r w:rsidRPr="00CE5DB9">
        <w:rPr>
          <w:rFonts w:ascii="Arial" w:hAnsi="Arial" w:cs="Arial"/>
          <w:i/>
          <w:sz w:val="20"/>
          <w:szCs w:val="20"/>
        </w:rPr>
        <w:t>ciones, haber nacido en territorio argentino o bien ser hijo de ciudadano nativo, efectúa una discriminación en razón del origen de la nacionalidad, por lo que encuadra en uno de los mot</w:t>
      </w:r>
      <w:r w:rsidRPr="00CE5DB9">
        <w:rPr>
          <w:rFonts w:ascii="Arial" w:hAnsi="Arial" w:cs="Arial"/>
          <w:i/>
          <w:sz w:val="20"/>
          <w:szCs w:val="20"/>
        </w:rPr>
        <w:t>i</w:t>
      </w:r>
      <w:r w:rsidRPr="00CE5DB9">
        <w:rPr>
          <w:rFonts w:ascii="Arial" w:hAnsi="Arial" w:cs="Arial"/>
          <w:i/>
          <w:sz w:val="20"/>
          <w:szCs w:val="20"/>
        </w:rPr>
        <w:t>vos de discriminación que prohíben los tratados internacionales sobre derechos humanos con jerarquía constitucional arts. 1.1, Pacto de San José de Costa</w:t>
      </w:r>
      <w:r w:rsidRPr="00E805DF">
        <w:rPr>
          <w:rFonts w:ascii="Arial" w:hAnsi="Arial" w:cs="Arial"/>
          <w:i/>
          <w:sz w:val="20"/>
          <w:szCs w:val="20"/>
        </w:rPr>
        <w:t xml:space="preserve"> </w:t>
      </w:r>
      <w:r w:rsidRPr="00CE5DB9">
        <w:rPr>
          <w:rFonts w:ascii="Arial" w:hAnsi="Arial" w:cs="Arial"/>
          <w:i/>
          <w:sz w:val="20"/>
          <w:szCs w:val="20"/>
        </w:rPr>
        <w:t>Rica; 26, Pacto Internacional de Derechos Civiles 1.C. S.J.N., 8/08/2006, Cita LL online: AR/JUR/3439/2006.2.C.S.J.N., 08/11/1988, Cita LL online: AR/JUR/1603/1988.3.CS.J.N., 16/11/2004, Cita LL online: AR/JUR/3365/2004.3y Políticos (</w:t>
      </w:r>
      <w:proofErr w:type="spellStart"/>
      <w:r w:rsidRPr="00CE5DB9">
        <w:rPr>
          <w:rFonts w:ascii="Arial" w:hAnsi="Arial" w:cs="Arial"/>
          <w:i/>
          <w:sz w:val="20"/>
          <w:szCs w:val="20"/>
        </w:rPr>
        <w:t>Adla</w:t>
      </w:r>
      <w:proofErr w:type="spellEnd"/>
      <w:r w:rsidRPr="00CE5DB9">
        <w:rPr>
          <w:rFonts w:ascii="Arial" w:hAnsi="Arial" w:cs="Arial"/>
          <w:i/>
          <w:sz w:val="20"/>
          <w:szCs w:val="20"/>
        </w:rPr>
        <w:t>, XLIVB</w:t>
      </w:r>
      <w:proofErr w:type="gramStart"/>
      <w:r w:rsidRPr="00CE5DB9">
        <w:rPr>
          <w:rFonts w:ascii="Arial" w:hAnsi="Arial" w:cs="Arial"/>
          <w:i/>
          <w:sz w:val="20"/>
          <w:szCs w:val="20"/>
        </w:rPr>
        <w:t>,1250</w:t>
      </w:r>
      <w:proofErr w:type="gramEnd"/>
      <w:r w:rsidRPr="00CE5DB9">
        <w:rPr>
          <w:rFonts w:ascii="Arial" w:hAnsi="Arial" w:cs="Arial"/>
          <w:i/>
          <w:sz w:val="20"/>
          <w:szCs w:val="20"/>
        </w:rPr>
        <w:t xml:space="preserve">; XLVIB,1107), recayendo sobre el mismo una presunción o sospecha de ilegitimidad. En la cusa Calvo y </w:t>
      </w:r>
      <w:proofErr w:type="spellStart"/>
      <w:r w:rsidRPr="00CE5DB9">
        <w:rPr>
          <w:rFonts w:ascii="Arial" w:hAnsi="Arial" w:cs="Arial"/>
          <w:i/>
          <w:sz w:val="20"/>
          <w:szCs w:val="20"/>
        </w:rPr>
        <w:t>Pesini</w:t>
      </w:r>
      <w:proofErr w:type="spellEnd"/>
      <w:r w:rsidRPr="00CE5DB9">
        <w:rPr>
          <w:rFonts w:ascii="Arial" w:hAnsi="Arial" w:cs="Arial"/>
          <w:i/>
          <w:sz w:val="20"/>
          <w:szCs w:val="20"/>
        </w:rPr>
        <w:t>, Rocío c. Provincia de Córdoba4 sostuvo que corresponde declarar la inconstitucionalidad del art. 15</w:t>
      </w:r>
      <w:proofErr w:type="gramStart"/>
      <w:r w:rsidRPr="00CE5DB9">
        <w:rPr>
          <w:rFonts w:ascii="Arial" w:hAnsi="Arial" w:cs="Arial"/>
          <w:i/>
          <w:sz w:val="20"/>
          <w:szCs w:val="20"/>
        </w:rPr>
        <w:t>,inc</w:t>
      </w:r>
      <w:proofErr w:type="gramEnd"/>
      <w:r w:rsidRPr="00CE5DB9">
        <w:rPr>
          <w:rFonts w:ascii="Arial" w:hAnsi="Arial" w:cs="Arial"/>
          <w:i/>
          <w:sz w:val="20"/>
          <w:szCs w:val="20"/>
        </w:rPr>
        <w:t>. a), de la ley 7625 de la Provincia de Córdoba (</w:t>
      </w:r>
      <w:proofErr w:type="spellStart"/>
      <w:r w:rsidRPr="00CE5DB9">
        <w:rPr>
          <w:rFonts w:ascii="Arial" w:hAnsi="Arial" w:cs="Arial"/>
          <w:i/>
          <w:sz w:val="20"/>
          <w:szCs w:val="20"/>
        </w:rPr>
        <w:t>Adla</w:t>
      </w:r>
      <w:proofErr w:type="spellEnd"/>
      <w:r w:rsidRPr="00CE5DB9">
        <w:rPr>
          <w:rFonts w:ascii="Arial" w:hAnsi="Arial" w:cs="Arial"/>
          <w:i/>
          <w:sz w:val="20"/>
          <w:szCs w:val="20"/>
        </w:rPr>
        <w:t>, XLVIIIA</w:t>
      </w:r>
      <w:proofErr w:type="gramStart"/>
      <w:r w:rsidRPr="00CE5DB9">
        <w:rPr>
          <w:rFonts w:ascii="Arial" w:hAnsi="Arial" w:cs="Arial"/>
          <w:i/>
          <w:sz w:val="20"/>
          <w:szCs w:val="20"/>
        </w:rPr>
        <w:t>,774</w:t>
      </w:r>
      <w:proofErr w:type="gramEnd"/>
      <w:r w:rsidRPr="00CE5DB9">
        <w:rPr>
          <w:rFonts w:ascii="Arial" w:hAnsi="Arial" w:cs="Arial"/>
          <w:i/>
          <w:sz w:val="20"/>
          <w:szCs w:val="20"/>
        </w:rPr>
        <w:t>), que exige ser argentino para ingresar como personal permanente al régimen del "equipo de salud humana", ya que, no se ha justif</w:t>
      </w:r>
      <w:r w:rsidRPr="00CE5DB9">
        <w:rPr>
          <w:rFonts w:ascii="Arial" w:hAnsi="Arial" w:cs="Arial"/>
          <w:i/>
          <w:sz w:val="20"/>
          <w:szCs w:val="20"/>
        </w:rPr>
        <w:t>i</w:t>
      </w:r>
      <w:r w:rsidRPr="00CE5DB9">
        <w:rPr>
          <w:rFonts w:ascii="Arial" w:hAnsi="Arial" w:cs="Arial"/>
          <w:i/>
          <w:sz w:val="20"/>
          <w:szCs w:val="20"/>
        </w:rPr>
        <w:t>cado la existencia de un interés estatal que ampare la restricción, teniendo en cuenta el princ</w:t>
      </w:r>
      <w:r w:rsidRPr="00CE5DB9">
        <w:rPr>
          <w:rFonts w:ascii="Arial" w:hAnsi="Arial" w:cs="Arial"/>
          <w:i/>
          <w:sz w:val="20"/>
          <w:szCs w:val="20"/>
        </w:rPr>
        <w:t>i</w:t>
      </w:r>
      <w:r w:rsidRPr="00CE5DB9">
        <w:rPr>
          <w:rFonts w:ascii="Arial" w:hAnsi="Arial" w:cs="Arial"/>
          <w:i/>
          <w:sz w:val="20"/>
          <w:szCs w:val="20"/>
        </w:rPr>
        <w:t>pio general que consagra el art. 16 de la Constitución Nacional a favor de todos los habitantes y el reconocimiento pleno de los derechos de los extranjeros al ejercicio de su profesión. En la causa Mantecón Valdés, Julio c. Estado Nacional5 sostuvo que corresponde declarar la incon</w:t>
      </w:r>
      <w:r w:rsidRPr="00CE5DB9">
        <w:rPr>
          <w:rFonts w:ascii="Arial" w:hAnsi="Arial" w:cs="Arial"/>
          <w:i/>
          <w:sz w:val="20"/>
          <w:szCs w:val="20"/>
        </w:rPr>
        <w:t>s</w:t>
      </w:r>
      <w:r w:rsidRPr="00CE5DB9">
        <w:rPr>
          <w:rFonts w:ascii="Arial" w:hAnsi="Arial" w:cs="Arial"/>
          <w:i/>
          <w:sz w:val="20"/>
          <w:szCs w:val="20"/>
        </w:rPr>
        <w:t>titucionalidad de la resolución 1331/2004 de la Corte Suprema de Justicia de la Nación, en cuanto, por remisión al Reglamento para la Justicia Nacional (</w:t>
      </w:r>
      <w:proofErr w:type="spellStart"/>
      <w:r w:rsidRPr="00CE5DB9">
        <w:rPr>
          <w:rFonts w:ascii="Arial" w:hAnsi="Arial" w:cs="Arial"/>
          <w:i/>
          <w:sz w:val="20"/>
          <w:szCs w:val="20"/>
        </w:rPr>
        <w:t>Adla</w:t>
      </w:r>
      <w:proofErr w:type="spellEnd"/>
      <w:r w:rsidRPr="00CE5DB9">
        <w:rPr>
          <w:rFonts w:ascii="Arial" w:hAnsi="Arial" w:cs="Arial"/>
          <w:i/>
          <w:sz w:val="20"/>
          <w:szCs w:val="20"/>
        </w:rPr>
        <w:t>, XIIIA, 931) artículo 11, i</w:t>
      </w:r>
      <w:r w:rsidRPr="00CE5DB9">
        <w:rPr>
          <w:rFonts w:ascii="Arial" w:hAnsi="Arial" w:cs="Arial"/>
          <w:i/>
          <w:sz w:val="20"/>
          <w:szCs w:val="20"/>
        </w:rPr>
        <w:t>m</w:t>
      </w:r>
      <w:r w:rsidRPr="00CE5DB9">
        <w:rPr>
          <w:rFonts w:ascii="Arial" w:hAnsi="Arial" w:cs="Arial"/>
          <w:i/>
          <w:sz w:val="20"/>
          <w:szCs w:val="20"/>
        </w:rPr>
        <w:t>pone el recaudo de la nacionalidad argentina para concursar al cargo de auxiliar de la Bibliot</w:t>
      </w:r>
      <w:r w:rsidRPr="00CE5DB9">
        <w:rPr>
          <w:rFonts w:ascii="Arial" w:hAnsi="Arial" w:cs="Arial"/>
          <w:i/>
          <w:sz w:val="20"/>
          <w:szCs w:val="20"/>
        </w:rPr>
        <w:t>e</w:t>
      </w:r>
      <w:r w:rsidRPr="00CE5DB9">
        <w:rPr>
          <w:rFonts w:ascii="Arial" w:hAnsi="Arial" w:cs="Arial"/>
          <w:i/>
          <w:sz w:val="20"/>
          <w:szCs w:val="20"/>
        </w:rPr>
        <w:t>ca del Tribunal, pues los extranjeros, en su carácter de habitantes de la Nación, están, en pri</w:t>
      </w:r>
      <w:r w:rsidRPr="00CE5DB9">
        <w:rPr>
          <w:rFonts w:ascii="Arial" w:hAnsi="Arial" w:cs="Arial"/>
          <w:i/>
          <w:sz w:val="20"/>
          <w:szCs w:val="20"/>
        </w:rPr>
        <w:t>n</w:t>
      </w:r>
      <w:r w:rsidRPr="00CE5DB9">
        <w:rPr>
          <w:rFonts w:ascii="Arial" w:hAnsi="Arial" w:cs="Arial"/>
          <w:i/>
          <w:sz w:val="20"/>
          <w:szCs w:val="20"/>
        </w:rPr>
        <w:t>cipio, habilitados para el empleo público conforme artículo 16 de la Constitución Nacional, y la demandada no acreditó los fines que intentaba resguardar y los medios que había utilizado a tal efecto, al exigir la ciudadanía del país para acceder al cargo en cuestión. (Del dictamen del Procurador General que la Corte, por mayoría, hace suyo).Como puede verse, la reiterada jurisprudencia del Alto Tribunal, avala la interpretación (provisoria, reitero) respecto de la col</w:t>
      </w:r>
      <w:r w:rsidRPr="00CE5DB9">
        <w:rPr>
          <w:rFonts w:ascii="Arial" w:hAnsi="Arial" w:cs="Arial"/>
          <w:i/>
          <w:sz w:val="20"/>
          <w:szCs w:val="20"/>
        </w:rPr>
        <w:t>i</w:t>
      </w:r>
      <w:r w:rsidRPr="00CE5DB9">
        <w:rPr>
          <w:rFonts w:ascii="Arial" w:hAnsi="Arial" w:cs="Arial"/>
          <w:i/>
          <w:sz w:val="20"/>
          <w:szCs w:val="20"/>
        </w:rPr>
        <w:t xml:space="preserve">sión de la exigencia de la ciudadanía argentina con la garantía prevista en el art. 16 </w:t>
      </w:r>
      <w:proofErr w:type="spellStart"/>
      <w:r w:rsidRPr="00CE5DB9">
        <w:rPr>
          <w:rFonts w:ascii="Arial" w:hAnsi="Arial" w:cs="Arial"/>
          <w:i/>
          <w:sz w:val="20"/>
          <w:szCs w:val="20"/>
        </w:rPr>
        <w:t>C.N.En</w:t>
      </w:r>
      <w:proofErr w:type="spellEnd"/>
      <w:r w:rsidRPr="00CE5DB9">
        <w:rPr>
          <w:rFonts w:ascii="Arial" w:hAnsi="Arial" w:cs="Arial"/>
          <w:i/>
          <w:sz w:val="20"/>
          <w:szCs w:val="20"/>
        </w:rPr>
        <w:t xml:space="preserve"> consecuencia, este requisito se encuentra cumplido. (….) </w:t>
      </w:r>
    </w:p>
  </w:footnote>
  <w:footnote w:id="18">
    <w:p w:rsidR="00F853AF" w:rsidRPr="00C76E94" w:rsidRDefault="00F853AF" w:rsidP="00F853AF">
      <w:pPr>
        <w:pStyle w:val="Textonotapie"/>
        <w:ind w:left="708" w:hanging="708"/>
        <w:jc w:val="both"/>
        <w:rPr>
          <w:rFonts w:ascii="Arial" w:hAnsi="Arial" w:cs="Arial"/>
        </w:rPr>
      </w:pPr>
      <w:r w:rsidRPr="00C76E94">
        <w:rPr>
          <w:rStyle w:val="Refdenotaalpie"/>
          <w:rFonts w:ascii="Arial" w:hAnsi="Arial" w:cs="Arial"/>
        </w:rPr>
        <w:footnoteRef/>
      </w:r>
      <w:r w:rsidRPr="00C76E94">
        <w:rPr>
          <w:rFonts w:ascii="Arial" w:hAnsi="Arial" w:cs="Arial"/>
        </w:rPr>
        <w:t xml:space="preserve"> DI IORIO, Alfredo, </w:t>
      </w:r>
      <w:proofErr w:type="spellStart"/>
      <w:r w:rsidRPr="00C76E94">
        <w:rPr>
          <w:rFonts w:ascii="Arial" w:hAnsi="Arial" w:cs="Arial"/>
        </w:rPr>
        <w:t>op</w:t>
      </w:r>
      <w:proofErr w:type="spellEnd"/>
      <w:r w:rsidRPr="00C76E94">
        <w:rPr>
          <w:rFonts w:ascii="Arial" w:hAnsi="Arial" w:cs="Arial"/>
        </w:rPr>
        <w:t>. cit., p. 456.</w:t>
      </w:r>
    </w:p>
  </w:footnote>
  <w:footnote w:id="19">
    <w:p w:rsidR="00F853AF" w:rsidRPr="00A35136" w:rsidRDefault="00F853AF" w:rsidP="00F853AF">
      <w:pPr>
        <w:pStyle w:val="Textonotapie"/>
        <w:jc w:val="both"/>
        <w:rPr>
          <w:rFonts w:ascii="Arial" w:hAnsi="Arial" w:cs="Arial"/>
        </w:rPr>
      </w:pPr>
      <w:r w:rsidRPr="00C76E94">
        <w:rPr>
          <w:rStyle w:val="Refdenotaalpie"/>
          <w:rFonts w:ascii="Arial" w:hAnsi="Arial" w:cs="Arial"/>
        </w:rPr>
        <w:footnoteRef/>
      </w:r>
      <w:r w:rsidRPr="00C76E94">
        <w:rPr>
          <w:rFonts w:ascii="Arial" w:hAnsi="Arial" w:cs="Arial"/>
        </w:rPr>
        <w:t xml:space="preserve"> PALACIO, Lino Enrique, </w:t>
      </w:r>
      <w:proofErr w:type="spellStart"/>
      <w:r w:rsidRPr="00C76E94">
        <w:rPr>
          <w:rFonts w:ascii="Arial" w:hAnsi="Arial" w:cs="Arial"/>
        </w:rPr>
        <w:t>op</w:t>
      </w:r>
      <w:proofErr w:type="spellEnd"/>
      <w:r w:rsidRPr="00C76E94">
        <w:rPr>
          <w:rFonts w:ascii="Arial" w:hAnsi="Arial" w:cs="Arial"/>
        </w:rPr>
        <w:t>. cit., p. 32.</w:t>
      </w:r>
    </w:p>
  </w:footnote>
  <w:footnote w:id="20">
    <w:p w:rsidR="00F853AF" w:rsidRPr="00FB694C" w:rsidRDefault="00F853AF" w:rsidP="00F853AF">
      <w:pPr>
        <w:tabs>
          <w:tab w:val="left" w:pos="6501"/>
        </w:tabs>
        <w:spacing w:after="0" w:line="240" w:lineRule="auto"/>
        <w:jc w:val="both"/>
        <w:rPr>
          <w:rFonts w:ascii="Arial" w:hAnsi="Arial" w:cs="Arial"/>
          <w:sz w:val="20"/>
          <w:szCs w:val="20"/>
        </w:rPr>
      </w:pPr>
      <w:r w:rsidRPr="00FB694C">
        <w:rPr>
          <w:rStyle w:val="Refdenotaalpie"/>
          <w:rFonts w:ascii="Arial" w:hAnsi="Arial" w:cs="Arial"/>
          <w:sz w:val="20"/>
          <w:szCs w:val="20"/>
        </w:rPr>
        <w:footnoteRef/>
      </w:r>
      <w:r w:rsidRPr="00FB694C">
        <w:rPr>
          <w:rFonts w:ascii="Arial" w:hAnsi="Arial" w:cs="Arial"/>
          <w:sz w:val="20"/>
          <w:szCs w:val="20"/>
        </w:rPr>
        <w:t xml:space="preserve"> ALSINA Hugo, </w:t>
      </w:r>
      <w:r w:rsidRPr="00FB694C">
        <w:rPr>
          <w:rFonts w:ascii="Arial" w:hAnsi="Arial" w:cs="Arial"/>
          <w:i/>
          <w:sz w:val="20"/>
          <w:szCs w:val="20"/>
        </w:rPr>
        <w:t>Tratado Teórico Práctico de Derecho Procesal Civil y Comercial</w:t>
      </w:r>
      <w:r w:rsidRPr="00FB694C">
        <w:rPr>
          <w:rFonts w:ascii="Arial" w:hAnsi="Arial" w:cs="Arial"/>
          <w:sz w:val="20"/>
          <w:szCs w:val="20"/>
        </w:rPr>
        <w:t xml:space="preserve">, segunda edición, </w:t>
      </w:r>
      <w:proofErr w:type="spellStart"/>
      <w:r w:rsidRPr="00FB694C">
        <w:rPr>
          <w:rFonts w:ascii="Arial" w:hAnsi="Arial" w:cs="Arial"/>
          <w:sz w:val="20"/>
          <w:szCs w:val="20"/>
        </w:rPr>
        <w:t>Ediar</w:t>
      </w:r>
      <w:proofErr w:type="spellEnd"/>
      <w:r w:rsidRPr="00FB694C">
        <w:rPr>
          <w:rFonts w:ascii="Arial" w:hAnsi="Arial" w:cs="Arial"/>
          <w:sz w:val="20"/>
          <w:szCs w:val="20"/>
        </w:rPr>
        <w:t xml:space="preserve"> Soc. Anó</w:t>
      </w:r>
      <w:r>
        <w:rPr>
          <w:rFonts w:ascii="Arial" w:hAnsi="Arial" w:cs="Arial"/>
          <w:sz w:val="20"/>
          <w:szCs w:val="20"/>
        </w:rPr>
        <w:t>n. Editores, Buenos Aires, 1962.</w:t>
      </w:r>
      <w:r w:rsidRPr="00FB694C">
        <w:rPr>
          <w:rFonts w:ascii="Arial" w:hAnsi="Arial" w:cs="Arial"/>
          <w:sz w:val="20"/>
          <w:szCs w:val="20"/>
        </w:rPr>
        <w:t xml:space="preserve"> </w:t>
      </w:r>
    </w:p>
  </w:footnote>
  <w:footnote w:id="21">
    <w:p w:rsidR="00F853AF" w:rsidRPr="00FB694C" w:rsidRDefault="00F853AF" w:rsidP="00F853AF">
      <w:pPr>
        <w:pStyle w:val="Textonotapie"/>
        <w:jc w:val="both"/>
        <w:rPr>
          <w:rFonts w:ascii="Arial" w:hAnsi="Arial" w:cs="Arial"/>
        </w:rPr>
      </w:pPr>
      <w:r w:rsidRPr="00FB694C">
        <w:rPr>
          <w:rStyle w:val="Refdenotaalpie"/>
          <w:rFonts w:ascii="Arial" w:hAnsi="Arial" w:cs="Arial"/>
        </w:rPr>
        <w:footnoteRef/>
      </w:r>
      <w:r w:rsidRPr="00FB694C">
        <w:rPr>
          <w:rFonts w:ascii="Arial" w:hAnsi="Arial" w:cs="Arial"/>
        </w:rPr>
        <w:t xml:space="preserve"> CHIOVENDA, José, </w:t>
      </w:r>
      <w:proofErr w:type="spellStart"/>
      <w:r>
        <w:rPr>
          <w:rFonts w:ascii="Arial" w:hAnsi="Arial" w:cs="Arial"/>
        </w:rPr>
        <w:t>op</w:t>
      </w:r>
      <w:proofErr w:type="spellEnd"/>
      <w:r>
        <w:rPr>
          <w:rFonts w:ascii="Arial" w:hAnsi="Arial" w:cs="Arial"/>
        </w:rPr>
        <w:t>. cit.,</w:t>
      </w:r>
      <w:r w:rsidRPr="00FB694C">
        <w:rPr>
          <w:rFonts w:ascii="Arial" w:hAnsi="Arial" w:cs="Arial"/>
        </w:rPr>
        <w:t xml:space="preserve"> p. 263</w:t>
      </w:r>
      <w:r>
        <w:rPr>
          <w:rFonts w:ascii="Arial" w:hAnsi="Arial" w:cs="Arial"/>
        </w:rPr>
        <w:t>.</w:t>
      </w:r>
    </w:p>
  </w:footnote>
  <w:footnote w:id="22">
    <w:p w:rsidR="00F853AF" w:rsidRDefault="00F853AF" w:rsidP="00F853AF">
      <w:pPr>
        <w:pStyle w:val="Textonotapie"/>
      </w:pPr>
      <w:r w:rsidRPr="005A4576">
        <w:rPr>
          <w:rStyle w:val="Refdenotaalpie"/>
        </w:rPr>
        <w:footnoteRef/>
      </w:r>
      <w:r w:rsidRPr="005A4576">
        <w:t xml:space="preserve"> </w:t>
      </w:r>
      <w:r w:rsidRPr="005A4576">
        <w:rPr>
          <w:rFonts w:ascii="Arial" w:hAnsi="Arial" w:cs="Arial"/>
        </w:rPr>
        <w:t>CALAMANDREI</w:t>
      </w:r>
      <w:r w:rsidRPr="003A3E8D">
        <w:rPr>
          <w:rFonts w:ascii="Arial" w:hAnsi="Arial" w:cs="Arial"/>
        </w:rPr>
        <w:t xml:space="preserve">, Piero; </w:t>
      </w:r>
      <w:r w:rsidRPr="003A3E8D">
        <w:rPr>
          <w:rFonts w:ascii="Arial" w:hAnsi="Arial" w:cs="Arial"/>
          <w:i/>
          <w:iCs/>
        </w:rPr>
        <w:t>Introducción</w:t>
      </w:r>
      <w:r>
        <w:rPr>
          <w:rFonts w:ascii="Arial" w:hAnsi="Arial" w:cs="Arial"/>
          <w:i/>
          <w:iCs/>
        </w:rPr>
        <w:t xml:space="preserve">…, </w:t>
      </w:r>
      <w:proofErr w:type="spellStart"/>
      <w:r>
        <w:rPr>
          <w:rFonts w:ascii="Arial" w:hAnsi="Arial" w:cs="Arial"/>
          <w:i/>
          <w:iCs/>
        </w:rPr>
        <w:t>op</w:t>
      </w:r>
      <w:proofErr w:type="spellEnd"/>
      <w:r>
        <w:rPr>
          <w:rFonts w:ascii="Arial" w:hAnsi="Arial" w:cs="Arial"/>
          <w:i/>
          <w:iCs/>
        </w:rPr>
        <w:t>. cit.</w:t>
      </w:r>
      <w:r w:rsidRPr="003A3E8D">
        <w:rPr>
          <w:rFonts w:ascii="Arial" w:hAnsi="Arial" w:cs="Arial"/>
        </w:rPr>
        <w:t>, p.</w:t>
      </w:r>
      <w:r>
        <w:rPr>
          <w:rFonts w:ascii="Arial" w:hAnsi="Arial" w:cs="Arial"/>
        </w:rPr>
        <w:t>47</w:t>
      </w:r>
    </w:p>
  </w:footnote>
  <w:footnote w:id="23">
    <w:p w:rsidR="00F853AF" w:rsidRPr="00FB694C" w:rsidRDefault="00F853AF" w:rsidP="00F853AF">
      <w:pPr>
        <w:pStyle w:val="Textonotapie"/>
        <w:jc w:val="both"/>
        <w:rPr>
          <w:rFonts w:ascii="Arial" w:hAnsi="Arial" w:cs="Arial"/>
        </w:rPr>
      </w:pPr>
      <w:r w:rsidRPr="00FB694C">
        <w:rPr>
          <w:rStyle w:val="Refdenotaalpie"/>
          <w:rFonts w:ascii="Arial" w:hAnsi="Arial" w:cs="Arial"/>
        </w:rPr>
        <w:footnoteRef/>
      </w:r>
      <w:r w:rsidRPr="00FB694C">
        <w:rPr>
          <w:rFonts w:ascii="Arial" w:hAnsi="Arial" w:cs="Arial"/>
        </w:rPr>
        <w:t xml:space="preserve"> Id </w:t>
      </w:r>
      <w:proofErr w:type="spellStart"/>
      <w:r w:rsidRPr="00FB694C">
        <w:rPr>
          <w:rFonts w:ascii="Arial" w:hAnsi="Arial" w:cs="Arial"/>
        </w:rPr>
        <w:t>quod</w:t>
      </w:r>
      <w:proofErr w:type="spellEnd"/>
      <w:r w:rsidRPr="00FB694C">
        <w:rPr>
          <w:rFonts w:ascii="Arial" w:hAnsi="Arial" w:cs="Arial"/>
        </w:rPr>
        <w:t xml:space="preserve"> </w:t>
      </w:r>
      <w:proofErr w:type="spellStart"/>
      <w:r w:rsidRPr="00FB694C">
        <w:rPr>
          <w:rFonts w:ascii="Arial" w:hAnsi="Arial" w:cs="Arial"/>
        </w:rPr>
        <w:t>plerumple</w:t>
      </w:r>
      <w:proofErr w:type="spellEnd"/>
      <w:r w:rsidRPr="00FB694C">
        <w:rPr>
          <w:rFonts w:ascii="Arial" w:hAnsi="Arial" w:cs="Arial"/>
        </w:rPr>
        <w:t xml:space="preserve"> </w:t>
      </w:r>
      <w:proofErr w:type="spellStart"/>
      <w:r w:rsidRPr="00FB694C">
        <w:rPr>
          <w:rFonts w:ascii="Arial" w:hAnsi="Arial" w:cs="Arial"/>
        </w:rPr>
        <w:t>accidt</w:t>
      </w:r>
      <w:proofErr w:type="spellEnd"/>
      <w:r w:rsidRPr="00FB694C">
        <w:rPr>
          <w:rFonts w:ascii="Arial" w:hAnsi="Arial" w:cs="Arial"/>
        </w:rPr>
        <w:t xml:space="preserve"> es un término jurídico en</w:t>
      </w:r>
      <w:r>
        <w:rPr>
          <w:rFonts w:ascii="Arial" w:hAnsi="Arial" w:cs="Arial"/>
        </w:rPr>
        <w:t xml:space="preserve"> latín acuñado para referirse a</w:t>
      </w:r>
      <w:r w:rsidRPr="00FB694C">
        <w:rPr>
          <w:rFonts w:ascii="Arial" w:hAnsi="Arial" w:cs="Arial"/>
        </w:rPr>
        <w:t xml:space="preserve"> </w:t>
      </w:r>
      <w:r>
        <w:rPr>
          <w:rFonts w:ascii="Arial" w:hAnsi="Arial" w:cs="Arial"/>
        </w:rPr>
        <w:t>“</w:t>
      </w:r>
      <w:r w:rsidRPr="00FB694C">
        <w:rPr>
          <w:rFonts w:ascii="Arial" w:hAnsi="Arial" w:cs="Arial"/>
        </w:rPr>
        <w:t>las cosas que ocurren con frecuencia</w:t>
      </w:r>
      <w:r>
        <w:rPr>
          <w:rFonts w:ascii="Arial" w:hAnsi="Arial" w:cs="Arial"/>
        </w:rPr>
        <w:t>”</w:t>
      </w:r>
      <w:r w:rsidRPr="00FB694C">
        <w:rPr>
          <w:rFonts w:ascii="Arial" w:hAnsi="Arial" w:cs="Arial"/>
        </w:rPr>
        <w:t>.</w:t>
      </w:r>
    </w:p>
  </w:footnote>
  <w:footnote w:id="24">
    <w:p w:rsidR="00F853AF" w:rsidRDefault="00F853AF" w:rsidP="00F853AF">
      <w:pPr>
        <w:pStyle w:val="Textonotapie"/>
        <w:jc w:val="both"/>
      </w:pPr>
      <w:r w:rsidRPr="00FB694C">
        <w:rPr>
          <w:rStyle w:val="Refdenotaalpie"/>
          <w:rFonts w:ascii="Arial" w:hAnsi="Arial" w:cs="Arial"/>
        </w:rPr>
        <w:footnoteRef/>
      </w:r>
      <w:r w:rsidRPr="00FB694C">
        <w:rPr>
          <w:rFonts w:ascii="Arial" w:hAnsi="Arial" w:cs="Arial"/>
        </w:rPr>
        <w:t xml:space="preserve"> FALCON, Enrique, </w:t>
      </w:r>
      <w:r w:rsidRPr="005F6B77">
        <w:rPr>
          <w:rFonts w:ascii="Arial" w:hAnsi="Arial" w:cs="Arial"/>
          <w:i/>
        </w:rPr>
        <w:t>Tratado de derecho procesal civil</w:t>
      </w:r>
      <w:r>
        <w:rPr>
          <w:rFonts w:ascii="Arial" w:hAnsi="Arial" w:cs="Arial"/>
        </w:rPr>
        <w:t>,</w:t>
      </w:r>
      <w:r w:rsidRPr="00FB694C">
        <w:rPr>
          <w:rFonts w:ascii="Arial" w:hAnsi="Arial" w:cs="Arial"/>
        </w:rPr>
        <w:t xml:space="preserve"> </w:t>
      </w:r>
      <w:proofErr w:type="spellStart"/>
      <w:r w:rsidRPr="00FB694C">
        <w:rPr>
          <w:rFonts w:ascii="Arial" w:hAnsi="Arial" w:cs="Arial"/>
        </w:rPr>
        <w:t>Rubinzal</w:t>
      </w:r>
      <w:proofErr w:type="spellEnd"/>
      <w:r w:rsidRPr="00FB694C">
        <w:rPr>
          <w:rFonts w:ascii="Arial" w:hAnsi="Arial" w:cs="Arial"/>
        </w:rPr>
        <w:t xml:space="preserve"> </w:t>
      </w:r>
      <w:proofErr w:type="spellStart"/>
      <w:r w:rsidRPr="00FB694C">
        <w:rPr>
          <w:rFonts w:ascii="Arial" w:hAnsi="Arial" w:cs="Arial"/>
        </w:rPr>
        <w:t>Culzoni</w:t>
      </w:r>
      <w:proofErr w:type="spellEnd"/>
      <w:r w:rsidRPr="00FB694C">
        <w:rPr>
          <w:rFonts w:ascii="Arial" w:hAnsi="Arial" w:cs="Arial"/>
        </w:rPr>
        <w:t xml:space="preserve">, </w:t>
      </w:r>
      <w:r>
        <w:rPr>
          <w:rFonts w:ascii="Arial" w:hAnsi="Arial" w:cs="Arial"/>
        </w:rPr>
        <w:t xml:space="preserve">Santa Fe, </w:t>
      </w:r>
      <w:r w:rsidRPr="00FB694C">
        <w:rPr>
          <w:rFonts w:ascii="Arial" w:hAnsi="Arial" w:cs="Arial"/>
        </w:rPr>
        <w:t>2011, p. 110.</w:t>
      </w:r>
    </w:p>
  </w:footnote>
  <w:footnote w:id="25">
    <w:p w:rsidR="00F853AF" w:rsidRPr="00F63449" w:rsidRDefault="00F853AF" w:rsidP="00F853AF">
      <w:pPr>
        <w:pStyle w:val="Textonotapie"/>
        <w:rPr>
          <w:rFonts w:ascii="Arial" w:hAnsi="Arial" w:cs="Arial"/>
        </w:rPr>
      </w:pPr>
      <w:r w:rsidRPr="00F63449">
        <w:rPr>
          <w:rStyle w:val="Refdenotaalpie"/>
          <w:rFonts w:ascii="Arial" w:hAnsi="Arial" w:cs="Arial"/>
        </w:rPr>
        <w:footnoteRef/>
      </w:r>
      <w:r w:rsidRPr="00F63449">
        <w:rPr>
          <w:rFonts w:ascii="Arial" w:hAnsi="Arial" w:cs="Arial"/>
        </w:rPr>
        <w:t xml:space="preserve"> </w:t>
      </w:r>
      <w:proofErr w:type="spellStart"/>
      <w:r w:rsidRPr="00F63449">
        <w:rPr>
          <w:rFonts w:ascii="Arial" w:hAnsi="Arial" w:cs="Arial"/>
        </w:rPr>
        <w:t>Cfme</w:t>
      </w:r>
      <w:proofErr w:type="spellEnd"/>
      <w:r w:rsidRPr="00F63449">
        <w:rPr>
          <w:rFonts w:ascii="Arial" w:hAnsi="Arial" w:cs="Arial"/>
        </w:rPr>
        <w:t xml:space="preserve">. Corte Suprema de Justicia de la Nación, </w:t>
      </w:r>
      <w:r w:rsidRPr="00F63449">
        <w:rPr>
          <w:rFonts w:ascii="Arial" w:hAnsi="Arial" w:cs="Arial"/>
          <w:i/>
        </w:rPr>
        <w:t>Casal</w:t>
      </w:r>
      <w:r w:rsidRPr="00F63449">
        <w:rPr>
          <w:rFonts w:ascii="Arial" w:hAnsi="Arial" w:cs="Arial"/>
        </w:rPr>
        <w:t>, fallo citado.</w:t>
      </w:r>
    </w:p>
  </w:footnote>
  <w:footnote w:id="26">
    <w:p w:rsidR="00F853AF" w:rsidRPr="006B2E99" w:rsidRDefault="00F853AF" w:rsidP="00F853AF">
      <w:pPr>
        <w:pStyle w:val="Textonotapie"/>
        <w:rPr>
          <w:rFonts w:ascii="Arial" w:hAnsi="Arial" w:cs="Arial"/>
        </w:rPr>
      </w:pPr>
      <w:r w:rsidRPr="006B2E99">
        <w:rPr>
          <w:rStyle w:val="Refdenotaalpie"/>
          <w:rFonts w:ascii="Arial" w:hAnsi="Arial" w:cs="Arial"/>
        </w:rPr>
        <w:footnoteRef/>
      </w:r>
      <w:r w:rsidRPr="006B2E99">
        <w:rPr>
          <w:rFonts w:ascii="Arial" w:hAnsi="Arial" w:cs="Arial"/>
        </w:rPr>
        <w:t xml:space="preserve"> LORENZETTI, Ricardo Luis, T</w:t>
      </w:r>
      <w:r w:rsidRPr="006B2E99">
        <w:rPr>
          <w:rFonts w:ascii="Arial" w:hAnsi="Arial" w:cs="Arial"/>
          <w:i/>
        </w:rPr>
        <w:t xml:space="preserve">eoría de la decisión judicial. Fundamentos del derecho, </w:t>
      </w:r>
      <w:proofErr w:type="spellStart"/>
      <w:r w:rsidRPr="006B2E99">
        <w:rPr>
          <w:rFonts w:ascii="Arial" w:hAnsi="Arial" w:cs="Arial"/>
        </w:rPr>
        <w:t>Rubi</w:t>
      </w:r>
      <w:r w:rsidRPr="006B2E99">
        <w:rPr>
          <w:rFonts w:ascii="Arial" w:hAnsi="Arial" w:cs="Arial"/>
        </w:rPr>
        <w:t>n</w:t>
      </w:r>
      <w:r w:rsidRPr="006B2E99">
        <w:rPr>
          <w:rFonts w:ascii="Arial" w:hAnsi="Arial" w:cs="Arial"/>
        </w:rPr>
        <w:t>zal</w:t>
      </w:r>
      <w:proofErr w:type="spellEnd"/>
      <w:r w:rsidRPr="006B2E99">
        <w:rPr>
          <w:rFonts w:ascii="Arial" w:hAnsi="Arial" w:cs="Arial"/>
        </w:rPr>
        <w:t xml:space="preserve"> </w:t>
      </w:r>
      <w:proofErr w:type="spellStart"/>
      <w:r w:rsidRPr="006B2E99">
        <w:rPr>
          <w:rFonts w:ascii="Arial" w:hAnsi="Arial" w:cs="Arial"/>
        </w:rPr>
        <w:t>Culzoni</w:t>
      </w:r>
      <w:proofErr w:type="spellEnd"/>
      <w:r w:rsidRPr="006B2E99">
        <w:rPr>
          <w:rFonts w:ascii="Arial" w:hAnsi="Arial" w:cs="Arial"/>
        </w:rPr>
        <w:t xml:space="preserve"> Editores, Rosario, 2014, </w:t>
      </w:r>
      <w:r>
        <w:rPr>
          <w:rFonts w:ascii="Arial" w:hAnsi="Arial" w:cs="Arial"/>
        </w:rPr>
        <w:t>p.183.</w:t>
      </w:r>
    </w:p>
  </w:footnote>
  <w:footnote w:id="27">
    <w:p w:rsidR="00F853AF" w:rsidRPr="005B7D60" w:rsidRDefault="00F853AF" w:rsidP="00F853AF">
      <w:pPr>
        <w:autoSpaceDE w:val="0"/>
        <w:autoSpaceDN w:val="0"/>
        <w:adjustRightInd w:val="0"/>
        <w:spacing w:after="0" w:line="240" w:lineRule="auto"/>
        <w:rPr>
          <w:rFonts w:ascii="Arial" w:hAnsi="Arial" w:cs="Arial"/>
          <w:sz w:val="20"/>
          <w:szCs w:val="20"/>
        </w:rPr>
      </w:pPr>
      <w:r w:rsidRPr="005B7D60">
        <w:rPr>
          <w:rStyle w:val="Refdenotaalpie"/>
          <w:rFonts w:ascii="Arial" w:hAnsi="Arial" w:cs="Arial"/>
          <w:sz w:val="20"/>
          <w:szCs w:val="20"/>
        </w:rPr>
        <w:footnoteRef/>
      </w:r>
      <w:r>
        <w:rPr>
          <w:rFonts w:ascii="Arial" w:hAnsi="Arial" w:cs="Arial"/>
          <w:sz w:val="20"/>
          <w:szCs w:val="20"/>
        </w:rPr>
        <w:t xml:space="preserve"> HOTHAM</w:t>
      </w:r>
      <w:r w:rsidRPr="005B7D60">
        <w:rPr>
          <w:rFonts w:ascii="Arial" w:hAnsi="Arial" w:cs="Arial"/>
          <w:sz w:val="20"/>
          <w:szCs w:val="20"/>
        </w:rPr>
        <w:t>, Richard A. “El Prejuzgamiento”, Monografías Nova Tesis 4, Nova Tesis</w:t>
      </w:r>
    </w:p>
    <w:p w:rsidR="00F853AF" w:rsidRDefault="00F853AF" w:rsidP="00F853AF">
      <w:pPr>
        <w:spacing w:after="0"/>
      </w:pPr>
      <w:r w:rsidRPr="005B7D60">
        <w:rPr>
          <w:rFonts w:ascii="Arial" w:hAnsi="Arial" w:cs="Arial"/>
          <w:sz w:val="20"/>
          <w:szCs w:val="20"/>
        </w:rPr>
        <w:t xml:space="preserve">Editorial Jurídica, </w:t>
      </w:r>
      <w:r>
        <w:rPr>
          <w:rFonts w:ascii="Arial" w:hAnsi="Arial" w:cs="Arial"/>
          <w:sz w:val="20"/>
          <w:szCs w:val="20"/>
        </w:rPr>
        <w:t xml:space="preserve">Rosario, 2007, </w:t>
      </w:r>
      <w:r w:rsidRPr="005B7D60">
        <w:rPr>
          <w:rFonts w:ascii="Arial" w:hAnsi="Arial" w:cs="Arial"/>
          <w:sz w:val="20"/>
          <w:szCs w:val="20"/>
        </w:rPr>
        <w:t>Pág.2-6.</w:t>
      </w:r>
    </w:p>
  </w:footnote>
  <w:footnote w:id="28">
    <w:p w:rsidR="00F853AF" w:rsidRPr="00924AF1" w:rsidRDefault="00F853AF" w:rsidP="00F853AF">
      <w:pPr>
        <w:pStyle w:val="Textonotapie"/>
        <w:jc w:val="both"/>
        <w:rPr>
          <w:rFonts w:ascii="Arial" w:hAnsi="Arial" w:cs="Arial"/>
        </w:rPr>
      </w:pPr>
      <w:r w:rsidRPr="00924AF1">
        <w:rPr>
          <w:rStyle w:val="Refdenotaalpie"/>
          <w:rFonts w:ascii="Arial" w:hAnsi="Arial" w:cs="Arial"/>
        </w:rPr>
        <w:footnoteRef/>
      </w:r>
      <w:r w:rsidRPr="00924AF1">
        <w:rPr>
          <w:rFonts w:ascii="Arial" w:hAnsi="Arial" w:cs="Arial"/>
        </w:rPr>
        <w:t xml:space="preserve"> ROXIN, Claus, </w:t>
      </w:r>
      <w:r w:rsidRPr="00924AF1">
        <w:rPr>
          <w:rFonts w:ascii="Arial" w:hAnsi="Arial" w:cs="Arial"/>
          <w:i/>
        </w:rPr>
        <w:t>Derecho Procesal Penal</w:t>
      </w:r>
      <w:r w:rsidRPr="00924AF1">
        <w:rPr>
          <w:rFonts w:ascii="Arial" w:hAnsi="Arial" w:cs="Arial"/>
        </w:rPr>
        <w:t>, trad. Córdoba, Gabriela y Pastor, Daniel, Editores del Puerto, Bs. As., 2000, p. 41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FCB"/>
    <w:rsid w:val="00235B5B"/>
    <w:rsid w:val="00342FCB"/>
    <w:rsid w:val="004A2C31"/>
    <w:rsid w:val="008459C9"/>
    <w:rsid w:val="00911AEC"/>
    <w:rsid w:val="00AE4BC4"/>
    <w:rsid w:val="00B61BD2"/>
    <w:rsid w:val="00E9684A"/>
    <w:rsid w:val="00F853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FCB"/>
    <w:pPr>
      <w:spacing w:after="160" w:line="259"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342FCB"/>
    <w:pPr>
      <w:spacing w:after="0" w:line="240" w:lineRule="auto"/>
    </w:pPr>
    <w:rPr>
      <w:sz w:val="20"/>
      <w:szCs w:val="20"/>
    </w:rPr>
  </w:style>
  <w:style w:type="character" w:customStyle="1" w:styleId="TextonotapieCar">
    <w:name w:val="Texto nota pie Car"/>
    <w:basedOn w:val="Fuentedeprrafopredeter"/>
    <w:link w:val="Textonotapie"/>
    <w:uiPriority w:val="99"/>
    <w:rsid w:val="00342FCB"/>
    <w:rPr>
      <w:sz w:val="20"/>
      <w:szCs w:val="20"/>
      <w:lang w:val="es-ES"/>
    </w:rPr>
  </w:style>
  <w:style w:type="character" w:styleId="Refdenotaalpie">
    <w:name w:val="footnote reference"/>
    <w:basedOn w:val="Fuentedeprrafopredeter"/>
    <w:uiPriority w:val="99"/>
    <w:semiHidden/>
    <w:unhideWhenUsed/>
    <w:rsid w:val="00342FCB"/>
    <w:rPr>
      <w:vertAlign w:val="superscript"/>
    </w:rPr>
  </w:style>
  <w:style w:type="paragraph" w:customStyle="1" w:styleId="TITULOBE">
    <w:name w:val="TITULO BE"/>
    <w:basedOn w:val="Normal"/>
    <w:link w:val="TITULOBECar"/>
    <w:qFormat/>
    <w:rsid w:val="00342FCB"/>
    <w:pPr>
      <w:tabs>
        <w:tab w:val="left" w:pos="7889"/>
      </w:tabs>
      <w:spacing w:after="120" w:line="360" w:lineRule="auto"/>
      <w:jc w:val="center"/>
    </w:pPr>
    <w:rPr>
      <w:rFonts w:ascii="Arial" w:eastAsiaTheme="majorEastAsia" w:hAnsi="Arial" w:cs="Arial"/>
      <w:b/>
      <w:sz w:val="24"/>
      <w:szCs w:val="24"/>
    </w:rPr>
  </w:style>
  <w:style w:type="character" w:customStyle="1" w:styleId="TITULOBECar">
    <w:name w:val="TITULO BE Car"/>
    <w:basedOn w:val="Fuentedeprrafopredeter"/>
    <w:link w:val="TITULOBE"/>
    <w:rsid w:val="00342FCB"/>
    <w:rPr>
      <w:rFonts w:ascii="Arial" w:eastAsiaTheme="majorEastAsia" w:hAnsi="Arial" w:cs="Arial"/>
      <w:b/>
      <w:sz w:val="24"/>
      <w:szCs w:val="24"/>
      <w:lang w:val="es-ES"/>
    </w:rPr>
  </w:style>
  <w:style w:type="paragraph" w:styleId="Prrafodelista">
    <w:name w:val="List Paragraph"/>
    <w:basedOn w:val="Normal"/>
    <w:uiPriority w:val="34"/>
    <w:qFormat/>
    <w:rsid w:val="008459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FCB"/>
    <w:pPr>
      <w:spacing w:after="160" w:line="259" w:lineRule="auto"/>
    </w:pPr>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342FCB"/>
    <w:pPr>
      <w:spacing w:after="0" w:line="240" w:lineRule="auto"/>
    </w:pPr>
    <w:rPr>
      <w:sz w:val="20"/>
      <w:szCs w:val="20"/>
    </w:rPr>
  </w:style>
  <w:style w:type="character" w:customStyle="1" w:styleId="TextonotapieCar">
    <w:name w:val="Texto nota pie Car"/>
    <w:basedOn w:val="Fuentedeprrafopredeter"/>
    <w:link w:val="Textonotapie"/>
    <w:uiPriority w:val="99"/>
    <w:rsid w:val="00342FCB"/>
    <w:rPr>
      <w:sz w:val="20"/>
      <w:szCs w:val="20"/>
      <w:lang w:val="es-ES"/>
    </w:rPr>
  </w:style>
  <w:style w:type="character" w:styleId="Refdenotaalpie">
    <w:name w:val="footnote reference"/>
    <w:basedOn w:val="Fuentedeprrafopredeter"/>
    <w:uiPriority w:val="99"/>
    <w:semiHidden/>
    <w:unhideWhenUsed/>
    <w:rsid w:val="00342FCB"/>
    <w:rPr>
      <w:vertAlign w:val="superscript"/>
    </w:rPr>
  </w:style>
  <w:style w:type="paragraph" w:customStyle="1" w:styleId="TITULOBE">
    <w:name w:val="TITULO BE"/>
    <w:basedOn w:val="Normal"/>
    <w:link w:val="TITULOBECar"/>
    <w:qFormat/>
    <w:rsid w:val="00342FCB"/>
    <w:pPr>
      <w:tabs>
        <w:tab w:val="left" w:pos="7889"/>
      </w:tabs>
      <w:spacing w:after="120" w:line="360" w:lineRule="auto"/>
      <w:jc w:val="center"/>
    </w:pPr>
    <w:rPr>
      <w:rFonts w:ascii="Arial" w:eastAsiaTheme="majorEastAsia" w:hAnsi="Arial" w:cs="Arial"/>
      <w:b/>
      <w:sz w:val="24"/>
      <w:szCs w:val="24"/>
    </w:rPr>
  </w:style>
  <w:style w:type="character" w:customStyle="1" w:styleId="TITULOBECar">
    <w:name w:val="TITULO BE Car"/>
    <w:basedOn w:val="Fuentedeprrafopredeter"/>
    <w:link w:val="TITULOBE"/>
    <w:rsid w:val="00342FCB"/>
    <w:rPr>
      <w:rFonts w:ascii="Arial" w:eastAsiaTheme="majorEastAsia" w:hAnsi="Arial" w:cs="Arial"/>
      <w:b/>
      <w:sz w:val="24"/>
      <w:szCs w:val="24"/>
      <w:lang w:val="es-ES"/>
    </w:rPr>
  </w:style>
  <w:style w:type="paragraph" w:styleId="Prrafodelista">
    <w:name w:val="List Paragraph"/>
    <w:basedOn w:val="Normal"/>
    <w:uiPriority w:val="34"/>
    <w:qFormat/>
    <w:rsid w:val="008459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02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doc.com.ar,marz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42375-D4E5-4816-BBEB-4FE83E110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8240</Words>
  <Characters>45323</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53457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Betiana L. Ferrari</dc:creator>
  <cp:lastModifiedBy>Betiana L. Ferrari</cp:lastModifiedBy>
  <cp:revision>2</cp:revision>
  <dcterms:created xsi:type="dcterms:W3CDTF">2022-12-01T23:06:00Z</dcterms:created>
  <dcterms:modified xsi:type="dcterms:W3CDTF">2022-12-01T23:06:00Z</dcterms:modified>
</cp:coreProperties>
</file>