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5570A" w14:textId="77777777" w:rsidR="00370B27" w:rsidRDefault="00370B27" w:rsidP="00370B27">
      <w:pPr>
        <w:spacing w:after="0" w:line="480" w:lineRule="auto"/>
        <w:jc w:val="both"/>
        <w:rPr>
          <w:rFonts w:cstheme="minorHAnsi"/>
          <w:b/>
          <w:bCs/>
        </w:rPr>
      </w:pPr>
      <w:r w:rsidRPr="002525EA">
        <w:rPr>
          <w:rFonts w:cstheme="minorHAnsi"/>
          <w:b/>
          <w:bCs/>
        </w:rPr>
        <w:t>LA MORALIDAD EN EL DEBATE, FRENTE A LA NORMATIVA IMPEDITIVA DE LA DEBIDA DEFENSA</w:t>
      </w:r>
    </w:p>
    <w:p w14:paraId="753D54C0" w14:textId="59A4C8FB" w:rsidR="002525EA" w:rsidRDefault="002525EA" w:rsidP="002525EA">
      <w:pPr>
        <w:spacing w:after="0" w:line="480" w:lineRule="auto"/>
        <w:jc w:val="right"/>
        <w:rPr>
          <w:rFonts w:cstheme="minorHAnsi"/>
          <w:b/>
          <w:bCs/>
        </w:rPr>
      </w:pPr>
      <w:r>
        <w:rPr>
          <w:rFonts w:cstheme="minorHAnsi"/>
          <w:b/>
          <w:bCs/>
        </w:rPr>
        <w:t>por Manuel I. Duran</w:t>
      </w:r>
    </w:p>
    <w:p w14:paraId="00E91CF0" w14:textId="7CE2EB9A" w:rsidR="00370B27" w:rsidRPr="002525EA" w:rsidRDefault="00370B27" w:rsidP="00370B27">
      <w:pPr>
        <w:spacing w:after="0" w:line="480" w:lineRule="auto"/>
        <w:jc w:val="both"/>
        <w:rPr>
          <w:rFonts w:cstheme="minorHAnsi"/>
          <w:b/>
          <w:bCs/>
        </w:rPr>
      </w:pPr>
      <w:r w:rsidRPr="002525EA">
        <w:rPr>
          <w:rFonts w:cstheme="minorHAnsi"/>
          <w:b/>
          <w:bCs/>
        </w:rPr>
        <w:t>1. Introducción</w:t>
      </w:r>
    </w:p>
    <w:p w14:paraId="690B11B5" w14:textId="4B7636AC" w:rsidR="00370B27" w:rsidRPr="002525EA" w:rsidRDefault="00370B27" w:rsidP="00370B27">
      <w:pPr>
        <w:spacing w:after="0" w:line="480" w:lineRule="auto"/>
        <w:jc w:val="both"/>
        <w:rPr>
          <w:rFonts w:cstheme="minorHAnsi"/>
        </w:rPr>
      </w:pPr>
      <w:r w:rsidRPr="002525EA">
        <w:rPr>
          <w:rFonts w:cstheme="minorHAnsi"/>
        </w:rPr>
        <w:t>El análisis del proceso judicial no puede sustraerse del legado de Alberdi. E</w:t>
      </w:r>
      <w:r w:rsidR="003709C3">
        <w:rPr>
          <w:rFonts w:cstheme="minorHAnsi"/>
        </w:rPr>
        <w:t>l autor de</w:t>
      </w:r>
      <w:r w:rsidRPr="002525EA">
        <w:rPr>
          <w:rFonts w:cstheme="minorHAnsi"/>
        </w:rPr>
        <w:t xml:space="preserve"> </w:t>
      </w:r>
      <w:r w:rsidRPr="003709C3">
        <w:rPr>
          <w:rFonts w:cstheme="minorHAnsi"/>
          <w:i/>
          <w:iCs/>
        </w:rPr>
        <w:t>Bases y puntos de partida</w:t>
      </w:r>
      <w:r w:rsidR="003709C3">
        <w:rPr>
          <w:rFonts w:cstheme="minorHAnsi"/>
        </w:rPr>
        <w:t>…</w:t>
      </w:r>
      <w:r w:rsidRPr="002525EA">
        <w:rPr>
          <w:rFonts w:cstheme="minorHAnsi"/>
        </w:rPr>
        <w:t xml:space="preserve"> en El crimen de la guerra </w:t>
      </w:r>
      <w:r w:rsidR="003709C3">
        <w:rPr>
          <w:rFonts w:cstheme="minorHAnsi"/>
        </w:rPr>
        <w:t>sostiene</w:t>
      </w:r>
      <w:r w:rsidRPr="002525EA">
        <w:rPr>
          <w:rFonts w:cstheme="minorHAnsi"/>
        </w:rPr>
        <w:t xml:space="preserve"> con contundencia que “la justicia es ajena de interés y neutral en el debate sometido a su fallo”</w:t>
      </w:r>
      <w:r w:rsidR="00DF3B10">
        <w:rPr>
          <w:rStyle w:val="Refdenotaalpie"/>
          <w:rFonts w:cstheme="minorHAnsi"/>
        </w:rPr>
        <w:footnoteReference w:id="1"/>
      </w:r>
      <w:r w:rsidRPr="002525EA">
        <w:rPr>
          <w:rFonts w:cstheme="minorHAnsi"/>
        </w:rPr>
        <w:t xml:space="preserve">. Ese ideario inspiró la Constitución de 1853, cuyo art. 28 declara que los </w:t>
      </w:r>
      <w:r w:rsidRPr="003709C3">
        <w:rPr>
          <w:rFonts w:cstheme="minorHAnsi"/>
          <w:i/>
          <w:iCs/>
        </w:rPr>
        <w:t>principios</w:t>
      </w:r>
      <w:r w:rsidRPr="002525EA">
        <w:rPr>
          <w:rFonts w:cstheme="minorHAnsi"/>
        </w:rPr>
        <w:t xml:space="preserve"> y garantías allí reconocidos no pueden ser alterados por las leyes que reglamentan su ejercicio, ni vaciados por interpretaciones que los contradigan. No es azaroso que en </w:t>
      </w:r>
      <w:r w:rsidR="00DF3B10">
        <w:rPr>
          <w:rFonts w:cstheme="minorHAnsi"/>
        </w:rPr>
        <w:t>los</w:t>
      </w:r>
      <w:r w:rsidRPr="002525EA">
        <w:rPr>
          <w:rFonts w:cstheme="minorHAnsi"/>
        </w:rPr>
        <w:t xml:space="preserve"> arts. 16, 17, 18 y 19 se consagren la igualdad ante la ley, la defensa en juicio, la inviolabilidad de la propiedad y la libertad personal.</w:t>
      </w:r>
    </w:p>
    <w:p w14:paraId="3106AAF1" w14:textId="7C8FC83C" w:rsidR="002525EA" w:rsidRPr="002525EA" w:rsidRDefault="002525EA" w:rsidP="00370B27">
      <w:pPr>
        <w:spacing w:after="0" w:line="480" w:lineRule="auto"/>
        <w:jc w:val="both"/>
        <w:rPr>
          <w:rFonts w:cstheme="minorHAnsi"/>
        </w:rPr>
      </w:pPr>
      <w:r w:rsidRPr="002525EA">
        <w:rPr>
          <w:rFonts w:cstheme="minorHAnsi"/>
        </w:rPr>
        <w:t xml:space="preserve">“Bases y </w:t>
      </w:r>
      <w:r w:rsidRPr="003709C3">
        <w:rPr>
          <w:rFonts w:cstheme="minorHAnsi"/>
          <w:i/>
          <w:iCs/>
        </w:rPr>
        <w:t>puntos de partida</w:t>
      </w:r>
      <w:r w:rsidRPr="002525EA">
        <w:rPr>
          <w:rFonts w:cstheme="minorHAnsi"/>
        </w:rPr>
        <w:t xml:space="preserve">…”. Los procesalistas serios plantean que los principios procesal son “puntos de partida” y que la normativa procesal sólo puede </w:t>
      </w:r>
      <w:r w:rsidR="003709C3">
        <w:rPr>
          <w:rFonts w:cstheme="minorHAnsi"/>
        </w:rPr>
        <w:t xml:space="preserve">ser atendida </w:t>
      </w:r>
      <w:r w:rsidRPr="002525EA">
        <w:rPr>
          <w:rFonts w:cstheme="minorHAnsi"/>
        </w:rPr>
        <w:t>a la luz de las garantías constitucionales.</w:t>
      </w:r>
      <w:r w:rsidRPr="002525EA">
        <w:rPr>
          <w:rStyle w:val="Refdenotaalpie"/>
          <w:rFonts w:cstheme="minorHAnsi"/>
        </w:rPr>
        <w:footnoteReference w:id="2"/>
      </w:r>
    </w:p>
    <w:p w14:paraId="3CCC6C21" w14:textId="77777777" w:rsidR="00370B27" w:rsidRPr="002525EA" w:rsidRDefault="00370B27" w:rsidP="00370B27">
      <w:pPr>
        <w:spacing w:after="0" w:line="480" w:lineRule="auto"/>
        <w:jc w:val="both"/>
        <w:rPr>
          <w:rFonts w:cstheme="minorHAnsi"/>
        </w:rPr>
      </w:pPr>
      <w:r w:rsidRPr="002525EA">
        <w:rPr>
          <w:rFonts w:cstheme="minorHAnsi"/>
        </w:rPr>
        <w:t xml:space="preserve">El proceso judicial es, en su esencia, un cauce institucionalizado de libertad: un método pacífico y civilizado de debate entre antagonistas en perfecto pie de igualdad, ante un juez imparcial. Su grandeza radica en </w:t>
      </w:r>
      <w:r w:rsidRPr="003709C3">
        <w:rPr>
          <w:rFonts w:cstheme="minorHAnsi"/>
          <w:i/>
          <w:iCs/>
        </w:rPr>
        <w:t>excluir la fuerza</w:t>
      </w:r>
      <w:r w:rsidRPr="002525EA">
        <w:rPr>
          <w:rFonts w:cstheme="minorHAnsi"/>
        </w:rPr>
        <w:t>, en organizar la confrontación dentro de reglas y en garantizar que la sentencia no sea fruto del poder sino de la razón. Allí donde la libertad de los justiciables se sofoca, lo que queda ya no es proceso sino un mero procedimiento vacío, incapaz de producir justicia.</w:t>
      </w:r>
    </w:p>
    <w:p w14:paraId="51A31A72" w14:textId="2C8FAB6B" w:rsidR="00370B27" w:rsidRPr="002525EA" w:rsidRDefault="00370B27" w:rsidP="00370B27">
      <w:pPr>
        <w:spacing w:after="0" w:line="480" w:lineRule="auto"/>
        <w:jc w:val="both"/>
        <w:rPr>
          <w:rFonts w:cstheme="minorHAnsi"/>
        </w:rPr>
      </w:pPr>
      <w:r w:rsidRPr="002525EA">
        <w:rPr>
          <w:rFonts w:cstheme="minorHAnsi"/>
        </w:rPr>
        <w:t xml:space="preserve">No se trata de una visión puramente técnica. </w:t>
      </w:r>
      <w:r w:rsidR="00093F6B">
        <w:rPr>
          <w:rFonts w:cstheme="minorHAnsi"/>
        </w:rPr>
        <w:t>E</w:t>
      </w:r>
      <w:r w:rsidRPr="002525EA">
        <w:rPr>
          <w:rFonts w:cstheme="minorHAnsi"/>
        </w:rPr>
        <w:t xml:space="preserve">l proceso no </w:t>
      </w:r>
      <w:r w:rsidR="00093F6B">
        <w:rPr>
          <w:rFonts w:cstheme="minorHAnsi"/>
        </w:rPr>
        <w:t>es</w:t>
      </w:r>
      <w:r w:rsidRPr="002525EA">
        <w:rPr>
          <w:rFonts w:cstheme="minorHAnsi"/>
        </w:rPr>
        <w:t xml:space="preserve"> una concesión administrativa ni una gracia que se otorga: es un derecho humano fundamental, garantía de la libertad y espacio de </w:t>
      </w:r>
      <w:r w:rsidRPr="002525EA">
        <w:rPr>
          <w:rFonts w:cstheme="minorHAnsi"/>
        </w:rPr>
        <w:lastRenderedPageBreak/>
        <w:t>realización de los demás derechos. Cualquier normativa que impida su ejercicio debido erosiona la base misma del sistema republicano.</w:t>
      </w:r>
      <w:r w:rsidR="003709C3">
        <w:rPr>
          <w:rStyle w:val="Refdenotaalpie"/>
          <w:rFonts w:cstheme="minorHAnsi"/>
        </w:rPr>
        <w:footnoteReference w:id="3"/>
      </w:r>
    </w:p>
    <w:p w14:paraId="490942BE" w14:textId="7AEDCC78" w:rsidR="002525EA" w:rsidRPr="002525EA" w:rsidRDefault="002525EA" w:rsidP="00370B27">
      <w:pPr>
        <w:spacing w:after="0" w:line="480" w:lineRule="auto"/>
        <w:jc w:val="both"/>
        <w:rPr>
          <w:rFonts w:cstheme="minorHAnsi"/>
        </w:rPr>
      </w:pPr>
      <w:r w:rsidRPr="002525EA">
        <w:rPr>
          <w:rFonts w:cstheme="minorHAnsi"/>
        </w:rPr>
        <w:t>El objeto de esta ponencia es analizar la moralidad procesal frente a la creciente tendencia a imponer a los litigantes deberes de colaboración que desnaturalizan el contradictorio</w:t>
      </w:r>
      <w:r w:rsidR="003709C3">
        <w:rPr>
          <w:rFonts w:cstheme="minorHAnsi"/>
        </w:rPr>
        <w:t xml:space="preserve"> e impiden que se defiendan levantando sus respectivas cargas como mejor les parezca. </w:t>
      </w:r>
    </w:p>
    <w:p w14:paraId="6B410C58" w14:textId="77777777" w:rsidR="002525EA" w:rsidRPr="002525EA" w:rsidRDefault="002525EA" w:rsidP="00370B27">
      <w:pPr>
        <w:spacing w:after="0" w:line="480" w:lineRule="auto"/>
        <w:jc w:val="both"/>
        <w:rPr>
          <w:rFonts w:cstheme="minorHAnsi"/>
        </w:rPr>
      </w:pPr>
    </w:p>
    <w:p w14:paraId="4F898E18" w14:textId="77777777" w:rsidR="00370B27" w:rsidRPr="002525EA" w:rsidRDefault="00370B27" w:rsidP="00370B27">
      <w:pPr>
        <w:spacing w:after="0" w:line="480" w:lineRule="auto"/>
        <w:jc w:val="both"/>
        <w:rPr>
          <w:rFonts w:cstheme="minorHAnsi"/>
          <w:b/>
          <w:bCs/>
        </w:rPr>
      </w:pPr>
      <w:r w:rsidRPr="002525EA">
        <w:rPr>
          <w:rFonts w:cstheme="minorHAnsi"/>
          <w:b/>
          <w:bCs/>
        </w:rPr>
        <w:t>2. El principio de moralidad procesal</w:t>
      </w:r>
    </w:p>
    <w:p w14:paraId="56B28708" w14:textId="502CF75B" w:rsidR="00370B27" w:rsidRPr="002525EA" w:rsidRDefault="00370B27" w:rsidP="00370B27">
      <w:pPr>
        <w:spacing w:after="0" w:line="480" w:lineRule="auto"/>
        <w:jc w:val="both"/>
        <w:rPr>
          <w:rFonts w:cstheme="minorHAnsi"/>
        </w:rPr>
      </w:pPr>
      <w:r w:rsidRPr="002525EA">
        <w:rPr>
          <w:rFonts w:cstheme="minorHAnsi"/>
        </w:rPr>
        <w:t xml:space="preserve">Adolfo Alvarado Velloso ha señalado que </w:t>
      </w:r>
      <w:r w:rsidRPr="00196C98">
        <w:rPr>
          <w:rFonts w:cstheme="minorHAnsi"/>
          <w:i/>
          <w:iCs/>
        </w:rPr>
        <w:t>los principios</w:t>
      </w:r>
      <w:r w:rsidRPr="002525EA">
        <w:rPr>
          <w:rFonts w:cstheme="minorHAnsi"/>
        </w:rPr>
        <w:t xml:space="preserve"> del proceso son cinco: imparcialidad del juzgador, igualdad de las partes, transitoriedad, eficacia y moralidad</w:t>
      </w:r>
      <w:r w:rsidR="0055507A">
        <w:rPr>
          <w:rStyle w:val="Refdenotaalpie"/>
          <w:rFonts w:cstheme="minorHAnsi"/>
        </w:rPr>
        <w:footnoteReference w:id="4"/>
      </w:r>
      <w:r w:rsidRPr="002525EA">
        <w:rPr>
          <w:rFonts w:cstheme="minorHAnsi"/>
        </w:rPr>
        <w:t xml:space="preserve">. Ellos son </w:t>
      </w:r>
      <w:r w:rsidRPr="00196C98">
        <w:rPr>
          <w:rFonts w:cstheme="minorHAnsi"/>
          <w:i/>
          <w:iCs/>
        </w:rPr>
        <w:t>puntos de partida</w:t>
      </w:r>
      <w:r w:rsidRPr="002525EA">
        <w:rPr>
          <w:rFonts w:cstheme="minorHAnsi"/>
        </w:rPr>
        <w:t xml:space="preserve"> sin los cuales no existe proceso sino un trámite desprovisto de autoridad.</w:t>
      </w:r>
    </w:p>
    <w:p w14:paraId="1D6FD13C" w14:textId="77777777" w:rsidR="00370B27" w:rsidRPr="002525EA" w:rsidRDefault="00370B27" w:rsidP="00370B27">
      <w:pPr>
        <w:spacing w:after="0" w:line="480" w:lineRule="auto"/>
        <w:jc w:val="both"/>
        <w:rPr>
          <w:rFonts w:cstheme="minorHAnsi"/>
        </w:rPr>
      </w:pPr>
      <w:r w:rsidRPr="002525EA">
        <w:rPr>
          <w:rFonts w:cstheme="minorHAnsi"/>
        </w:rPr>
        <w:t xml:space="preserve">Entre ellos, la moralidad procesal ocupa un lugar eminente. Es el baluarte que resguarda al proceso de la irrupción de toda fuerza ilegítima. No se confunde con un ilusorio deber de fraternidad hacia el adversario, pues su misión es </w:t>
      </w:r>
      <w:proofErr w:type="gramStart"/>
      <w:r w:rsidRPr="002525EA">
        <w:rPr>
          <w:rFonts w:cstheme="minorHAnsi"/>
        </w:rPr>
        <w:t>más alta y más noble</w:t>
      </w:r>
      <w:proofErr w:type="gramEnd"/>
      <w:r w:rsidRPr="002525EA">
        <w:rPr>
          <w:rFonts w:cstheme="minorHAnsi"/>
        </w:rPr>
        <w:t>: proscribir la artería, vedar la traición y preservar la pureza del litigio como escenario donde se confrontan, con armas legítimas, los derechos en pugna.</w:t>
      </w:r>
    </w:p>
    <w:p w14:paraId="460E8F08" w14:textId="3FAC6EE1" w:rsidR="002525EA" w:rsidRPr="002525EA" w:rsidRDefault="00370B27" w:rsidP="00370B27">
      <w:pPr>
        <w:spacing w:after="0" w:line="480" w:lineRule="auto"/>
        <w:jc w:val="both"/>
        <w:rPr>
          <w:rFonts w:cstheme="minorHAnsi"/>
        </w:rPr>
      </w:pPr>
      <w:r w:rsidRPr="002525EA">
        <w:rPr>
          <w:rFonts w:cstheme="minorHAnsi"/>
        </w:rPr>
        <w:t>En esta clave, la moralidad procesal no impone a las partes la obligación positiva de conducirse como magnánimos, corteses, generosos, hidalgos y respetables caballeros, ni de socorrer al adversario. Les exige, con igual firmeza, abstenerse de degradar el pleito con fraudes, arterías o maquinaciones indignas. Se trata de impedir que el fragor de la contienda degenere en atropello.</w:t>
      </w:r>
      <w:r w:rsidR="005C507E">
        <w:rPr>
          <w:rFonts w:cstheme="minorHAnsi"/>
        </w:rPr>
        <w:t xml:space="preserve"> </w:t>
      </w:r>
      <w:r w:rsidR="002525EA" w:rsidRPr="002525EA">
        <w:rPr>
          <w:rFonts w:cstheme="minorHAnsi"/>
        </w:rPr>
        <w:t>Nótese que no es igual imponer un deber de litigar de buena fe que vedar la litigación de mala fe.</w:t>
      </w:r>
    </w:p>
    <w:p w14:paraId="3BB0C092" w14:textId="0D593D34" w:rsidR="00370B27" w:rsidRPr="002525EA" w:rsidRDefault="00370B27" w:rsidP="00370B27">
      <w:pPr>
        <w:spacing w:after="0" w:line="480" w:lineRule="auto"/>
        <w:jc w:val="both"/>
        <w:rPr>
          <w:rFonts w:cstheme="minorHAnsi"/>
        </w:rPr>
      </w:pPr>
      <w:r w:rsidRPr="002525EA">
        <w:rPr>
          <w:rFonts w:cstheme="minorHAnsi"/>
        </w:rPr>
        <w:t xml:space="preserve">El proceso </w:t>
      </w:r>
      <w:r w:rsidRPr="0055507A">
        <w:rPr>
          <w:rFonts w:cstheme="minorHAnsi"/>
          <w:i/>
          <w:iCs/>
        </w:rPr>
        <w:t xml:space="preserve">no es una </w:t>
      </w:r>
      <w:r w:rsidR="005C507E" w:rsidRPr="0055507A">
        <w:rPr>
          <w:rFonts w:cstheme="minorHAnsi"/>
          <w:i/>
          <w:iCs/>
        </w:rPr>
        <w:t xml:space="preserve">feroz </w:t>
      </w:r>
      <w:r w:rsidRPr="0055507A">
        <w:rPr>
          <w:rFonts w:cstheme="minorHAnsi"/>
          <w:i/>
          <w:iCs/>
        </w:rPr>
        <w:t>guerra sin reglas</w:t>
      </w:r>
      <w:r w:rsidRPr="002525EA">
        <w:rPr>
          <w:rFonts w:cstheme="minorHAnsi"/>
        </w:rPr>
        <w:t xml:space="preserve"> ni una hermandad edificada en la fraternidad: es contradicción reglada, método racional que permite al actor reclamar y al demandado resistir, cada </w:t>
      </w:r>
      <w:r w:rsidRPr="002525EA">
        <w:rPr>
          <w:rFonts w:cstheme="minorHAnsi"/>
        </w:rPr>
        <w:lastRenderedPageBreak/>
        <w:t xml:space="preserve">uno con sus pruebas y alegaciones. La moralidad procesal </w:t>
      </w:r>
      <w:r w:rsidR="005C507E">
        <w:rPr>
          <w:rFonts w:cstheme="minorHAnsi"/>
        </w:rPr>
        <w:t xml:space="preserve">no </w:t>
      </w:r>
      <w:r w:rsidRPr="002525EA">
        <w:rPr>
          <w:rFonts w:cstheme="minorHAnsi"/>
        </w:rPr>
        <w:t xml:space="preserve">se satisface </w:t>
      </w:r>
      <w:r w:rsidR="005C507E" w:rsidRPr="002525EA">
        <w:rPr>
          <w:rFonts w:cstheme="minorHAnsi"/>
        </w:rPr>
        <w:t>cuando se sacrifica la defensa en nombre de un ilusorio deber de cooperación</w:t>
      </w:r>
      <w:r w:rsidR="005C507E">
        <w:rPr>
          <w:rFonts w:cstheme="minorHAnsi"/>
        </w:rPr>
        <w:t xml:space="preserve">. </w:t>
      </w:r>
    </w:p>
    <w:p w14:paraId="2430F9E3" w14:textId="77777777" w:rsidR="002525EA" w:rsidRPr="002525EA" w:rsidRDefault="002525EA" w:rsidP="00370B27">
      <w:pPr>
        <w:spacing w:after="0" w:line="480" w:lineRule="auto"/>
        <w:jc w:val="both"/>
        <w:rPr>
          <w:rFonts w:cstheme="minorHAnsi"/>
        </w:rPr>
      </w:pPr>
    </w:p>
    <w:p w14:paraId="3B420C26" w14:textId="3CD50A4B" w:rsidR="00370B27" w:rsidRPr="002525EA" w:rsidRDefault="00370B27" w:rsidP="00370B27">
      <w:pPr>
        <w:spacing w:after="0" w:line="480" w:lineRule="auto"/>
        <w:jc w:val="both"/>
        <w:rPr>
          <w:rFonts w:cstheme="minorHAnsi"/>
          <w:b/>
          <w:bCs/>
        </w:rPr>
      </w:pPr>
      <w:r w:rsidRPr="002525EA">
        <w:rPr>
          <w:rFonts w:cstheme="minorHAnsi"/>
          <w:b/>
          <w:bCs/>
        </w:rPr>
        <w:t>3. Cargas, deberes y obligaciones</w:t>
      </w:r>
    </w:p>
    <w:p w14:paraId="710761EB" w14:textId="4B35B019" w:rsidR="00370B27" w:rsidRPr="002525EA" w:rsidRDefault="00370B27" w:rsidP="00370B27">
      <w:pPr>
        <w:spacing w:after="0" w:line="480" w:lineRule="auto"/>
        <w:jc w:val="both"/>
        <w:rPr>
          <w:rFonts w:cstheme="minorHAnsi"/>
        </w:rPr>
      </w:pPr>
      <w:r w:rsidRPr="002525EA">
        <w:rPr>
          <w:rFonts w:cstheme="minorHAnsi"/>
        </w:rPr>
        <w:t xml:space="preserve">La carga procesal constituye una pieza </w:t>
      </w:r>
      <w:r w:rsidR="00511514">
        <w:rPr>
          <w:rFonts w:cstheme="minorHAnsi"/>
        </w:rPr>
        <w:t>medular</w:t>
      </w:r>
      <w:r w:rsidRPr="002525EA">
        <w:rPr>
          <w:rFonts w:cstheme="minorHAnsi"/>
        </w:rPr>
        <w:t xml:space="preserve"> de la arquitectura del proceso. Es, antes que nada, un acto de libertad responsable: la parte elige, decide y soporta las consecuencias. Allí se entrelazan autonomía, responsabilidad y estrategia, configurando un abanico de caminos igualmente lícitos.</w:t>
      </w:r>
    </w:p>
    <w:p w14:paraId="33198A15" w14:textId="77777777" w:rsidR="00370B27" w:rsidRPr="002525EA" w:rsidRDefault="00370B27" w:rsidP="00370B27">
      <w:pPr>
        <w:spacing w:after="0" w:line="480" w:lineRule="auto"/>
        <w:jc w:val="both"/>
        <w:rPr>
          <w:rFonts w:cstheme="minorHAnsi"/>
        </w:rPr>
      </w:pPr>
      <w:r w:rsidRPr="002525EA">
        <w:rPr>
          <w:rFonts w:cstheme="minorHAnsi"/>
        </w:rPr>
        <w:t>Frente a la intimación de contestar demanda, el demandado puede optar por defenderse, oponer excepciones, reconvenir, allanarse o incluso abstenerse de toda actividad. Todas son conductas legítimas, aunque con consecuencias diversas. Esa libertad de opción revela que la carga no es un deber coactivo, sino una invitación a actuar en defensa de un interés propio.</w:t>
      </w:r>
    </w:p>
    <w:p w14:paraId="3F367016" w14:textId="43BF213D" w:rsidR="00370B27" w:rsidRPr="002525EA" w:rsidRDefault="00370B27" w:rsidP="00370B27">
      <w:pPr>
        <w:spacing w:after="0" w:line="480" w:lineRule="auto"/>
        <w:jc w:val="both"/>
        <w:rPr>
          <w:rFonts w:cstheme="minorHAnsi"/>
        </w:rPr>
      </w:pPr>
      <w:r w:rsidRPr="002525EA">
        <w:rPr>
          <w:rFonts w:cstheme="minorHAnsi"/>
        </w:rPr>
        <w:t xml:space="preserve">De allí que resulte alarmante el extravío contemporáneo. La llamada “carga probatoria dinámica” ilustra la mutación encubierta: bajo un ropaje seductor, lo que era facultad deviene </w:t>
      </w:r>
      <w:r w:rsidR="002525EA">
        <w:rPr>
          <w:rFonts w:cstheme="minorHAnsi"/>
        </w:rPr>
        <w:t>deber</w:t>
      </w:r>
      <w:r w:rsidRPr="002525EA">
        <w:rPr>
          <w:rFonts w:cstheme="minorHAnsi"/>
        </w:rPr>
        <w:t xml:space="preserve"> y lo que era carga se convierte en coacción. El litigante se ve forzado a justificar por qué no probó lo que nunca le correspondía, bajo pena de perder el pleito. El juez, que debía ser garante imparcial, se transmuta en censor de conductas, desnaturalizando el contradictorio.</w:t>
      </w:r>
    </w:p>
    <w:p w14:paraId="3F066557" w14:textId="62ED6571" w:rsidR="00511514" w:rsidRDefault="00511514" w:rsidP="00370B27">
      <w:pPr>
        <w:spacing w:after="0" w:line="480" w:lineRule="auto"/>
        <w:jc w:val="both"/>
        <w:rPr>
          <w:rFonts w:cstheme="minorHAnsi"/>
        </w:rPr>
      </w:pPr>
      <w:r w:rsidRPr="00511514">
        <w:rPr>
          <w:rFonts w:cstheme="minorHAnsi"/>
        </w:rPr>
        <w:t>Este desplazamiento conceptual dista de ser una cuestión menor. Implica, en realidad, la sustitución de un modelo adversarial y garantista por otro de sesgo paternalista, en el cual el juez, bajo el pretexto de “moralizar” el debate, se inmiscuye con exceso en el ámbito propio de las partes. Se invoca, como coartada, un supuesto deber de colaboración; se declama que el proceso constituye una empresa común; y con tales fórmulas, de apariencia virtuosa, se ahoga la autonomía de los contendientes. De este modo, la carga —que en su esencia encarna libertad y responsabilidad— se degrada hasta convertirse en un mero instrumento de control judicial.</w:t>
      </w:r>
      <w:r w:rsidR="0055507A">
        <w:rPr>
          <w:rFonts w:cstheme="minorHAnsi"/>
        </w:rPr>
        <w:t xml:space="preserve"> </w:t>
      </w:r>
      <w:r w:rsidRPr="00511514">
        <w:rPr>
          <w:rFonts w:cstheme="minorHAnsi"/>
        </w:rPr>
        <w:t xml:space="preserve">La confusión alcanza su punto más álgido cuando, a impulso de esta corriente, las cargas procesales son transfiguradas en deberes éticos indeterminados o en supuestas obligaciones de solidaridad con el adversario. Con el disfraz de la moralidad se pretende imponer a las partes un deber de cooperación mutua, como si el proceso fuese </w:t>
      </w:r>
      <w:r w:rsidRPr="00511514">
        <w:rPr>
          <w:rFonts w:cstheme="minorHAnsi"/>
        </w:rPr>
        <w:lastRenderedPageBreak/>
        <w:t xml:space="preserve">una hermandad edificada en la fraternidad, y no —como en verdad lo es— un escenario de contradicción regulada. Se pasa por alto que el ordenamiento ya consagra imperativos </w:t>
      </w:r>
      <w:r w:rsidR="009E7E7E">
        <w:rPr>
          <w:rFonts w:cstheme="minorHAnsi"/>
        </w:rPr>
        <w:t>de conducta</w:t>
      </w:r>
      <w:r w:rsidRPr="00511514">
        <w:rPr>
          <w:rFonts w:cstheme="minorHAnsi"/>
        </w:rPr>
        <w:t xml:space="preserve"> más que suficientes para preservar la corrección del debate. Pretender, además, elevar las cargas a la jerarquía de “obligaciones morales” no solo resulta innecesario, sino que engendra una redundancia nociva que desvirtúa la naturaleza misma de la contienda.</w:t>
      </w:r>
    </w:p>
    <w:p w14:paraId="7F489E82" w14:textId="36B453FA" w:rsidR="00370B27" w:rsidRPr="002525EA" w:rsidRDefault="00370B27" w:rsidP="00370B27">
      <w:pPr>
        <w:spacing w:after="0" w:line="480" w:lineRule="auto"/>
        <w:jc w:val="both"/>
        <w:rPr>
          <w:rFonts w:cstheme="minorHAnsi"/>
        </w:rPr>
      </w:pPr>
      <w:r w:rsidRPr="002525EA">
        <w:rPr>
          <w:rFonts w:cstheme="minorHAnsi"/>
        </w:rPr>
        <w:t>Así se instala lo que con justeza puede llamarse una moralina procesal, que reduce la riqueza del contradictorio a un catecismo de conductas impuestas. En lugar de estimular la defensa de cada uno, se disciplina a los litigantes bajo cánones ajenos al espíritu adversarial. El resultado es doblemente grave: la libertad de defensa se restringe y la imparcialidad judicial se erosiona.</w:t>
      </w:r>
    </w:p>
    <w:p w14:paraId="2159FE9B" w14:textId="512804AC" w:rsidR="002525EA" w:rsidRDefault="00562EEF" w:rsidP="00370B27">
      <w:pPr>
        <w:spacing w:after="0" w:line="480" w:lineRule="auto"/>
        <w:jc w:val="both"/>
        <w:rPr>
          <w:rFonts w:cstheme="minorHAnsi"/>
        </w:rPr>
      </w:pPr>
      <w:r w:rsidRPr="00562EEF">
        <w:rPr>
          <w:rFonts w:cstheme="minorHAnsi"/>
        </w:rPr>
        <w:t xml:space="preserve">Preservar la carga procesal en su pureza no es un capricho académico, sino una necesidad democrática. Allí se juega la frontera entre libertad y coacción, entre proceso y simulacro, entre la justicia como debate </w:t>
      </w:r>
      <w:r w:rsidR="009E7E7E">
        <w:rPr>
          <w:rFonts w:cstheme="minorHAnsi"/>
        </w:rPr>
        <w:t>limpio</w:t>
      </w:r>
      <w:r w:rsidRPr="00562EEF">
        <w:rPr>
          <w:rFonts w:cstheme="minorHAnsi"/>
        </w:rPr>
        <w:t xml:space="preserve"> y la justicia como ritual vacío. Defenderla es, en última instancia, defender la dignidad del litigio, el honor de la defensa y la supremacía de la ley frente a cualquier tentación de moralina que, so pretexto de buenas intenciones, termine erosionando las garantías esenciales del debido proceso.</w:t>
      </w:r>
    </w:p>
    <w:p w14:paraId="5A3D1F94" w14:textId="77777777" w:rsidR="00562EEF" w:rsidRPr="002525EA" w:rsidRDefault="00562EEF" w:rsidP="00370B27">
      <w:pPr>
        <w:spacing w:after="0" w:line="480" w:lineRule="auto"/>
        <w:jc w:val="both"/>
        <w:rPr>
          <w:rFonts w:cstheme="minorHAnsi"/>
        </w:rPr>
      </w:pPr>
    </w:p>
    <w:p w14:paraId="3FF011B1" w14:textId="77777777" w:rsidR="00370B27" w:rsidRPr="002525EA" w:rsidRDefault="00370B27" w:rsidP="00370B27">
      <w:pPr>
        <w:spacing w:after="0" w:line="480" w:lineRule="auto"/>
        <w:jc w:val="both"/>
        <w:rPr>
          <w:rFonts w:cstheme="minorHAnsi"/>
          <w:b/>
          <w:bCs/>
        </w:rPr>
      </w:pPr>
      <w:r w:rsidRPr="002525EA">
        <w:rPr>
          <w:rFonts w:cstheme="minorHAnsi"/>
          <w:b/>
          <w:bCs/>
        </w:rPr>
        <w:t>4. Trasfondo cultural e histórico</w:t>
      </w:r>
    </w:p>
    <w:p w14:paraId="64C28C2B" w14:textId="077BBF2B" w:rsidR="002525EA" w:rsidRPr="002525EA" w:rsidRDefault="002525EA" w:rsidP="002525EA">
      <w:pPr>
        <w:pStyle w:val="Textoindependiente"/>
        <w:spacing w:before="0" w:after="0" w:line="480" w:lineRule="auto"/>
        <w:jc w:val="both"/>
        <w:rPr>
          <w:rFonts w:cstheme="minorHAnsi"/>
          <w:sz w:val="22"/>
          <w:szCs w:val="22"/>
          <w:lang w:val="es-419"/>
        </w:rPr>
      </w:pPr>
      <w:r w:rsidRPr="002525EA">
        <w:rPr>
          <w:rFonts w:cstheme="minorHAnsi"/>
          <w:sz w:val="22"/>
          <w:szCs w:val="22"/>
          <w:lang w:val="es-419"/>
        </w:rPr>
        <w:t xml:space="preserve">El debate sobre la moralidad procesal no puede escindirse de una mirada más amplia, que trascienda lo técnico y asuma el trasfondo histórico, cultural y político del proceso. Como han señalado voces críticas en Latinoamérica, la persistencia de modelos publicistas y paternalistas configura una verdadera deuda pendiente frente a la consolidación de sistemas democráticos que ya en el plano político consagraron la igualdad y la libertad como ejes rectores. La resistencia a horizontalizar el debate civil y a reconocer a los justiciables en pie de igualdad revela un rezago cultural que beneficia únicamente a una casta jurisdiccional y que se reproduce en comisiones reformadoras dominadas por jueces y juristas cercanos a la judicatura. Esa tendencia, que convierte cargas en deberes y privilegia la intervención judicial bajo la apariencia de moralidad, encuentra explicación, en parte, (i) en una </w:t>
      </w:r>
      <w:r w:rsidRPr="002525EA">
        <w:rPr>
          <w:rFonts w:cstheme="minorHAnsi"/>
          <w:sz w:val="22"/>
          <w:szCs w:val="22"/>
          <w:lang w:val="es-419"/>
        </w:rPr>
        <w:lastRenderedPageBreak/>
        <w:t>atracción cultural hacia el poder y (ii) en la aceptación acrítica de discursos que, en definitiva, limitan la libertad del litigante. De allí que recuperar la verdadera moralidad procesal suponga también abrir el derecho a un diálogo interdisciplinario, capaz de integrar la historia, la antropología, la ética y la política, para comprender que el proceso es antes que nada un cauce institucional de libertad y no una empresa común.</w:t>
      </w:r>
      <w:r w:rsidR="00AD3DE6">
        <w:rPr>
          <w:rStyle w:val="Refdenotaalpie"/>
          <w:rFonts w:cstheme="minorHAnsi"/>
          <w:sz w:val="22"/>
          <w:szCs w:val="22"/>
          <w:lang w:val="es-419"/>
        </w:rPr>
        <w:footnoteReference w:id="5"/>
      </w:r>
    </w:p>
    <w:p w14:paraId="4762CFFA" w14:textId="215BAAA8" w:rsidR="00562EEF" w:rsidRDefault="002525EA" w:rsidP="002525EA">
      <w:pPr>
        <w:pStyle w:val="Textoindependiente"/>
        <w:spacing w:before="0" w:after="0" w:line="480" w:lineRule="auto"/>
        <w:jc w:val="both"/>
        <w:rPr>
          <w:rFonts w:cstheme="minorHAnsi"/>
          <w:sz w:val="22"/>
          <w:szCs w:val="22"/>
          <w:lang w:val="es-419"/>
        </w:rPr>
      </w:pPr>
      <w:r w:rsidRPr="002525EA">
        <w:rPr>
          <w:rFonts w:cstheme="minorHAnsi"/>
          <w:sz w:val="22"/>
          <w:szCs w:val="22"/>
          <w:lang w:val="es-419"/>
        </w:rPr>
        <w:t xml:space="preserve">El análisis de los vestigios culturales heredados del viejo paradigma inquisitorial demuestra que muchas de las falsas premisas que hoy justifican un poder judicial paternalista son, en realidad, </w:t>
      </w:r>
      <w:r w:rsidRPr="002525EA">
        <w:rPr>
          <w:rFonts w:cstheme="minorHAnsi"/>
          <w:i/>
          <w:iCs/>
          <w:sz w:val="22"/>
          <w:szCs w:val="22"/>
          <w:lang w:val="es-419"/>
        </w:rPr>
        <w:t>memes jurídicos</w:t>
      </w:r>
      <w:r w:rsidRPr="002525EA">
        <w:rPr>
          <w:rFonts w:cstheme="minorHAnsi"/>
          <w:sz w:val="22"/>
          <w:szCs w:val="22"/>
          <w:lang w:val="es-419"/>
        </w:rPr>
        <w:t xml:space="preserve"> que se transmiten con la misma facilidad que las ideas falaces de las que nacieron. Se nos quiso convencer de que el juez debía erigirse en un ser superior, dotado de una mística casi celestial, capaz de sustituir la voluntad de las partes en nombre de una supuesta “justicia”. Esa verticalización del poder, fruto de un irracional apego a la autoridad, desdibuja la libertad del justiciable y naturaliza la subordinación del contradictorio. </w:t>
      </w:r>
    </w:p>
    <w:p w14:paraId="168842E3" w14:textId="75F15BFC" w:rsidR="002525EA" w:rsidRPr="002525EA" w:rsidRDefault="002525EA" w:rsidP="002525EA">
      <w:pPr>
        <w:pStyle w:val="Textoindependiente"/>
        <w:spacing w:before="0" w:after="0" w:line="480" w:lineRule="auto"/>
        <w:jc w:val="both"/>
        <w:rPr>
          <w:rFonts w:cstheme="minorHAnsi"/>
          <w:sz w:val="22"/>
          <w:szCs w:val="22"/>
          <w:lang w:val="es-419"/>
        </w:rPr>
      </w:pPr>
      <w:r w:rsidRPr="002525EA">
        <w:rPr>
          <w:rFonts w:cstheme="minorHAnsi"/>
          <w:sz w:val="22"/>
          <w:szCs w:val="22"/>
          <w:lang w:val="es-419"/>
        </w:rPr>
        <w:t>Sin embargo, la verdadera cooperación que permitió la supervivencia de nuestra especie no provino nunca de la coacción, sino de la elección consciente y libre de colaborar. Así como la historia muestra que los sistemas jurídicos son construcciones humanas —sostenidas en la confianza y desmoronadas cuando ésta se pierde—, también el proceso judicial debe ser comprendido como un orden artificial cuya legitimidad sólo subsiste mientras garantice las libertades de las partes. Allí radica su grandeza: no en un juez omnipotente que suplante el derecho con su voluntad, sino en un diseño racional al servicio del hombre, patria de sus garantías y de sus derechos, como bien supo advertir la tradición liberal que Alberdi encarnó en nuestras instituciones.</w:t>
      </w:r>
    </w:p>
    <w:p w14:paraId="0E0CD255" w14:textId="77777777" w:rsidR="002525EA" w:rsidRPr="002525EA" w:rsidRDefault="002525EA" w:rsidP="002525EA">
      <w:pPr>
        <w:pStyle w:val="Textoindependiente"/>
        <w:spacing w:before="0" w:after="0" w:line="480" w:lineRule="auto"/>
        <w:jc w:val="both"/>
        <w:rPr>
          <w:rFonts w:cstheme="minorHAnsi"/>
          <w:sz w:val="22"/>
          <w:szCs w:val="22"/>
          <w:lang w:val="es-419"/>
        </w:rPr>
      </w:pPr>
    </w:p>
    <w:p w14:paraId="00D3359C" w14:textId="77777777" w:rsidR="00370B27" w:rsidRPr="002525EA" w:rsidRDefault="00370B27" w:rsidP="00370B27">
      <w:pPr>
        <w:spacing w:after="0" w:line="480" w:lineRule="auto"/>
        <w:jc w:val="both"/>
        <w:rPr>
          <w:rFonts w:cstheme="minorHAnsi"/>
          <w:b/>
          <w:bCs/>
        </w:rPr>
      </w:pPr>
      <w:r w:rsidRPr="002525EA">
        <w:rPr>
          <w:rFonts w:cstheme="minorHAnsi"/>
          <w:b/>
          <w:bCs/>
        </w:rPr>
        <w:t>5. La verdadera moralidad en el debate</w:t>
      </w:r>
    </w:p>
    <w:p w14:paraId="71A27E66" w14:textId="461792F4" w:rsidR="00370B27" w:rsidRPr="002525EA" w:rsidRDefault="00370B27" w:rsidP="00370B27">
      <w:pPr>
        <w:spacing w:after="0" w:line="480" w:lineRule="auto"/>
        <w:jc w:val="both"/>
        <w:rPr>
          <w:rFonts w:cstheme="minorHAnsi"/>
        </w:rPr>
      </w:pPr>
      <w:r w:rsidRPr="002525EA">
        <w:rPr>
          <w:rFonts w:cstheme="minorHAnsi"/>
        </w:rPr>
        <w:t xml:space="preserve">Recuperar el auténtico sentido del principio de moralidad procesal significa comprender que el proceso es, en su esencia más depurada, un combate </w:t>
      </w:r>
      <w:r w:rsidR="004721BB">
        <w:rPr>
          <w:rFonts w:cstheme="minorHAnsi"/>
        </w:rPr>
        <w:t>serio</w:t>
      </w:r>
      <w:r w:rsidRPr="002525EA">
        <w:rPr>
          <w:rFonts w:cstheme="minorHAnsi"/>
        </w:rPr>
        <w:t xml:space="preserve"> de argumentos, no una pantomima de </w:t>
      </w:r>
      <w:r w:rsidRPr="002525EA">
        <w:rPr>
          <w:rFonts w:cstheme="minorHAnsi"/>
        </w:rPr>
        <w:lastRenderedPageBreak/>
        <w:t>fraternidad impostada. Moralidad no equivale a socorrer al adversario, sino a litigar con armas legítimas dentro de reglas comunes.</w:t>
      </w:r>
    </w:p>
    <w:p w14:paraId="29456DAB" w14:textId="77777777" w:rsidR="00562EEF" w:rsidRDefault="00562EEF" w:rsidP="00370B27">
      <w:pPr>
        <w:spacing w:after="0" w:line="480" w:lineRule="auto"/>
        <w:jc w:val="both"/>
        <w:rPr>
          <w:rFonts w:cstheme="minorHAnsi"/>
        </w:rPr>
      </w:pPr>
      <w:r w:rsidRPr="00562EEF">
        <w:rPr>
          <w:rFonts w:cstheme="minorHAnsi"/>
        </w:rPr>
        <w:t>Nos permitimos, además, aventurar que la constante prédica en torno a la “buena fe procesal” acaso provenga de una lógica arcaica de amigo-enemigo. Tal lógica debe ser superada y sustituida por la de dignos adversarios: contendientes que, sin reconocerse como enemigos a destruir, se enfrentan con nobleza y libertad en el litigio, para luego continuar compartiendo la misma comunidad política y social. Solo bajo esta visión se sostiene la fe en el hombre como ser libre, capaz de litigar con firmeza sin abdicar de la dignidad.</w:t>
      </w:r>
    </w:p>
    <w:p w14:paraId="31F8B8F0" w14:textId="54AEB5FD" w:rsidR="00562EEF" w:rsidRDefault="00496174" w:rsidP="00370B27">
      <w:pPr>
        <w:spacing w:after="0" w:line="480" w:lineRule="auto"/>
        <w:jc w:val="both"/>
        <w:rPr>
          <w:rFonts w:cstheme="minorHAnsi"/>
        </w:rPr>
      </w:pPr>
      <w:r w:rsidRPr="00496174">
        <w:rPr>
          <w:rFonts w:cstheme="minorHAnsi"/>
        </w:rPr>
        <w:t xml:space="preserve">Las enseñanzas de Gustavo Calvinho, </w:t>
      </w:r>
      <w:r w:rsidR="00562EEF">
        <w:rPr>
          <w:rFonts w:cstheme="minorHAnsi"/>
        </w:rPr>
        <w:t>en torno a</w:t>
      </w:r>
      <w:r w:rsidRPr="00496174">
        <w:rPr>
          <w:rFonts w:cstheme="minorHAnsi"/>
        </w:rPr>
        <w:t xml:space="preserve"> “la democracia”, refuerzan esta idea: el sistema acusatorio o dispositivo, basado en la igualdad de armas y en el protagonismo de las partes, es el único compatible con una democracia sustancial que respeta la libertad e igualdad. El “sistema mixto”, que mezcla facultades inquisitivas y acusatorias, no es un tercer sistema, sino un híbrido que termina reproduciendo los vicios del inquisitivo.</w:t>
      </w:r>
      <w:r w:rsidR="00562EEF">
        <w:rPr>
          <w:rStyle w:val="Refdenotaalpie"/>
          <w:rFonts w:cstheme="minorHAnsi"/>
        </w:rPr>
        <w:footnoteReference w:id="6"/>
      </w:r>
    </w:p>
    <w:p w14:paraId="3FAAF28B" w14:textId="2E9576AB" w:rsidR="00496174" w:rsidRPr="002525EA" w:rsidRDefault="00496174" w:rsidP="00370B27">
      <w:pPr>
        <w:spacing w:after="0" w:line="480" w:lineRule="auto"/>
        <w:jc w:val="both"/>
        <w:rPr>
          <w:rFonts w:cstheme="minorHAnsi"/>
        </w:rPr>
      </w:pPr>
      <w:r w:rsidRPr="00496174">
        <w:rPr>
          <w:rFonts w:cstheme="minorHAnsi"/>
        </w:rPr>
        <w:t>Otorgar al juez amplias facultades probatorias, al amparo de la moralidad, desmorona la igualdad y la imparcialidad. La moralidad en el debate, por tanto, coincide con la defensa de un método adversarial: imparcialidad del juez, igualdad de partes, límites al poder y respeto por la libertad.</w:t>
      </w:r>
    </w:p>
    <w:p w14:paraId="3EBB69B4" w14:textId="77777777" w:rsidR="00370B27" w:rsidRPr="002525EA" w:rsidRDefault="00370B27" w:rsidP="00370B27">
      <w:pPr>
        <w:spacing w:after="0" w:line="480" w:lineRule="auto"/>
        <w:jc w:val="both"/>
        <w:rPr>
          <w:rFonts w:cstheme="minorHAnsi"/>
        </w:rPr>
      </w:pPr>
      <w:r w:rsidRPr="002525EA">
        <w:rPr>
          <w:rFonts w:cstheme="minorHAnsi"/>
        </w:rPr>
        <w:t xml:space="preserve">La moralidad procesal se satisface, pues, cuando las partes litigan con honradez, sin arterías ni fraudes, y cuando el juez mantiene su imparcialidad. Nada más, pero tampoco nada menos. Pretender imponer </w:t>
      </w:r>
      <w:proofErr w:type="gramStart"/>
      <w:r w:rsidRPr="002525EA">
        <w:rPr>
          <w:rFonts w:cstheme="minorHAnsi"/>
        </w:rPr>
        <w:t>colaboración mutua</w:t>
      </w:r>
      <w:proofErr w:type="gramEnd"/>
      <w:r w:rsidRPr="002525EA">
        <w:rPr>
          <w:rFonts w:cstheme="minorHAnsi"/>
        </w:rPr>
        <w:t xml:space="preserve"> equivale a desnaturalizar la contienda, vaciar el contradictorio y sacrificar la defensa en nombre de una moralina paternalista.</w:t>
      </w:r>
    </w:p>
    <w:p w14:paraId="275174EB" w14:textId="77777777" w:rsidR="00496174" w:rsidRPr="002525EA" w:rsidRDefault="00496174" w:rsidP="00370B27">
      <w:pPr>
        <w:spacing w:after="0" w:line="480" w:lineRule="auto"/>
        <w:jc w:val="both"/>
        <w:rPr>
          <w:rFonts w:cstheme="minorHAnsi"/>
        </w:rPr>
      </w:pPr>
    </w:p>
    <w:p w14:paraId="57C03323" w14:textId="77777777" w:rsidR="00370B27" w:rsidRPr="00FA3CF6" w:rsidRDefault="00370B27" w:rsidP="00370B27">
      <w:pPr>
        <w:spacing w:after="0" w:line="480" w:lineRule="auto"/>
        <w:jc w:val="both"/>
        <w:rPr>
          <w:rFonts w:cstheme="minorHAnsi"/>
          <w:b/>
          <w:bCs/>
        </w:rPr>
      </w:pPr>
      <w:r w:rsidRPr="00FA3CF6">
        <w:rPr>
          <w:rFonts w:cstheme="minorHAnsi"/>
          <w:b/>
          <w:bCs/>
        </w:rPr>
        <w:t>6. Conclusión</w:t>
      </w:r>
    </w:p>
    <w:p w14:paraId="7B0D02A6" w14:textId="6ABCF66E" w:rsidR="00370B27" w:rsidRPr="002525EA" w:rsidRDefault="00370B27" w:rsidP="00370B27">
      <w:pPr>
        <w:spacing w:after="0" w:line="480" w:lineRule="auto"/>
        <w:jc w:val="both"/>
        <w:rPr>
          <w:rFonts w:cstheme="minorHAnsi"/>
        </w:rPr>
      </w:pPr>
      <w:r w:rsidRPr="002525EA">
        <w:rPr>
          <w:rFonts w:cstheme="minorHAnsi"/>
        </w:rPr>
        <w:t>La moralidad procesal, rectamente entendida, se erige como límite infranqueable: veda el fraude, conjura la temeridad y preserva la igualdad de armas. No es deber de cooperación</w:t>
      </w:r>
      <w:r w:rsidR="00562EEF">
        <w:rPr>
          <w:rFonts w:cstheme="minorHAnsi"/>
        </w:rPr>
        <w:t>.</w:t>
      </w:r>
    </w:p>
    <w:p w14:paraId="4B355199" w14:textId="332C177E" w:rsidR="00370B27" w:rsidRPr="002525EA" w:rsidRDefault="00370B27" w:rsidP="00370B27">
      <w:pPr>
        <w:spacing w:after="0" w:line="480" w:lineRule="auto"/>
        <w:jc w:val="both"/>
        <w:rPr>
          <w:rFonts w:cstheme="minorHAnsi"/>
        </w:rPr>
      </w:pPr>
      <w:r w:rsidRPr="002525EA">
        <w:rPr>
          <w:rFonts w:cstheme="minorHAnsi"/>
        </w:rPr>
        <w:lastRenderedPageBreak/>
        <w:t>Allí donde la imparcialidad se ausenta, el proceso se transmuta en sospecha; donde la igualdad se quiebra, en privilegio; donde la transitoriedad se dilata, en condena perpetua; donde la eficacia se sacrifica en el altar del formalismo, en ritual vacío; y donde la moralidad negativa se olvida, el proceso se prostituye, sometido al imperio del fraude y de la violencia</w:t>
      </w:r>
      <w:r w:rsidR="00562EEF">
        <w:rPr>
          <w:rFonts w:cstheme="minorHAnsi"/>
        </w:rPr>
        <w:t xml:space="preserve"> o, peor aún, a la imposición de la autoridad.</w:t>
      </w:r>
    </w:p>
    <w:p w14:paraId="1D3C1CD5" w14:textId="1E88E923" w:rsidR="00370B27" w:rsidRPr="002525EA" w:rsidRDefault="00370B27" w:rsidP="00370B27">
      <w:pPr>
        <w:spacing w:after="0" w:line="480" w:lineRule="auto"/>
        <w:jc w:val="both"/>
        <w:rPr>
          <w:rFonts w:cstheme="minorHAnsi"/>
        </w:rPr>
      </w:pPr>
      <w:r w:rsidRPr="002525EA">
        <w:rPr>
          <w:rFonts w:cstheme="minorHAnsi"/>
        </w:rPr>
        <w:t xml:space="preserve">Convertir la moralidad en un deber de ayuda recíproca equivale a trocar la justicia en apariencia, el litigio en farsa y la libertad en sumisión. La verdadera moralidad </w:t>
      </w:r>
      <w:r w:rsidRPr="00562EEF">
        <w:rPr>
          <w:rFonts w:cstheme="minorHAnsi"/>
          <w:i/>
          <w:iCs/>
        </w:rPr>
        <w:t xml:space="preserve">ennoblece </w:t>
      </w:r>
      <w:r w:rsidR="00562EEF">
        <w:rPr>
          <w:rFonts w:cstheme="minorHAnsi"/>
          <w:i/>
          <w:iCs/>
        </w:rPr>
        <w:t>a la controversia</w:t>
      </w:r>
      <w:r w:rsidRPr="002525EA">
        <w:rPr>
          <w:rFonts w:cstheme="minorHAnsi"/>
        </w:rPr>
        <w:t>, asegura que la defensa no claudique y preserva la dignidad del proceso como instrumento de libertad.</w:t>
      </w:r>
    </w:p>
    <w:p w14:paraId="60B30AB2" w14:textId="57A8AC32" w:rsidR="00085217" w:rsidRDefault="00370B27" w:rsidP="00370B27">
      <w:pPr>
        <w:spacing w:after="0" w:line="480" w:lineRule="auto"/>
        <w:jc w:val="both"/>
        <w:rPr>
          <w:rFonts w:cstheme="minorHAnsi"/>
        </w:rPr>
      </w:pPr>
      <w:r w:rsidRPr="002525EA">
        <w:rPr>
          <w:rFonts w:cstheme="minorHAnsi"/>
        </w:rPr>
        <w:t>Recuperarla en su sentido original significa honrar el legado republicano de Alberdi y asegurar que el proceso permanezca fiel a su esencia: un contradictorio honesto, un juez imparcial y partes en pie de igualdad, enfrentadas con armas legítimas, en el más noble de los combates civiles: el de la razón contra la fuerza.</w:t>
      </w:r>
    </w:p>
    <w:p w14:paraId="7F5D5C70" w14:textId="77777777" w:rsidR="00496174" w:rsidRPr="002525EA" w:rsidRDefault="00496174" w:rsidP="00370B27">
      <w:pPr>
        <w:spacing w:after="0" w:line="480" w:lineRule="auto"/>
        <w:jc w:val="both"/>
        <w:rPr>
          <w:rFonts w:cstheme="minorHAnsi"/>
        </w:rPr>
      </w:pPr>
    </w:p>
    <w:sectPr w:rsidR="00496174" w:rsidRPr="002525E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D8B5A" w14:textId="77777777" w:rsidR="00AD7785" w:rsidRDefault="00AD7785" w:rsidP="002525EA">
      <w:pPr>
        <w:spacing w:after="0" w:line="240" w:lineRule="auto"/>
      </w:pPr>
      <w:r>
        <w:separator/>
      </w:r>
    </w:p>
  </w:endnote>
  <w:endnote w:type="continuationSeparator" w:id="0">
    <w:p w14:paraId="2336093E" w14:textId="77777777" w:rsidR="00AD7785" w:rsidRDefault="00AD7785" w:rsidP="00252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8E7A8" w14:textId="77777777" w:rsidR="00AD7785" w:rsidRDefault="00AD7785" w:rsidP="002525EA">
      <w:pPr>
        <w:spacing w:after="0" w:line="240" w:lineRule="auto"/>
      </w:pPr>
      <w:r>
        <w:separator/>
      </w:r>
    </w:p>
  </w:footnote>
  <w:footnote w:type="continuationSeparator" w:id="0">
    <w:p w14:paraId="64773171" w14:textId="77777777" w:rsidR="00AD7785" w:rsidRDefault="00AD7785" w:rsidP="002525EA">
      <w:pPr>
        <w:spacing w:after="0" w:line="240" w:lineRule="auto"/>
      </w:pPr>
      <w:r>
        <w:continuationSeparator/>
      </w:r>
    </w:p>
  </w:footnote>
  <w:footnote w:id="1">
    <w:p w14:paraId="71AF3625" w14:textId="147D2A54" w:rsidR="00DF3B10" w:rsidRPr="0055507A" w:rsidRDefault="00DF3B10" w:rsidP="00AA3646">
      <w:pPr>
        <w:pStyle w:val="Textonotapie"/>
        <w:jc w:val="both"/>
        <w:rPr>
          <w:sz w:val="18"/>
          <w:szCs w:val="18"/>
        </w:rPr>
      </w:pPr>
      <w:r w:rsidRPr="0055507A">
        <w:rPr>
          <w:rStyle w:val="Refdenotaalpie"/>
          <w:sz w:val="18"/>
          <w:szCs w:val="18"/>
        </w:rPr>
        <w:footnoteRef/>
      </w:r>
      <w:r w:rsidRPr="0055507A">
        <w:rPr>
          <w:sz w:val="18"/>
          <w:szCs w:val="18"/>
        </w:rPr>
        <w:t xml:space="preserve"> </w:t>
      </w:r>
      <w:r w:rsidRPr="0055507A">
        <w:rPr>
          <w:b/>
          <w:bCs/>
          <w:sz w:val="18"/>
          <w:szCs w:val="18"/>
        </w:rPr>
        <w:t>ALBERDI</w:t>
      </w:r>
      <w:r w:rsidRPr="0055507A">
        <w:rPr>
          <w:sz w:val="18"/>
          <w:szCs w:val="18"/>
        </w:rPr>
        <w:t xml:space="preserve">, Juan </w:t>
      </w:r>
      <w:proofErr w:type="gramStart"/>
      <w:r w:rsidRPr="0055507A">
        <w:rPr>
          <w:sz w:val="18"/>
          <w:szCs w:val="18"/>
        </w:rPr>
        <w:t>Bautista ;</w:t>
      </w:r>
      <w:proofErr w:type="gramEnd"/>
      <w:r w:rsidRPr="0055507A">
        <w:rPr>
          <w:sz w:val="18"/>
          <w:szCs w:val="18"/>
        </w:rPr>
        <w:t xml:space="preserve"> “El crimen de la guerra”, p. </w:t>
      </w:r>
      <w:r w:rsidR="00AA3646" w:rsidRPr="0055507A">
        <w:rPr>
          <w:sz w:val="18"/>
          <w:szCs w:val="18"/>
        </w:rPr>
        <w:t>9</w:t>
      </w:r>
      <w:r w:rsidRPr="0055507A">
        <w:rPr>
          <w:sz w:val="18"/>
          <w:szCs w:val="18"/>
        </w:rPr>
        <w:t>,</w:t>
      </w:r>
      <w:r w:rsidR="00AA3646" w:rsidRPr="0055507A">
        <w:rPr>
          <w:sz w:val="18"/>
          <w:szCs w:val="18"/>
        </w:rPr>
        <w:t xml:space="preserve"> 2° Ed., Buenos Aires, 1957, Editorial Sopena Argentina S.A. En esas palabras se cifra una advertencia vigente: la justicia solo conserva su legitimidad cuando se mantiene distante de la lógica de la fuerza y de los intereses de parte. Un proceso judicial contaminado por la beligerancia deja de ser justicia para convertirse en un campo de batalla.</w:t>
      </w:r>
    </w:p>
  </w:footnote>
  <w:footnote w:id="2">
    <w:p w14:paraId="52D6C076" w14:textId="14BD0881" w:rsidR="002525EA" w:rsidRPr="0055507A" w:rsidRDefault="002525EA" w:rsidP="002525EA">
      <w:pPr>
        <w:pStyle w:val="Textonotapie"/>
        <w:jc w:val="both"/>
        <w:rPr>
          <w:sz w:val="18"/>
          <w:szCs w:val="18"/>
        </w:rPr>
      </w:pPr>
      <w:r w:rsidRPr="0055507A">
        <w:rPr>
          <w:rStyle w:val="Refdenotaalpie"/>
          <w:sz w:val="18"/>
          <w:szCs w:val="18"/>
        </w:rPr>
        <w:footnoteRef/>
      </w:r>
      <w:r w:rsidRPr="0055507A">
        <w:rPr>
          <w:sz w:val="18"/>
          <w:szCs w:val="18"/>
        </w:rPr>
        <w:t xml:space="preserve"> </w:t>
      </w:r>
      <w:r w:rsidRPr="0055507A">
        <w:rPr>
          <w:b/>
          <w:bCs/>
          <w:sz w:val="18"/>
          <w:szCs w:val="18"/>
        </w:rPr>
        <w:t>ALVARADO VELLOSO</w:t>
      </w:r>
      <w:r w:rsidRPr="0055507A">
        <w:rPr>
          <w:sz w:val="18"/>
          <w:szCs w:val="18"/>
        </w:rPr>
        <w:t xml:space="preserve">, Adolfo; “Sistema Procesal Garantía de la Libertad”, T. I; p. </w:t>
      </w:r>
      <w:r w:rsidR="008F536E" w:rsidRPr="0055507A">
        <w:rPr>
          <w:sz w:val="18"/>
          <w:szCs w:val="18"/>
        </w:rPr>
        <w:t xml:space="preserve"> 339/346</w:t>
      </w:r>
      <w:r w:rsidRPr="0055507A">
        <w:rPr>
          <w:sz w:val="18"/>
          <w:szCs w:val="18"/>
        </w:rPr>
        <w:t xml:space="preserve">; 1° Ed., Santa Fe, 2009, </w:t>
      </w:r>
      <w:proofErr w:type="spellStart"/>
      <w:r w:rsidRPr="0055507A">
        <w:rPr>
          <w:sz w:val="18"/>
          <w:szCs w:val="18"/>
        </w:rPr>
        <w:t>Rubinzal</w:t>
      </w:r>
      <w:proofErr w:type="spellEnd"/>
      <w:r w:rsidRPr="0055507A">
        <w:rPr>
          <w:sz w:val="18"/>
          <w:szCs w:val="18"/>
        </w:rPr>
        <w:t xml:space="preserve"> </w:t>
      </w:r>
      <w:proofErr w:type="spellStart"/>
      <w:r w:rsidRPr="0055507A">
        <w:rPr>
          <w:sz w:val="18"/>
          <w:szCs w:val="18"/>
        </w:rPr>
        <w:t>Culzoni</w:t>
      </w:r>
      <w:proofErr w:type="spellEnd"/>
      <w:r w:rsidR="008F536E" w:rsidRPr="0055507A">
        <w:rPr>
          <w:sz w:val="18"/>
          <w:szCs w:val="18"/>
        </w:rPr>
        <w:t xml:space="preserve">: </w:t>
      </w:r>
      <w:r w:rsidRPr="0055507A">
        <w:rPr>
          <w:sz w:val="18"/>
          <w:szCs w:val="18"/>
        </w:rPr>
        <w:t>Los principios procesales deben ser concebidos como verdaderos puntos de partida. Ahora bien, ningún punto de partida puede considerarse aislado o inerte, porque todo inicio supone una orientación: caminar en determinada dirección, ya sea hacia adelante, hacia atrás o en sentido diverso. Por ello, el punto de partida solo cobra valor en función de lo que se busca encontrar o alcanzar al final del recorrido. Alvarado Velloso Sistema procesal garantía de la libertad</w:t>
      </w:r>
    </w:p>
  </w:footnote>
  <w:footnote w:id="3">
    <w:p w14:paraId="61194205" w14:textId="096DAA85" w:rsidR="003709C3" w:rsidRPr="0055507A" w:rsidRDefault="003709C3">
      <w:pPr>
        <w:pStyle w:val="Textonotapie"/>
        <w:rPr>
          <w:sz w:val="18"/>
          <w:szCs w:val="18"/>
        </w:rPr>
      </w:pPr>
      <w:r w:rsidRPr="0055507A">
        <w:rPr>
          <w:rStyle w:val="Refdenotaalpie"/>
          <w:sz w:val="18"/>
          <w:szCs w:val="18"/>
        </w:rPr>
        <w:footnoteRef/>
      </w:r>
      <w:r w:rsidRPr="0055507A">
        <w:rPr>
          <w:sz w:val="18"/>
          <w:szCs w:val="18"/>
        </w:rPr>
        <w:t xml:space="preserve"> </w:t>
      </w:r>
      <w:r w:rsidRPr="0055507A">
        <w:rPr>
          <w:b/>
          <w:bCs/>
          <w:sz w:val="18"/>
          <w:szCs w:val="18"/>
        </w:rPr>
        <w:t>CALVINHO</w:t>
      </w:r>
      <w:r w:rsidRPr="0055507A">
        <w:rPr>
          <w:sz w:val="18"/>
          <w:szCs w:val="18"/>
        </w:rPr>
        <w:t>, Gustavo “</w:t>
      </w:r>
      <w:r w:rsidR="008F536E" w:rsidRPr="0055507A">
        <w:rPr>
          <w:sz w:val="18"/>
          <w:szCs w:val="18"/>
        </w:rPr>
        <w:t>El Proceso a Partir del Hombre y la Libertad</w:t>
      </w:r>
      <w:r w:rsidRPr="0055507A">
        <w:rPr>
          <w:sz w:val="18"/>
          <w:szCs w:val="18"/>
        </w:rPr>
        <w:t>”</w:t>
      </w:r>
      <w:r w:rsidR="008F536E" w:rsidRPr="0055507A">
        <w:rPr>
          <w:sz w:val="18"/>
          <w:szCs w:val="18"/>
        </w:rPr>
        <w:t xml:space="preserve"> “La fe del hombre en sí mismo o La Lucha por la Libertad a través del Proceso – El Mundo Procesal rinde Homenaje al maestro Alvarado Velloso” p. 21</w:t>
      </w:r>
      <w:r w:rsidR="00AD3DE6">
        <w:rPr>
          <w:sz w:val="18"/>
          <w:szCs w:val="18"/>
        </w:rPr>
        <w:t>5</w:t>
      </w:r>
      <w:r w:rsidR="008F536E" w:rsidRPr="0055507A">
        <w:rPr>
          <w:sz w:val="18"/>
          <w:szCs w:val="18"/>
        </w:rPr>
        <w:t>, 1° Ed. 2008, Lima, Perú, Editorial San Marcos EIRL</w:t>
      </w:r>
      <w:r w:rsidRPr="0055507A">
        <w:rPr>
          <w:sz w:val="18"/>
          <w:szCs w:val="18"/>
        </w:rPr>
        <w:t xml:space="preserve"> </w:t>
      </w:r>
    </w:p>
  </w:footnote>
  <w:footnote w:id="4">
    <w:p w14:paraId="681A3E57" w14:textId="085CCC20" w:rsidR="0055507A" w:rsidRDefault="0055507A">
      <w:pPr>
        <w:pStyle w:val="Textonotapie"/>
      </w:pPr>
      <w:r>
        <w:rPr>
          <w:rStyle w:val="Refdenotaalpie"/>
        </w:rPr>
        <w:footnoteRef/>
      </w:r>
      <w:r>
        <w:t xml:space="preserve"> </w:t>
      </w:r>
      <w:r w:rsidRPr="0055507A">
        <w:rPr>
          <w:b/>
          <w:bCs/>
        </w:rPr>
        <w:t>ALVARADO VELLOSO</w:t>
      </w:r>
      <w:r w:rsidRPr="0055507A">
        <w:t xml:space="preserve">, Adolfo; “Sistema Procesal Garantía de la Libertad”, T. I; p.  339/346; 1° Ed., Santa Fe, 2009, </w:t>
      </w:r>
      <w:proofErr w:type="spellStart"/>
      <w:r w:rsidRPr="0055507A">
        <w:t>Rubinzal</w:t>
      </w:r>
      <w:proofErr w:type="spellEnd"/>
      <w:r w:rsidRPr="0055507A">
        <w:t xml:space="preserve"> </w:t>
      </w:r>
      <w:proofErr w:type="spellStart"/>
      <w:r w:rsidRPr="0055507A">
        <w:t>Culzoni</w:t>
      </w:r>
      <w:proofErr w:type="spellEnd"/>
      <w:r w:rsidRPr="0055507A">
        <w:t>: Los principios procesales deben ser concebidos como verdaderos puntos de partida. Ahora bien, ningún punto de partida puede considerarse aislado o inerte, porque todo inicio supone una orientación: caminar en determinada dirección, ya sea hacia adelante, hacia atrás o en sentido diverso. Por ello, el punto de partida solo cobra valor en función de lo que se busca encontrar o alcanzar al final del recorrido. Alvarado Velloso Sistema procesal garantía de la libertad</w:t>
      </w:r>
    </w:p>
  </w:footnote>
  <w:footnote w:id="5">
    <w:p w14:paraId="31618FD1" w14:textId="73A1CDA8" w:rsidR="00AD3DE6" w:rsidRDefault="00AD3DE6">
      <w:pPr>
        <w:pStyle w:val="Textonotapie"/>
      </w:pPr>
      <w:r>
        <w:rPr>
          <w:rStyle w:val="Refdenotaalpie"/>
        </w:rPr>
        <w:footnoteRef/>
      </w:r>
      <w:r>
        <w:t xml:space="preserve"> </w:t>
      </w:r>
      <w:r w:rsidRPr="00AD3DE6">
        <w:t xml:space="preserve">  </w:t>
      </w:r>
      <w:r w:rsidRPr="00AD3DE6">
        <w:rPr>
          <w:b/>
          <w:bCs/>
        </w:rPr>
        <w:t>BENABENTOS</w:t>
      </w:r>
      <w:r w:rsidRPr="00AD3DE6">
        <w:t xml:space="preserve">, Omar A. y </w:t>
      </w:r>
      <w:r w:rsidRPr="00AD3DE6">
        <w:rPr>
          <w:b/>
          <w:bCs/>
        </w:rPr>
        <w:t>FERNÁNDEZ DELEPIANE</w:t>
      </w:r>
      <w:r w:rsidRPr="00AD3DE6">
        <w:t xml:space="preserve">, Mariana, “El Proceso Civil Adversarial – Una Deuda Pendiente en Latinoamérica”, </w:t>
      </w:r>
      <w:r>
        <w:t xml:space="preserve">p. 70, </w:t>
      </w:r>
      <w:r w:rsidRPr="00AD3DE6">
        <w:t>2022, 1° Ed., Rosario, Santa Fe, Fundación para el Desarrollo de las Ciencias Jurídicas.</w:t>
      </w:r>
    </w:p>
  </w:footnote>
  <w:footnote w:id="6">
    <w:p w14:paraId="5BA8E8FA" w14:textId="4444C429" w:rsidR="00562EEF" w:rsidRPr="0055507A" w:rsidRDefault="00562EEF">
      <w:pPr>
        <w:pStyle w:val="Textonotapie"/>
        <w:rPr>
          <w:sz w:val="18"/>
          <w:szCs w:val="18"/>
        </w:rPr>
      </w:pPr>
      <w:r w:rsidRPr="0055507A">
        <w:rPr>
          <w:rStyle w:val="Refdenotaalpie"/>
          <w:sz w:val="18"/>
          <w:szCs w:val="18"/>
        </w:rPr>
        <w:footnoteRef/>
      </w:r>
      <w:r w:rsidRPr="0055507A">
        <w:rPr>
          <w:sz w:val="18"/>
          <w:szCs w:val="18"/>
        </w:rPr>
        <w:t xml:space="preserve"> </w:t>
      </w:r>
      <w:r w:rsidR="00AD3DE6" w:rsidRPr="00AD3DE6">
        <w:rPr>
          <w:b/>
          <w:bCs/>
          <w:sz w:val="18"/>
          <w:szCs w:val="18"/>
        </w:rPr>
        <w:t>CALVINHO</w:t>
      </w:r>
      <w:r w:rsidR="00AD3DE6" w:rsidRPr="00AD3DE6">
        <w:rPr>
          <w:sz w:val="18"/>
          <w:szCs w:val="18"/>
        </w:rPr>
        <w:t>, Gustavo “El Proceso a Partir del Hombre y la Libertad” “La fe del hombre en sí mismo o La Lucha por la Libertad a través del Proceso – El Mundo Procesal rinde Homenaje al maestro Alvarado Velloso” p. 21</w:t>
      </w:r>
      <w:r w:rsidR="00AD3DE6">
        <w:rPr>
          <w:sz w:val="18"/>
          <w:szCs w:val="18"/>
        </w:rPr>
        <w:t>5</w:t>
      </w:r>
      <w:r w:rsidR="00AD3DE6" w:rsidRPr="00AD3DE6">
        <w:rPr>
          <w:sz w:val="18"/>
          <w:szCs w:val="18"/>
        </w:rPr>
        <w:t>, 1° Ed. 2008, Lima, Perú, Editorial San Marcos EIRL</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B27"/>
    <w:rsid w:val="00085217"/>
    <w:rsid w:val="00093F6B"/>
    <w:rsid w:val="00196C98"/>
    <w:rsid w:val="002525EA"/>
    <w:rsid w:val="003709C3"/>
    <w:rsid w:val="00370B27"/>
    <w:rsid w:val="00444937"/>
    <w:rsid w:val="004721BB"/>
    <w:rsid w:val="00496174"/>
    <w:rsid w:val="00511514"/>
    <w:rsid w:val="0055507A"/>
    <w:rsid w:val="00562EEF"/>
    <w:rsid w:val="005C507E"/>
    <w:rsid w:val="008D7F5D"/>
    <w:rsid w:val="008F536E"/>
    <w:rsid w:val="009E7E7E"/>
    <w:rsid w:val="00A7380F"/>
    <w:rsid w:val="00AA3646"/>
    <w:rsid w:val="00AD3DE6"/>
    <w:rsid w:val="00AD7785"/>
    <w:rsid w:val="00B2318E"/>
    <w:rsid w:val="00B6433C"/>
    <w:rsid w:val="00CD0D2B"/>
    <w:rsid w:val="00DF3B10"/>
    <w:rsid w:val="00FA3CF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3E814"/>
  <w15:chartTrackingRefBased/>
  <w15:docId w15:val="{BB88216E-2BAB-4CD1-8636-4BD9A257F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70B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370B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370B27"/>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370B27"/>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370B27"/>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370B2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70B2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70B2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70B2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70B27"/>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370B27"/>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370B27"/>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370B27"/>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370B27"/>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370B2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70B2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70B2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70B27"/>
    <w:rPr>
      <w:rFonts w:eastAsiaTheme="majorEastAsia" w:cstheme="majorBidi"/>
      <w:color w:val="272727" w:themeColor="text1" w:themeTint="D8"/>
    </w:rPr>
  </w:style>
  <w:style w:type="paragraph" w:styleId="Ttulo">
    <w:name w:val="Title"/>
    <w:basedOn w:val="Normal"/>
    <w:next w:val="Normal"/>
    <w:link w:val="TtuloCar"/>
    <w:uiPriority w:val="10"/>
    <w:qFormat/>
    <w:rsid w:val="00370B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70B2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70B2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70B2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70B27"/>
    <w:pPr>
      <w:spacing w:before="160"/>
      <w:jc w:val="center"/>
    </w:pPr>
    <w:rPr>
      <w:i/>
      <w:iCs/>
      <w:color w:val="404040" w:themeColor="text1" w:themeTint="BF"/>
    </w:rPr>
  </w:style>
  <w:style w:type="character" w:customStyle="1" w:styleId="CitaCar">
    <w:name w:val="Cita Car"/>
    <w:basedOn w:val="Fuentedeprrafopredeter"/>
    <w:link w:val="Cita"/>
    <w:uiPriority w:val="29"/>
    <w:rsid w:val="00370B27"/>
    <w:rPr>
      <w:i/>
      <w:iCs/>
      <w:color w:val="404040" w:themeColor="text1" w:themeTint="BF"/>
    </w:rPr>
  </w:style>
  <w:style w:type="paragraph" w:styleId="Prrafodelista">
    <w:name w:val="List Paragraph"/>
    <w:basedOn w:val="Normal"/>
    <w:uiPriority w:val="34"/>
    <w:qFormat/>
    <w:rsid w:val="00370B27"/>
    <w:pPr>
      <w:ind w:left="720"/>
      <w:contextualSpacing/>
    </w:pPr>
  </w:style>
  <w:style w:type="character" w:styleId="nfasisintenso">
    <w:name w:val="Intense Emphasis"/>
    <w:basedOn w:val="Fuentedeprrafopredeter"/>
    <w:uiPriority w:val="21"/>
    <w:qFormat/>
    <w:rsid w:val="00370B27"/>
    <w:rPr>
      <w:i/>
      <w:iCs/>
      <w:color w:val="2F5496" w:themeColor="accent1" w:themeShade="BF"/>
    </w:rPr>
  </w:style>
  <w:style w:type="paragraph" w:styleId="Citadestacada">
    <w:name w:val="Intense Quote"/>
    <w:basedOn w:val="Normal"/>
    <w:next w:val="Normal"/>
    <w:link w:val="CitadestacadaCar"/>
    <w:uiPriority w:val="30"/>
    <w:qFormat/>
    <w:rsid w:val="00370B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370B27"/>
    <w:rPr>
      <w:i/>
      <w:iCs/>
      <w:color w:val="2F5496" w:themeColor="accent1" w:themeShade="BF"/>
    </w:rPr>
  </w:style>
  <w:style w:type="character" w:styleId="Referenciaintensa">
    <w:name w:val="Intense Reference"/>
    <w:basedOn w:val="Fuentedeprrafopredeter"/>
    <w:uiPriority w:val="32"/>
    <w:qFormat/>
    <w:rsid w:val="00370B27"/>
    <w:rPr>
      <w:b/>
      <w:bCs/>
      <w:smallCaps/>
      <w:color w:val="2F5496" w:themeColor="accent1" w:themeShade="BF"/>
      <w:spacing w:val="5"/>
    </w:rPr>
  </w:style>
  <w:style w:type="paragraph" w:styleId="Textonotapie">
    <w:name w:val="footnote text"/>
    <w:basedOn w:val="Normal"/>
    <w:link w:val="TextonotapieCar"/>
    <w:uiPriority w:val="9"/>
    <w:unhideWhenUsed/>
    <w:qFormat/>
    <w:rsid w:val="002525E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525EA"/>
    <w:rPr>
      <w:sz w:val="20"/>
      <w:szCs w:val="20"/>
    </w:rPr>
  </w:style>
  <w:style w:type="character" w:styleId="Refdenotaalpie">
    <w:name w:val="footnote reference"/>
    <w:basedOn w:val="Fuentedeprrafopredeter"/>
    <w:unhideWhenUsed/>
    <w:rsid w:val="002525EA"/>
    <w:rPr>
      <w:vertAlign w:val="superscript"/>
    </w:rPr>
  </w:style>
  <w:style w:type="paragraph" w:styleId="Textoindependiente">
    <w:name w:val="Body Text"/>
    <w:basedOn w:val="Normal"/>
    <w:link w:val="TextoindependienteCar"/>
    <w:qFormat/>
    <w:rsid w:val="002525EA"/>
    <w:pPr>
      <w:spacing w:before="180" w:after="180" w:line="240" w:lineRule="auto"/>
    </w:pPr>
    <w:rPr>
      <w:kern w:val="0"/>
      <w:sz w:val="24"/>
      <w:szCs w:val="24"/>
      <w:lang w:val="en-US"/>
      <w14:ligatures w14:val="none"/>
    </w:rPr>
  </w:style>
  <w:style w:type="character" w:customStyle="1" w:styleId="TextoindependienteCar">
    <w:name w:val="Texto independiente Car"/>
    <w:basedOn w:val="Fuentedeprrafopredeter"/>
    <w:link w:val="Textoindependiente"/>
    <w:rsid w:val="002525EA"/>
    <w:rPr>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E31276-163E-481F-9D5B-F1FF30373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7</Pages>
  <Words>2017</Words>
  <Characters>11097</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I. DURAN SAL</dc:creator>
  <cp:keywords/>
  <dc:description/>
  <cp:lastModifiedBy>MANUEL I. DURAN SAL</cp:lastModifiedBy>
  <cp:revision>13</cp:revision>
  <dcterms:created xsi:type="dcterms:W3CDTF">2025-09-15T20:19:00Z</dcterms:created>
  <dcterms:modified xsi:type="dcterms:W3CDTF">2025-09-25T13:12:00Z</dcterms:modified>
</cp:coreProperties>
</file>