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F4613" w14:textId="77777777" w:rsidR="00B3060C" w:rsidRDefault="00B3060C" w:rsidP="00E839A8">
      <w:pPr>
        <w:spacing w:line="360" w:lineRule="auto"/>
        <w:jc w:val="both"/>
        <w:rPr>
          <w:rFonts w:cstheme="minorHAnsi"/>
          <w:b/>
          <w:sz w:val="25"/>
          <w:szCs w:val="25"/>
        </w:rPr>
      </w:pPr>
      <w:r w:rsidRPr="00E839A8">
        <w:rPr>
          <w:rFonts w:cstheme="minorHAnsi"/>
          <w:b/>
          <w:sz w:val="25"/>
          <w:szCs w:val="25"/>
        </w:rPr>
        <w:t>De la correcta comprensión de las denominadas garantías a la función judicial. ¿Existe en ellas la aplicación del denominado principio de progresividad?</w:t>
      </w:r>
    </w:p>
    <w:p w14:paraId="5B99F987" w14:textId="7B4CF714" w:rsidR="00FA1822" w:rsidRPr="00FA1822" w:rsidRDefault="00FA1822" w:rsidP="00FA1822">
      <w:pPr>
        <w:spacing w:line="360" w:lineRule="auto"/>
        <w:jc w:val="right"/>
        <w:rPr>
          <w:rFonts w:cstheme="minorHAnsi"/>
          <w:bCs/>
          <w:sz w:val="25"/>
          <w:szCs w:val="25"/>
        </w:rPr>
      </w:pPr>
      <w:r w:rsidRPr="00FA1822">
        <w:rPr>
          <w:rFonts w:cstheme="minorHAnsi"/>
          <w:bCs/>
          <w:sz w:val="25"/>
          <w:szCs w:val="25"/>
        </w:rPr>
        <w:t>Por Omar Esteban Fornetti.</w:t>
      </w:r>
    </w:p>
    <w:p w14:paraId="54900398" w14:textId="77777777" w:rsidR="00B3060C" w:rsidRPr="00E839A8" w:rsidRDefault="007B0CB2" w:rsidP="00E839A8">
      <w:pPr>
        <w:spacing w:line="360" w:lineRule="auto"/>
        <w:jc w:val="both"/>
        <w:rPr>
          <w:rFonts w:cstheme="minorHAnsi"/>
          <w:sz w:val="25"/>
          <w:szCs w:val="25"/>
        </w:rPr>
      </w:pPr>
      <w:r w:rsidRPr="00E839A8">
        <w:rPr>
          <w:rFonts w:cstheme="minorHAnsi"/>
          <w:sz w:val="25"/>
          <w:szCs w:val="25"/>
        </w:rPr>
        <w:t>1.- Introducción:</w:t>
      </w:r>
    </w:p>
    <w:p w14:paraId="33E6BD01" w14:textId="77777777" w:rsidR="007B0CB2" w:rsidRPr="00E839A8" w:rsidRDefault="007B0CB2" w:rsidP="00E839A8">
      <w:pPr>
        <w:spacing w:line="360" w:lineRule="auto"/>
        <w:jc w:val="both"/>
        <w:rPr>
          <w:rFonts w:cstheme="minorHAnsi"/>
          <w:sz w:val="25"/>
          <w:szCs w:val="25"/>
        </w:rPr>
      </w:pPr>
      <w:r w:rsidRPr="00E839A8">
        <w:rPr>
          <w:rFonts w:cstheme="minorHAnsi"/>
          <w:sz w:val="25"/>
          <w:szCs w:val="25"/>
        </w:rPr>
        <w:t>En general, cuando en derecho procesal hablamos de principios procesales</w:t>
      </w:r>
      <w:r w:rsidR="009C6079">
        <w:rPr>
          <w:rStyle w:val="Refdenotaalpie"/>
          <w:rFonts w:cstheme="minorHAnsi"/>
          <w:sz w:val="25"/>
          <w:szCs w:val="25"/>
        </w:rPr>
        <w:footnoteReference w:id="1"/>
      </w:r>
      <w:r w:rsidRPr="00E839A8">
        <w:rPr>
          <w:rFonts w:cstheme="minorHAnsi"/>
          <w:sz w:val="25"/>
          <w:szCs w:val="25"/>
        </w:rPr>
        <w:t xml:space="preserve"> e indicamos, como uno de los </w:t>
      </w:r>
      <w:r w:rsidR="009C6079" w:rsidRPr="00E839A8">
        <w:rPr>
          <w:rFonts w:cstheme="minorHAnsi"/>
          <w:sz w:val="25"/>
          <w:szCs w:val="25"/>
        </w:rPr>
        <w:t>transcendentales</w:t>
      </w:r>
      <w:r w:rsidRPr="00E839A8">
        <w:rPr>
          <w:rFonts w:cstheme="minorHAnsi"/>
          <w:sz w:val="25"/>
          <w:szCs w:val="25"/>
        </w:rPr>
        <w:t xml:space="preserve">, a la imparcialidad del juzgador, lo desmembramos en tres aristas: la imparcialidad propiamente dicha, la </w:t>
      </w:r>
      <w:proofErr w:type="spellStart"/>
      <w:r w:rsidRPr="00E839A8">
        <w:rPr>
          <w:rFonts w:cstheme="minorHAnsi"/>
          <w:sz w:val="25"/>
          <w:szCs w:val="25"/>
        </w:rPr>
        <w:t>impartialidad</w:t>
      </w:r>
      <w:proofErr w:type="spellEnd"/>
      <w:r w:rsidRPr="00E839A8">
        <w:rPr>
          <w:rFonts w:cstheme="minorHAnsi"/>
          <w:sz w:val="25"/>
          <w:szCs w:val="25"/>
        </w:rPr>
        <w:t xml:space="preserve"> y la independencia.</w:t>
      </w:r>
      <w:r w:rsidR="009C6079">
        <w:rPr>
          <w:rFonts w:cstheme="minorHAnsi"/>
          <w:sz w:val="25"/>
          <w:szCs w:val="25"/>
        </w:rPr>
        <w:t xml:space="preserve"> De esta</w:t>
      </w:r>
      <w:r w:rsidRPr="00E839A8">
        <w:rPr>
          <w:rFonts w:cstheme="minorHAnsi"/>
          <w:sz w:val="25"/>
          <w:szCs w:val="25"/>
        </w:rPr>
        <w:t>s, las dos primeras aristas son las más analizadas en el</w:t>
      </w:r>
      <w:r w:rsidR="009C6079">
        <w:rPr>
          <w:rFonts w:cstheme="minorHAnsi"/>
          <w:sz w:val="25"/>
          <w:szCs w:val="25"/>
        </w:rPr>
        <w:t xml:space="preserve"> marco</w:t>
      </w:r>
      <w:r w:rsidRPr="00E839A8">
        <w:rPr>
          <w:rFonts w:cstheme="minorHAnsi"/>
          <w:sz w:val="25"/>
          <w:szCs w:val="25"/>
        </w:rPr>
        <w:t xml:space="preserve"> proces</w:t>
      </w:r>
      <w:r w:rsidR="009C6079">
        <w:rPr>
          <w:rFonts w:cstheme="minorHAnsi"/>
          <w:sz w:val="25"/>
          <w:szCs w:val="25"/>
        </w:rPr>
        <w:t>al</w:t>
      </w:r>
      <w:r w:rsidRPr="00E839A8">
        <w:rPr>
          <w:rFonts w:cstheme="minorHAnsi"/>
          <w:sz w:val="25"/>
          <w:szCs w:val="25"/>
        </w:rPr>
        <w:t>, ya que la primera refiere a la ausencia de interés directo e indirecto del juzgador en el objeto litigioso y, la segunda, a la no realización de actividades que le competen a las partes procesales.</w:t>
      </w:r>
    </w:p>
    <w:p w14:paraId="35EDA096" w14:textId="77777777" w:rsidR="007B0CB2" w:rsidRPr="00E839A8" w:rsidRDefault="007B0CB2" w:rsidP="00E839A8">
      <w:pPr>
        <w:spacing w:line="360" w:lineRule="auto"/>
        <w:jc w:val="both"/>
        <w:rPr>
          <w:rFonts w:cstheme="minorHAnsi"/>
          <w:sz w:val="25"/>
          <w:szCs w:val="25"/>
        </w:rPr>
      </w:pPr>
      <w:r w:rsidRPr="00E839A8">
        <w:rPr>
          <w:rFonts w:cstheme="minorHAnsi"/>
          <w:sz w:val="25"/>
          <w:szCs w:val="25"/>
        </w:rPr>
        <w:t>La ind</w:t>
      </w:r>
      <w:r w:rsidR="000313AD" w:rsidRPr="00E839A8">
        <w:rPr>
          <w:rFonts w:cstheme="minorHAnsi"/>
          <w:sz w:val="25"/>
          <w:szCs w:val="25"/>
        </w:rPr>
        <w:t>ependencia también es analizada por la doctrina procesalista;</w:t>
      </w:r>
      <w:r w:rsidRPr="00E839A8">
        <w:rPr>
          <w:rFonts w:cstheme="minorHAnsi"/>
          <w:sz w:val="25"/>
          <w:szCs w:val="25"/>
        </w:rPr>
        <w:t xml:space="preserve"> pero como también es un tema propio del derecho político (</w:t>
      </w:r>
      <w:r w:rsidR="00DC7DC4" w:rsidRPr="00E839A8">
        <w:rPr>
          <w:rFonts w:cstheme="minorHAnsi"/>
          <w:sz w:val="25"/>
          <w:szCs w:val="25"/>
        </w:rPr>
        <w:t>hoy hay posiciones que ubican al juez como el principal</w:t>
      </w:r>
      <w:r w:rsidR="000313AD" w:rsidRPr="00E839A8">
        <w:rPr>
          <w:rFonts w:cstheme="minorHAnsi"/>
          <w:sz w:val="25"/>
          <w:szCs w:val="25"/>
        </w:rPr>
        <w:t xml:space="preserve"> actor del sistema en la división de poderes</w:t>
      </w:r>
      <w:r w:rsidR="00D94C2C" w:rsidRPr="00E839A8">
        <w:rPr>
          <w:rStyle w:val="Refdenotaalpie"/>
          <w:rFonts w:cstheme="minorHAnsi"/>
          <w:sz w:val="25"/>
          <w:szCs w:val="25"/>
        </w:rPr>
        <w:footnoteReference w:id="2"/>
      </w:r>
      <w:r w:rsidR="000313AD" w:rsidRPr="00E839A8">
        <w:rPr>
          <w:rFonts w:cstheme="minorHAnsi"/>
          <w:sz w:val="25"/>
          <w:szCs w:val="25"/>
        </w:rPr>
        <w:t>) y constitucional, en general no se le ha dado un profundo tratamiento al tema y, merced de lo que a diario se ve en los Tribunales y es propalado por los medios de comunicación –caso “</w:t>
      </w:r>
      <w:proofErr w:type="spellStart"/>
      <w:r w:rsidR="000313AD" w:rsidRPr="00E839A8">
        <w:rPr>
          <w:rFonts w:cstheme="minorHAnsi"/>
          <w:sz w:val="25"/>
          <w:szCs w:val="25"/>
        </w:rPr>
        <w:t>Makintach</w:t>
      </w:r>
      <w:proofErr w:type="spellEnd"/>
      <w:r w:rsidR="000313AD" w:rsidRPr="00E839A8">
        <w:rPr>
          <w:rFonts w:cstheme="minorHAnsi"/>
          <w:sz w:val="25"/>
          <w:szCs w:val="25"/>
        </w:rPr>
        <w:t>”, v.g.- es un tema que debe ser analizado</w:t>
      </w:r>
      <w:r w:rsidR="009C6079">
        <w:rPr>
          <w:rFonts w:cstheme="minorHAnsi"/>
          <w:sz w:val="25"/>
          <w:szCs w:val="25"/>
        </w:rPr>
        <w:t xml:space="preserve"> más profundamente</w:t>
      </w:r>
      <w:r w:rsidR="000313AD" w:rsidRPr="00E839A8">
        <w:rPr>
          <w:rFonts w:cstheme="minorHAnsi"/>
          <w:sz w:val="25"/>
          <w:szCs w:val="25"/>
        </w:rPr>
        <w:t xml:space="preserve"> en el derecho procesal, ya que de nada sirve tener un juez que, directa o indirectamente no tenga interés personal en el objeto del litigio, ni que se abstenga de realizar actos de partes, si por la ausencia de</w:t>
      </w:r>
      <w:r w:rsidR="00B5064D" w:rsidRPr="00E839A8">
        <w:rPr>
          <w:rFonts w:cstheme="minorHAnsi"/>
          <w:sz w:val="25"/>
          <w:szCs w:val="25"/>
        </w:rPr>
        <w:t xml:space="preserve"> independencia las resoluciones –interlocutorias y </w:t>
      </w:r>
      <w:proofErr w:type="spellStart"/>
      <w:r w:rsidR="00B5064D" w:rsidRPr="00E839A8">
        <w:rPr>
          <w:rFonts w:cstheme="minorHAnsi"/>
          <w:sz w:val="25"/>
          <w:szCs w:val="25"/>
        </w:rPr>
        <w:t>sentenciales</w:t>
      </w:r>
      <w:proofErr w:type="spellEnd"/>
      <w:r w:rsidR="00B5064D" w:rsidRPr="00E839A8">
        <w:rPr>
          <w:rFonts w:cstheme="minorHAnsi"/>
          <w:sz w:val="25"/>
          <w:szCs w:val="25"/>
        </w:rPr>
        <w:t>- carecen de apego a las normas jurídicas positivas</w:t>
      </w:r>
      <w:r w:rsidR="009C6079">
        <w:rPr>
          <w:rFonts w:cstheme="minorHAnsi"/>
          <w:sz w:val="25"/>
          <w:szCs w:val="25"/>
        </w:rPr>
        <w:t xml:space="preserve"> y están afectadas por la ideología o factores externos a la conciencia del juzgador</w:t>
      </w:r>
      <w:r w:rsidR="00B5064D" w:rsidRPr="00E839A8">
        <w:rPr>
          <w:rFonts w:cstheme="minorHAnsi"/>
          <w:sz w:val="25"/>
          <w:szCs w:val="25"/>
        </w:rPr>
        <w:t>.</w:t>
      </w:r>
    </w:p>
    <w:p w14:paraId="7836706F" w14:textId="77777777" w:rsidR="00B5064D" w:rsidRPr="00E839A8" w:rsidRDefault="00B5064D" w:rsidP="00E839A8">
      <w:pPr>
        <w:spacing w:line="360" w:lineRule="auto"/>
        <w:jc w:val="both"/>
        <w:rPr>
          <w:rFonts w:cstheme="minorHAnsi"/>
          <w:sz w:val="25"/>
          <w:szCs w:val="25"/>
        </w:rPr>
      </w:pPr>
      <w:r w:rsidRPr="00E839A8">
        <w:rPr>
          <w:rFonts w:cstheme="minorHAnsi"/>
          <w:sz w:val="25"/>
          <w:szCs w:val="25"/>
        </w:rPr>
        <w:t>2.- Sistemas de Garantías Judiciales.</w:t>
      </w:r>
    </w:p>
    <w:p w14:paraId="5B843946" w14:textId="77777777" w:rsidR="00B5064D" w:rsidRPr="00E839A8" w:rsidRDefault="00031B29" w:rsidP="00E839A8">
      <w:pPr>
        <w:spacing w:line="360" w:lineRule="auto"/>
        <w:jc w:val="both"/>
        <w:rPr>
          <w:rFonts w:cstheme="minorHAnsi"/>
          <w:sz w:val="25"/>
          <w:szCs w:val="25"/>
        </w:rPr>
      </w:pPr>
      <w:r w:rsidRPr="00E839A8">
        <w:rPr>
          <w:rFonts w:cstheme="minorHAnsi"/>
          <w:sz w:val="25"/>
          <w:szCs w:val="25"/>
        </w:rPr>
        <w:t xml:space="preserve">Desde la constitucionalización de la división de poderes (o, mejor dicho, funciones), existen varios modelos, pero hay dos bien difundidos: </w:t>
      </w:r>
      <w:r w:rsidR="004125CF">
        <w:rPr>
          <w:rFonts w:cstheme="minorHAnsi"/>
          <w:sz w:val="25"/>
          <w:szCs w:val="25"/>
        </w:rPr>
        <w:t xml:space="preserve">a) </w:t>
      </w:r>
      <w:r w:rsidRPr="00E839A8">
        <w:rPr>
          <w:rFonts w:cstheme="minorHAnsi"/>
          <w:sz w:val="25"/>
          <w:szCs w:val="25"/>
        </w:rPr>
        <w:t xml:space="preserve">el </w:t>
      </w:r>
      <w:r w:rsidR="004125CF">
        <w:rPr>
          <w:rFonts w:cstheme="minorHAnsi"/>
          <w:sz w:val="25"/>
          <w:szCs w:val="25"/>
        </w:rPr>
        <w:t>cuat</w:t>
      </w:r>
      <w:r w:rsidR="004125CF" w:rsidRPr="00E839A8">
        <w:rPr>
          <w:rFonts w:cstheme="minorHAnsi"/>
          <w:sz w:val="25"/>
          <w:szCs w:val="25"/>
        </w:rPr>
        <w:t>ripartito</w:t>
      </w:r>
      <w:r w:rsidRPr="00E839A8">
        <w:rPr>
          <w:rFonts w:cstheme="minorHAnsi"/>
          <w:sz w:val="25"/>
          <w:szCs w:val="25"/>
        </w:rPr>
        <w:t xml:space="preserve">: </w:t>
      </w:r>
      <w:r w:rsidR="009C6079">
        <w:rPr>
          <w:rFonts w:cstheme="minorHAnsi"/>
          <w:sz w:val="25"/>
          <w:szCs w:val="25"/>
        </w:rPr>
        <w:t xml:space="preserve">donde hay </w:t>
      </w:r>
      <w:r w:rsidR="009C6079">
        <w:rPr>
          <w:rFonts w:cstheme="minorHAnsi"/>
          <w:sz w:val="25"/>
          <w:szCs w:val="25"/>
        </w:rPr>
        <w:lastRenderedPageBreak/>
        <w:t>cuatro funciones Poder Ejecutivo, Parlamento, Administración de Justicia y Tribunal Constitucional</w:t>
      </w:r>
      <w:r w:rsidR="00763DB7">
        <w:rPr>
          <w:rStyle w:val="Refdenotaalpie"/>
          <w:rFonts w:cstheme="minorHAnsi"/>
          <w:sz w:val="25"/>
          <w:szCs w:val="25"/>
        </w:rPr>
        <w:footnoteReference w:id="3"/>
      </w:r>
      <w:r w:rsidR="00763DB7">
        <w:rPr>
          <w:rFonts w:cstheme="minorHAnsi"/>
          <w:sz w:val="25"/>
          <w:szCs w:val="25"/>
        </w:rPr>
        <w:t>;</w:t>
      </w:r>
      <w:r w:rsidRPr="00E839A8">
        <w:rPr>
          <w:rFonts w:cstheme="minorHAnsi"/>
          <w:sz w:val="25"/>
          <w:szCs w:val="25"/>
        </w:rPr>
        <w:t xml:space="preserve"> y, por otro, </w:t>
      </w:r>
      <w:r w:rsidR="004125CF">
        <w:rPr>
          <w:rFonts w:cstheme="minorHAnsi"/>
          <w:sz w:val="25"/>
          <w:szCs w:val="25"/>
        </w:rPr>
        <w:t xml:space="preserve">b) </w:t>
      </w:r>
      <w:r w:rsidRPr="00E839A8">
        <w:rPr>
          <w:rFonts w:cstheme="minorHAnsi"/>
          <w:sz w:val="25"/>
          <w:szCs w:val="25"/>
        </w:rPr>
        <w:t>un sist</w:t>
      </w:r>
      <w:r w:rsidR="00763DB7">
        <w:rPr>
          <w:rFonts w:cstheme="minorHAnsi"/>
          <w:sz w:val="25"/>
          <w:szCs w:val="25"/>
        </w:rPr>
        <w:t xml:space="preserve">ema tripartito: Poder Ejecutivo, </w:t>
      </w:r>
      <w:r w:rsidRPr="00E839A8">
        <w:rPr>
          <w:rFonts w:cstheme="minorHAnsi"/>
          <w:sz w:val="25"/>
          <w:szCs w:val="25"/>
        </w:rPr>
        <w:t>Poder Legislativo y Poder Judicial</w:t>
      </w:r>
      <w:r w:rsidR="00763DB7">
        <w:rPr>
          <w:rStyle w:val="Refdenotaalpie"/>
          <w:rFonts w:cstheme="minorHAnsi"/>
          <w:sz w:val="25"/>
          <w:szCs w:val="25"/>
        </w:rPr>
        <w:footnoteReference w:id="4"/>
      </w:r>
      <w:r w:rsidRPr="00E839A8">
        <w:rPr>
          <w:rFonts w:cstheme="minorHAnsi"/>
          <w:sz w:val="25"/>
          <w:szCs w:val="25"/>
        </w:rPr>
        <w:t>.</w:t>
      </w:r>
    </w:p>
    <w:p w14:paraId="7A962272" w14:textId="77777777" w:rsidR="00031B29" w:rsidRPr="00E839A8" w:rsidRDefault="00031B29" w:rsidP="00E839A8">
      <w:pPr>
        <w:spacing w:line="360" w:lineRule="auto"/>
        <w:jc w:val="both"/>
        <w:rPr>
          <w:rFonts w:cstheme="minorHAnsi"/>
          <w:sz w:val="25"/>
          <w:szCs w:val="25"/>
        </w:rPr>
      </w:pPr>
      <w:r w:rsidRPr="00E839A8">
        <w:rPr>
          <w:rFonts w:cstheme="minorHAnsi"/>
          <w:sz w:val="25"/>
          <w:szCs w:val="25"/>
        </w:rPr>
        <w:t>En Argentina se siguió la posición de la Constitución estadounidense en materia constitucional sobre el poder judicial,</w:t>
      </w:r>
      <w:r w:rsidR="003B2619">
        <w:rPr>
          <w:rFonts w:cstheme="minorHAnsi"/>
          <w:sz w:val="25"/>
          <w:szCs w:val="25"/>
        </w:rPr>
        <w:t xml:space="preserve"> adoptando el sistema tripartito,</w:t>
      </w:r>
      <w:r w:rsidRPr="00E839A8">
        <w:rPr>
          <w:rFonts w:cstheme="minorHAnsi"/>
          <w:sz w:val="25"/>
          <w:szCs w:val="25"/>
        </w:rPr>
        <w:t xml:space="preserve"> por lo que las palabras de </w:t>
      </w:r>
      <w:r w:rsidR="004125CF">
        <w:rPr>
          <w:rFonts w:cstheme="minorHAnsi"/>
          <w:sz w:val="25"/>
          <w:szCs w:val="25"/>
        </w:rPr>
        <w:t xml:space="preserve">Alexander </w:t>
      </w:r>
      <w:r w:rsidRPr="00E839A8">
        <w:rPr>
          <w:rFonts w:cstheme="minorHAnsi"/>
          <w:sz w:val="25"/>
          <w:szCs w:val="25"/>
        </w:rPr>
        <w:t>Hamilton</w:t>
      </w:r>
      <w:r w:rsidR="003B2619">
        <w:rPr>
          <w:rFonts w:cstheme="minorHAnsi"/>
          <w:sz w:val="25"/>
          <w:szCs w:val="25"/>
        </w:rPr>
        <w:t xml:space="preserve"> para el país del norte</w:t>
      </w:r>
      <w:r w:rsidRPr="00E839A8">
        <w:rPr>
          <w:rFonts w:cstheme="minorHAnsi"/>
          <w:sz w:val="25"/>
          <w:szCs w:val="25"/>
        </w:rPr>
        <w:t xml:space="preserve"> resultan aplicables. Así, en </w:t>
      </w:r>
      <w:r w:rsidRPr="00E839A8">
        <w:rPr>
          <w:rFonts w:cstheme="minorHAnsi"/>
          <w:i/>
          <w:iCs/>
          <w:sz w:val="25"/>
          <w:szCs w:val="25"/>
        </w:rPr>
        <w:t>El Federalista</w:t>
      </w:r>
      <w:r w:rsidRPr="00E839A8">
        <w:rPr>
          <w:rFonts w:cstheme="minorHAnsi"/>
          <w:sz w:val="25"/>
          <w:szCs w:val="25"/>
        </w:rPr>
        <w:t> Nº 78</w:t>
      </w:r>
      <w:r w:rsidR="004125CF">
        <w:rPr>
          <w:rStyle w:val="Refdenotaalpie"/>
          <w:rFonts w:cstheme="minorHAnsi"/>
          <w:sz w:val="25"/>
          <w:szCs w:val="25"/>
        </w:rPr>
        <w:footnoteReference w:id="5"/>
      </w:r>
      <w:r w:rsidRPr="00E839A8">
        <w:rPr>
          <w:rFonts w:cstheme="minorHAnsi"/>
          <w:sz w:val="25"/>
          <w:szCs w:val="25"/>
        </w:rPr>
        <w:t>, destacó la importancia esencial de esta garantía:</w:t>
      </w:r>
      <w:r w:rsidRPr="00E839A8">
        <w:rPr>
          <w:rFonts w:cstheme="minorHAnsi"/>
          <w:b/>
          <w:bCs/>
          <w:sz w:val="25"/>
          <w:szCs w:val="25"/>
        </w:rPr>
        <w:t xml:space="preserve"> </w:t>
      </w:r>
      <w:r w:rsidRPr="00E839A8">
        <w:rPr>
          <w:rFonts w:cstheme="minorHAnsi"/>
          <w:sz w:val="25"/>
          <w:szCs w:val="25"/>
        </w:rPr>
        <w:t>“La regla de la buena conducta para la continuación en el cargo de magistrado judicial es por cierto uno de los más valiosos adelantos modernos en la práctica de gobierno. En una monarquía es una excelente barrera para el despotismo del príncipe; en una república no es menos barrera para las usurpaciones y opresiones del cuerpo de representantes. Y es lo más conveniente que pueda idearse en cualquier gobierno para garantizar una administración de las leyes firme, recta e imparcial”; y agregó: “</w:t>
      </w:r>
      <w:r w:rsidRPr="00E839A8">
        <w:rPr>
          <w:rFonts w:cstheme="minorHAnsi"/>
          <w:i/>
          <w:sz w:val="25"/>
          <w:szCs w:val="25"/>
        </w:rPr>
        <w:t>nada puede contribuir tanto a su firmeza e independencia como la permanencia en el empleo</w:t>
      </w:r>
      <w:r w:rsidRPr="00E839A8">
        <w:rPr>
          <w:rFonts w:cstheme="minorHAnsi"/>
          <w:sz w:val="25"/>
          <w:szCs w:val="25"/>
        </w:rPr>
        <w:t>. Esta condición debe pues mirarse con razón como un ingrediente indispensable en su constitución y en gran manera como el baluarte de la justicia pública y de la pública seguridad”.</w:t>
      </w:r>
    </w:p>
    <w:p w14:paraId="6CB45E75" w14:textId="77777777" w:rsidR="00031B29" w:rsidRPr="00E839A8" w:rsidRDefault="00031B29" w:rsidP="00E839A8">
      <w:pPr>
        <w:spacing w:line="360" w:lineRule="auto"/>
        <w:jc w:val="both"/>
        <w:rPr>
          <w:rFonts w:cstheme="minorHAnsi"/>
          <w:sz w:val="25"/>
          <w:szCs w:val="25"/>
        </w:rPr>
      </w:pPr>
      <w:r w:rsidRPr="00E839A8">
        <w:rPr>
          <w:rFonts w:cstheme="minorHAnsi"/>
          <w:sz w:val="25"/>
          <w:szCs w:val="25"/>
        </w:rPr>
        <w:t>De ahí que la Constitución argentina</w:t>
      </w:r>
      <w:r w:rsidR="00571F58" w:rsidRPr="00E839A8">
        <w:rPr>
          <w:rFonts w:cstheme="minorHAnsi"/>
          <w:sz w:val="25"/>
          <w:szCs w:val="25"/>
        </w:rPr>
        <w:t>, siguiendo esta posición,</w:t>
      </w:r>
      <w:r w:rsidRPr="00E839A8">
        <w:rPr>
          <w:rFonts w:cstheme="minorHAnsi"/>
          <w:sz w:val="25"/>
          <w:szCs w:val="25"/>
        </w:rPr>
        <w:t xml:space="preserve"> consagró dos garantías esenciales en el art. 110</w:t>
      </w:r>
      <w:r w:rsidR="00571F58" w:rsidRPr="00E839A8">
        <w:rPr>
          <w:rFonts w:cstheme="minorHAnsi"/>
          <w:sz w:val="25"/>
          <w:szCs w:val="25"/>
        </w:rPr>
        <w:t xml:space="preserve">, </w:t>
      </w:r>
      <w:r w:rsidR="003B2619">
        <w:rPr>
          <w:rFonts w:cstheme="minorHAnsi"/>
          <w:sz w:val="25"/>
          <w:szCs w:val="25"/>
        </w:rPr>
        <w:t xml:space="preserve">el </w:t>
      </w:r>
      <w:r w:rsidR="00571F58" w:rsidRPr="00E839A8">
        <w:rPr>
          <w:rFonts w:cstheme="minorHAnsi"/>
          <w:sz w:val="25"/>
          <w:szCs w:val="25"/>
        </w:rPr>
        <w:t xml:space="preserve">que dice: “Los jueces de la Corte Suprema y de los tribunales inferiores de la Nación </w:t>
      </w:r>
      <w:r w:rsidR="00571F58" w:rsidRPr="00E839A8">
        <w:rPr>
          <w:rFonts w:cstheme="minorHAnsi"/>
          <w:i/>
          <w:sz w:val="25"/>
          <w:szCs w:val="25"/>
        </w:rPr>
        <w:t>conservarán sus empleos mientras dure su buena conducta</w:t>
      </w:r>
      <w:r w:rsidR="00571F58" w:rsidRPr="00E839A8">
        <w:rPr>
          <w:rFonts w:cstheme="minorHAnsi"/>
          <w:sz w:val="25"/>
          <w:szCs w:val="25"/>
        </w:rPr>
        <w:t xml:space="preserve">, </w:t>
      </w:r>
      <w:r w:rsidR="00571F58" w:rsidRPr="00E839A8">
        <w:rPr>
          <w:rFonts w:cstheme="minorHAnsi"/>
          <w:i/>
          <w:sz w:val="25"/>
          <w:szCs w:val="25"/>
        </w:rPr>
        <w:t xml:space="preserve">y recibirán por sus servicios una compensación que determinará la ley, y </w:t>
      </w:r>
      <w:r w:rsidR="00571F58" w:rsidRPr="00E839A8">
        <w:rPr>
          <w:rFonts w:cstheme="minorHAnsi"/>
          <w:i/>
          <w:sz w:val="25"/>
          <w:szCs w:val="25"/>
        </w:rPr>
        <w:lastRenderedPageBreak/>
        <w:t>que no podrá ser disminuida en manera alguna</w:t>
      </w:r>
      <w:r w:rsidR="00571F58" w:rsidRPr="00E839A8">
        <w:rPr>
          <w:rFonts w:cstheme="minorHAnsi"/>
          <w:sz w:val="25"/>
          <w:szCs w:val="25"/>
        </w:rPr>
        <w:t>, mientras permaneciesen en sus funciones”.</w:t>
      </w:r>
    </w:p>
    <w:p w14:paraId="5E988FD6" w14:textId="77777777" w:rsidR="00571F58" w:rsidRPr="00E839A8" w:rsidRDefault="00571F58" w:rsidP="00E839A8">
      <w:pPr>
        <w:spacing w:line="360" w:lineRule="auto"/>
        <w:jc w:val="both"/>
        <w:rPr>
          <w:rFonts w:cstheme="minorHAnsi"/>
          <w:sz w:val="25"/>
          <w:szCs w:val="25"/>
        </w:rPr>
      </w:pPr>
      <w:r w:rsidRPr="00E839A8">
        <w:rPr>
          <w:rFonts w:cstheme="minorHAnsi"/>
          <w:sz w:val="25"/>
          <w:szCs w:val="25"/>
        </w:rPr>
        <w:t>Estas son las garantías de inamovilidad y de intangibilidad. Inamovilidad, porque de ser transitorio su empleo quedaría dependiente del órgano (político o judicial</w:t>
      </w:r>
      <w:r w:rsidR="00D94C2C" w:rsidRPr="00E839A8">
        <w:rPr>
          <w:rStyle w:val="Refdenotaalpie"/>
          <w:rFonts w:cstheme="minorHAnsi"/>
          <w:sz w:val="25"/>
          <w:szCs w:val="25"/>
        </w:rPr>
        <w:footnoteReference w:id="6"/>
      </w:r>
      <w:r w:rsidRPr="00E839A8">
        <w:rPr>
          <w:rFonts w:cstheme="minorHAnsi"/>
          <w:sz w:val="25"/>
          <w:szCs w:val="25"/>
        </w:rPr>
        <w:t xml:space="preserve">) que </w:t>
      </w:r>
      <w:r w:rsidR="003B2619">
        <w:rPr>
          <w:rFonts w:cstheme="minorHAnsi"/>
          <w:sz w:val="25"/>
          <w:szCs w:val="25"/>
        </w:rPr>
        <w:t>lo mantenga; y</w:t>
      </w:r>
      <w:r w:rsidRPr="00E839A8">
        <w:rPr>
          <w:rFonts w:cstheme="minorHAnsi"/>
          <w:sz w:val="25"/>
          <w:szCs w:val="25"/>
        </w:rPr>
        <w:t xml:space="preserve"> la intangibilidad, porque de ser posible la afectación de la remuneración también quedaría sujeto a los gobiernos de turno que, al decir de Hamilton, tienen “la bolsa” por medio del Poder Legislativo.</w:t>
      </w:r>
    </w:p>
    <w:p w14:paraId="1DD2DCC9" w14:textId="77777777" w:rsidR="00031B29" w:rsidRPr="00E839A8" w:rsidRDefault="002C1008" w:rsidP="00E839A8">
      <w:pPr>
        <w:spacing w:line="360" w:lineRule="auto"/>
        <w:jc w:val="both"/>
        <w:rPr>
          <w:rFonts w:cstheme="minorHAnsi"/>
          <w:sz w:val="25"/>
          <w:szCs w:val="25"/>
        </w:rPr>
      </w:pPr>
      <w:r w:rsidRPr="00E839A8">
        <w:rPr>
          <w:rFonts w:cstheme="minorHAnsi"/>
          <w:sz w:val="25"/>
          <w:szCs w:val="25"/>
        </w:rPr>
        <w:t>Pero estas garantías, que en el art. 110 están referidas a los jueces, no son sólo de las personas que ocupan tales cargos, sino</w:t>
      </w:r>
      <w:r w:rsidR="003B2619">
        <w:rPr>
          <w:rFonts w:cstheme="minorHAnsi"/>
          <w:sz w:val="25"/>
          <w:szCs w:val="25"/>
        </w:rPr>
        <w:t xml:space="preserve"> </w:t>
      </w:r>
      <w:r w:rsidRPr="00E839A8">
        <w:rPr>
          <w:rFonts w:cstheme="minorHAnsi"/>
          <w:sz w:val="25"/>
          <w:szCs w:val="25"/>
        </w:rPr>
        <w:t xml:space="preserve">que están conferidas por el </w:t>
      </w:r>
      <w:r w:rsidR="003B2619">
        <w:rPr>
          <w:rFonts w:cstheme="minorHAnsi"/>
          <w:sz w:val="25"/>
          <w:szCs w:val="25"/>
        </w:rPr>
        <w:t>poder c</w:t>
      </w:r>
      <w:r w:rsidRPr="00E839A8">
        <w:rPr>
          <w:rFonts w:cstheme="minorHAnsi"/>
          <w:sz w:val="25"/>
          <w:szCs w:val="25"/>
        </w:rPr>
        <w:t xml:space="preserve">onstituyente </w:t>
      </w:r>
      <w:r w:rsidRPr="00E839A8">
        <w:rPr>
          <w:rFonts w:cstheme="minorHAnsi"/>
          <w:i/>
          <w:sz w:val="25"/>
          <w:szCs w:val="25"/>
        </w:rPr>
        <w:t>al cargo en sí</w:t>
      </w:r>
      <w:r w:rsidRPr="00E839A8">
        <w:rPr>
          <w:rFonts w:cstheme="minorHAnsi"/>
          <w:sz w:val="25"/>
          <w:szCs w:val="25"/>
        </w:rPr>
        <w:t>, por lo que</w:t>
      </w:r>
      <w:r w:rsidR="003B2619">
        <w:rPr>
          <w:rFonts w:cstheme="minorHAnsi"/>
          <w:sz w:val="25"/>
          <w:szCs w:val="25"/>
        </w:rPr>
        <w:t>, entonces,</w:t>
      </w:r>
      <w:r w:rsidRPr="00E839A8">
        <w:rPr>
          <w:rFonts w:cstheme="minorHAnsi"/>
          <w:sz w:val="25"/>
          <w:szCs w:val="25"/>
        </w:rPr>
        <w:t xml:space="preserve"> son </w:t>
      </w:r>
      <w:r w:rsidR="003B2619">
        <w:rPr>
          <w:rFonts w:cstheme="minorHAnsi"/>
          <w:sz w:val="25"/>
          <w:szCs w:val="25"/>
        </w:rPr>
        <w:t xml:space="preserve">garantías </w:t>
      </w:r>
      <w:r w:rsidRPr="00E839A8">
        <w:rPr>
          <w:rFonts w:cstheme="minorHAnsi"/>
          <w:sz w:val="25"/>
          <w:szCs w:val="25"/>
        </w:rPr>
        <w:t xml:space="preserve">tanto para el sujeto que ocupa la función de juez como </w:t>
      </w:r>
      <w:r w:rsidR="003B2619">
        <w:rPr>
          <w:rFonts w:cstheme="minorHAnsi"/>
          <w:sz w:val="25"/>
          <w:szCs w:val="25"/>
        </w:rPr>
        <w:t xml:space="preserve">también </w:t>
      </w:r>
      <w:r w:rsidRPr="00E839A8">
        <w:rPr>
          <w:rFonts w:cstheme="minorHAnsi"/>
          <w:sz w:val="25"/>
          <w:szCs w:val="25"/>
        </w:rPr>
        <w:t xml:space="preserve">para los habitantes que deben </w:t>
      </w:r>
      <w:r w:rsidR="003B2619">
        <w:rPr>
          <w:rFonts w:cstheme="minorHAnsi"/>
          <w:sz w:val="25"/>
          <w:szCs w:val="25"/>
        </w:rPr>
        <w:t>resolver</w:t>
      </w:r>
      <w:r w:rsidRPr="00E839A8">
        <w:rPr>
          <w:rFonts w:cstheme="minorHAnsi"/>
          <w:sz w:val="25"/>
          <w:szCs w:val="25"/>
        </w:rPr>
        <w:t xml:space="preserve"> sus conflictos en modo heterónomo y público ante aquél. Es decir, la garantía no es sólo para la persona que ejerce la magistratura judicial como juez, s</w:t>
      </w:r>
      <w:r w:rsidR="00C00952" w:rsidRPr="00E839A8">
        <w:rPr>
          <w:rFonts w:cstheme="minorHAnsi"/>
          <w:sz w:val="25"/>
          <w:szCs w:val="25"/>
        </w:rPr>
        <w:t>ino</w:t>
      </w:r>
      <w:r w:rsidR="003B2619">
        <w:rPr>
          <w:rFonts w:cstheme="minorHAnsi"/>
          <w:sz w:val="25"/>
          <w:szCs w:val="25"/>
        </w:rPr>
        <w:t xml:space="preserve"> –y, como veremos, principalmente-</w:t>
      </w:r>
      <w:r w:rsidR="00C00952" w:rsidRPr="00E839A8">
        <w:rPr>
          <w:rFonts w:cstheme="minorHAnsi"/>
          <w:sz w:val="25"/>
          <w:szCs w:val="25"/>
        </w:rPr>
        <w:t xml:space="preserve"> para los justiciables que deben acudir a tal </w:t>
      </w:r>
      <w:r w:rsidR="003B2619">
        <w:rPr>
          <w:rFonts w:cstheme="minorHAnsi"/>
          <w:sz w:val="25"/>
          <w:szCs w:val="25"/>
        </w:rPr>
        <w:t>órgano</w:t>
      </w:r>
      <w:r w:rsidR="00C00952" w:rsidRPr="00E839A8">
        <w:rPr>
          <w:rFonts w:cstheme="minorHAnsi"/>
          <w:sz w:val="25"/>
          <w:szCs w:val="25"/>
        </w:rPr>
        <w:t>.</w:t>
      </w:r>
    </w:p>
    <w:p w14:paraId="3D6CCEE8" w14:textId="77777777" w:rsidR="00C00952" w:rsidRPr="00E839A8" w:rsidRDefault="00C00952" w:rsidP="00E839A8">
      <w:pPr>
        <w:spacing w:line="360" w:lineRule="auto"/>
        <w:jc w:val="both"/>
        <w:rPr>
          <w:rFonts w:cstheme="minorHAnsi"/>
          <w:sz w:val="25"/>
          <w:szCs w:val="25"/>
        </w:rPr>
      </w:pPr>
      <w:r w:rsidRPr="00E839A8">
        <w:rPr>
          <w:rFonts w:cstheme="minorHAnsi"/>
          <w:sz w:val="25"/>
          <w:szCs w:val="25"/>
        </w:rPr>
        <w:t xml:space="preserve">La Corte Suprema ha </w:t>
      </w:r>
      <w:r w:rsidR="003B2619">
        <w:rPr>
          <w:rFonts w:cstheme="minorHAnsi"/>
          <w:sz w:val="25"/>
          <w:szCs w:val="25"/>
        </w:rPr>
        <w:t>señalado</w:t>
      </w:r>
      <w:r w:rsidRPr="00E839A8">
        <w:rPr>
          <w:rFonts w:cstheme="minorHAnsi"/>
          <w:sz w:val="25"/>
          <w:szCs w:val="25"/>
        </w:rPr>
        <w:t xml:space="preserve"> en la interpretación del art. 110 (</w:t>
      </w:r>
      <w:r w:rsidR="003B2619">
        <w:rPr>
          <w:rFonts w:cstheme="minorHAnsi"/>
          <w:sz w:val="25"/>
          <w:szCs w:val="25"/>
        </w:rPr>
        <w:t xml:space="preserve">art. </w:t>
      </w:r>
      <w:r w:rsidRPr="00E839A8">
        <w:rPr>
          <w:rFonts w:cstheme="minorHAnsi"/>
          <w:sz w:val="25"/>
          <w:szCs w:val="25"/>
        </w:rPr>
        <w:t>96 antes de la reforma del ´94)</w:t>
      </w:r>
      <w:r w:rsidR="003B2619">
        <w:rPr>
          <w:rFonts w:cstheme="minorHAnsi"/>
          <w:sz w:val="25"/>
          <w:szCs w:val="25"/>
        </w:rPr>
        <w:t xml:space="preserve"> -</w:t>
      </w:r>
      <w:r w:rsidRPr="00E839A8">
        <w:rPr>
          <w:rFonts w:cstheme="minorHAnsi"/>
          <w:sz w:val="25"/>
          <w:szCs w:val="25"/>
        </w:rPr>
        <w:t>en los casos “</w:t>
      </w:r>
      <w:proofErr w:type="spellStart"/>
      <w:r w:rsidRPr="00E839A8">
        <w:rPr>
          <w:rFonts w:cstheme="minorHAnsi"/>
          <w:sz w:val="25"/>
          <w:szCs w:val="25"/>
        </w:rPr>
        <w:t>Grieben</w:t>
      </w:r>
      <w:proofErr w:type="spellEnd"/>
      <w:r w:rsidRPr="00E839A8">
        <w:rPr>
          <w:rFonts w:cstheme="minorHAnsi"/>
          <w:sz w:val="25"/>
          <w:szCs w:val="25"/>
        </w:rPr>
        <w:t>”</w:t>
      </w:r>
      <w:r w:rsidR="00491B9F" w:rsidRPr="00E839A8">
        <w:rPr>
          <w:rStyle w:val="Refdenotaalpie"/>
          <w:rFonts w:cstheme="minorHAnsi"/>
          <w:sz w:val="25"/>
          <w:szCs w:val="25"/>
        </w:rPr>
        <w:footnoteReference w:id="7"/>
      </w:r>
      <w:r w:rsidRPr="00E839A8">
        <w:rPr>
          <w:rFonts w:cstheme="minorHAnsi"/>
          <w:sz w:val="25"/>
          <w:szCs w:val="25"/>
        </w:rPr>
        <w:t>, “Vilela”</w:t>
      </w:r>
      <w:r w:rsidR="00491B9F" w:rsidRPr="00E839A8">
        <w:rPr>
          <w:rStyle w:val="Refdenotaalpie"/>
          <w:rFonts w:cstheme="minorHAnsi"/>
          <w:sz w:val="25"/>
          <w:szCs w:val="25"/>
        </w:rPr>
        <w:footnoteReference w:id="8"/>
      </w:r>
      <w:r w:rsidRPr="00E839A8">
        <w:rPr>
          <w:rFonts w:cstheme="minorHAnsi"/>
          <w:sz w:val="25"/>
          <w:szCs w:val="25"/>
        </w:rPr>
        <w:t>, “Fisco Nacional c/ Medina”</w:t>
      </w:r>
      <w:r w:rsidR="00491B9F" w:rsidRPr="00E839A8">
        <w:rPr>
          <w:rStyle w:val="Refdenotaalpie"/>
          <w:rFonts w:cstheme="minorHAnsi"/>
          <w:sz w:val="25"/>
          <w:szCs w:val="25"/>
        </w:rPr>
        <w:footnoteReference w:id="9"/>
      </w:r>
      <w:r w:rsidRPr="00E839A8">
        <w:rPr>
          <w:rFonts w:cstheme="minorHAnsi"/>
          <w:sz w:val="25"/>
          <w:szCs w:val="25"/>
        </w:rPr>
        <w:t>, “</w:t>
      </w:r>
      <w:proofErr w:type="spellStart"/>
      <w:r w:rsidRPr="00E839A8">
        <w:rPr>
          <w:rFonts w:cstheme="minorHAnsi"/>
          <w:sz w:val="25"/>
          <w:szCs w:val="25"/>
        </w:rPr>
        <w:t>Bonorino</w:t>
      </w:r>
      <w:proofErr w:type="spellEnd"/>
      <w:r w:rsidRPr="00E839A8">
        <w:rPr>
          <w:rFonts w:cstheme="minorHAnsi"/>
          <w:sz w:val="25"/>
          <w:szCs w:val="25"/>
        </w:rPr>
        <w:t xml:space="preserve"> </w:t>
      </w:r>
      <w:proofErr w:type="spellStart"/>
      <w:r w:rsidRPr="00E839A8">
        <w:rPr>
          <w:rFonts w:cstheme="minorHAnsi"/>
          <w:sz w:val="25"/>
          <w:szCs w:val="25"/>
        </w:rPr>
        <w:t>Peró</w:t>
      </w:r>
      <w:proofErr w:type="spellEnd"/>
      <w:r w:rsidRPr="00E839A8">
        <w:rPr>
          <w:rFonts w:cstheme="minorHAnsi"/>
          <w:sz w:val="25"/>
          <w:szCs w:val="25"/>
        </w:rPr>
        <w:t>”</w:t>
      </w:r>
      <w:r w:rsidR="00491B9F" w:rsidRPr="00E839A8">
        <w:rPr>
          <w:rStyle w:val="Refdenotaalpie"/>
          <w:rFonts w:cstheme="minorHAnsi"/>
          <w:sz w:val="25"/>
          <w:szCs w:val="25"/>
        </w:rPr>
        <w:footnoteReference w:id="10"/>
      </w:r>
      <w:r w:rsidRPr="00E839A8">
        <w:rPr>
          <w:rFonts w:cstheme="minorHAnsi"/>
          <w:sz w:val="25"/>
          <w:szCs w:val="25"/>
        </w:rPr>
        <w:t>, etc.</w:t>
      </w:r>
      <w:r w:rsidR="00491B9F" w:rsidRPr="00E839A8">
        <w:rPr>
          <w:rStyle w:val="Refdenotaalpie"/>
          <w:rFonts w:cstheme="minorHAnsi"/>
          <w:sz w:val="25"/>
          <w:szCs w:val="25"/>
        </w:rPr>
        <w:footnoteReference w:id="11"/>
      </w:r>
      <w:r w:rsidR="003B2619">
        <w:rPr>
          <w:rFonts w:cstheme="minorHAnsi"/>
          <w:sz w:val="25"/>
          <w:szCs w:val="25"/>
        </w:rPr>
        <w:t>-</w:t>
      </w:r>
      <w:r w:rsidRPr="00E839A8">
        <w:rPr>
          <w:rFonts w:cstheme="minorHAnsi"/>
          <w:sz w:val="25"/>
          <w:szCs w:val="25"/>
        </w:rPr>
        <w:t xml:space="preserve"> las siguientes apreciaciones:</w:t>
      </w:r>
    </w:p>
    <w:p w14:paraId="124A637D" w14:textId="77777777" w:rsidR="00C00952" w:rsidRPr="00E839A8" w:rsidRDefault="00C00952" w:rsidP="00E839A8">
      <w:pPr>
        <w:pStyle w:val="Prrafodelista"/>
        <w:numPr>
          <w:ilvl w:val="0"/>
          <w:numId w:val="1"/>
        </w:numPr>
        <w:spacing w:line="360" w:lineRule="auto"/>
        <w:jc w:val="both"/>
        <w:rPr>
          <w:rFonts w:cstheme="minorHAnsi"/>
          <w:sz w:val="25"/>
          <w:szCs w:val="25"/>
        </w:rPr>
      </w:pPr>
      <w:r w:rsidRPr="00E839A8">
        <w:rPr>
          <w:rFonts w:cstheme="minorHAnsi"/>
          <w:sz w:val="25"/>
          <w:szCs w:val="25"/>
        </w:rPr>
        <w:t xml:space="preserve">“la intangibilidad de los sueldos de los jueces, es garantía de la independencia del Poder Judicial, de forma que cabe considerarla, juntamente con la inamovilidad, </w:t>
      </w:r>
      <w:r w:rsidRPr="00E839A8">
        <w:rPr>
          <w:rFonts w:cstheme="minorHAnsi"/>
          <w:i/>
          <w:sz w:val="25"/>
          <w:szCs w:val="25"/>
        </w:rPr>
        <w:t>como garantía del funcionamiento de aquél</w:t>
      </w:r>
      <w:r w:rsidRPr="00E839A8">
        <w:rPr>
          <w:rFonts w:cstheme="minorHAnsi"/>
          <w:sz w:val="25"/>
          <w:szCs w:val="25"/>
        </w:rPr>
        <w:t xml:space="preserve">. </w:t>
      </w:r>
    </w:p>
    <w:p w14:paraId="4AD777A5" w14:textId="77777777" w:rsidR="00C00952" w:rsidRPr="00E839A8" w:rsidRDefault="00C00952" w:rsidP="00E839A8">
      <w:pPr>
        <w:pStyle w:val="Prrafodelista"/>
        <w:numPr>
          <w:ilvl w:val="0"/>
          <w:numId w:val="1"/>
        </w:numPr>
        <w:spacing w:line="360" w:lineRule="auto"/>
        <w:jc w:val="both"/>
        <w:rPr>
          <w:rFonts w:cstheme="minorHAnsi"/>
          <w:sz w:val="25"/>
          <w:szCs w:val="25"/>
        </w:rPr>
      </w:pPr>
      <w:r w:rsidRPr="00E839A8">
        <w:rPr>
          <w:rFonts w:cstheme="minorHAnsi"/>
          <w:sz w:val="25"/>
          <w:szCs w:val="25"/>
        </w:rPr>
        <w:t xml:space="preserve">“… esa garantía no existe para exclusivo beneficio personal o patrimonial de los magistrados, sino </w:t>
      </w:r>
      <w:r w:rsidRPr="00E839A8">
        <w:rPr>
          <w:rFonts w:cstheme="minorHAnsi"/>
          <w:i/>
          <w:sz w:val="25"/>
          <w:szCs w:val="25"/>
        </w:rPr>
        <w:t xml:space="preserve">para resguardar su función en el equilibrio tripartito de los </w:t>
      </w:r>
      <w:r w:rsidRPr="00E839A8">
        <w:rPr>
          <w:rFonts w:cstheme="minorHAnsi"/>
          <w:i/>
          <w:sz w:val="25"/>
          <w:szCs w:val="25"/>
        </w:rPr>
        <w:lastRenderedPageBreak/>
        <w:t>poderes del estado y para garantir el funcionamiento independiente del Poder Judicial</w:t>
      </w:r>
      <w:r w:rsidRPr="00E839A8">
        <w:rPr>
          <w:rFonts w:cstheme="minorHAnsi"/>
          <w:sz w:val="25"/>
          <w:szCs w:val="25"/>
        </w:rPr>
        <w:t>…”</w:t>
      </w:r>
      <w:r w:rsidR="003B2619">
        <w:rPr>
          <w:rFonts w:cstheme="minorHAnsi"/>
          <w:sz w:val="25"/>
          <w:szCs w:val="25"/>
        </w:rPr>
        <w:t>.</w:t>
      </w:r>
    </w:p>
    <w:p w14:paraId="4715C87D" w14:textId="77777777" w:rsidR="00C00952" w:rsidRPr="00E839A8" w:rsidRDefault="00C00952" w:rsidP="00E839A8">
      <w:pPr>
        <w:pStyle w:val="Prrafodelista"/>
        <w:numPr>
          <w:ilvl w:val="0"/>
          <w:numId w:val="1"/>
        </w:numPr>
        <w:spacing w:line="360" w:lineRule="auto"/>
        <w:jc w:val="both"/>
        <w:rPr>
          <w:rFonts w:cstheme="minorHAnsi"/>
          <w:sz w:val="25"/>
          <w:szCs w:val="25"/>
        </w:rPr>
      </w:pPr>
      <w:r w:rsidRPr="00E839A8">
        <w:rPr>
          <w:rFonts w:cstheme="minorHAnsi"/>
          <w:sz w:val="25"/>
          <w:szCs w:val="25"/>
        </w:rPr>
        <w:t xml:space="preserve">“…en Fallos: 176:73, esta Corte sostuvo que lo expuesto precedentemente obedece a que los constituyentes -que han tenido en mira al Poder Judicial de la Nación- lo han querido </w:t>
      </w:r>
      <w:r w:rsidRPr="00E839A8">
        <w:rPr>
          <w:rFonts w:cstheme="minorHAnsi"/>
          <w:i/>
          <w:sz w:val="25"/>
          <w:szCs w:val="25"/>
        </w:rPr>
        <w:t>liberar de toda presión por parte de los otros poderes</w:t>
      </w:r>
      <w:r w:rsidRPr="00E839A8">
        <w:rPr>
          <w:rFonts w:cstheme="minorHAnsi"/>
          <w:sz w:val="25"/>
          <w:szCs w:val="25"/>
        </w:rPr>
        <w:t>, para preservar su absoluta independencia”.</w:t>
      </w:r>
    </w:p>
    <w:p w14:paraId="29B92B31" w14:textId="77777777" w:rsidR="00C00952" w:rsidRPr="00E839A8" w:rsidRDefault="00C00952" w:rsidP="00E839A8">
      <w:pPr>
        <w:pStyle w:val="Prrafodelista"/>
        <w:numPr>
          <w:ilvl w:val="0"/>
          <w:numId w:val="1"/>
        </w:numPr>
        <w:spacing w:line="360" w:lineRule="auto"/>
        <w:jc w:val="both"/>
        <w:rPr>
          <w:rFonts w:cstheme="minorHAnsi"/>
          <w:sz w:val="25"/>
          <w:szCs w:val="25"/>
        </w:rPr>
      </w:pPr>
      <w:r w:rsidRPr="00E839A8">
        <w:rPr>
          <w:rFonts w:cstheme="minorHAnsi"/>
          <w:sz w:val="25"/>
          <w:szCs w:val="25"/>
        </w:rPr>
        <w:t xml:space="preserve">“Conviene recordar que esta Corte tiene dicho que </w:t>
      </w:r>
      <w:r w:rsidRPr="00E839A8">
        <w:rPr>
          <w:rFonts w:cstheme="minorHAnsi"/>
          <w:i/>
          <w:sz w:val="25"/>
          <w:szCs w:val="25"/>
        </w:rPr>
        <w:t>la mentada cláusula constitucional no solamente beneficia a los jueces sino a la misma sociedad, pues al otorgar a los magistrados inamovilidad e intangibilidad en su remuneración asegura a la propia sociedad, al pueblo, la estricta vigencia del Estado de Derecho y del sistema republicano de gobierno</w:t>
      </w:r>
      <w:r w:rsidRPr="00E839A8">
        <w:rPr>
          <w:rFonts w:cstheme="minorHAnsi"/>
          <w:sz w:val="25"/>
          <w:szCs w:val="25"/>
        </w:rPr>
        <w:t>”.</w:t>
      </w:r>
    </w:p>
    <w:p w14:paraId="3FBAD117" w14:textId="77777777" w:rsidR="00C00952" w:rsidRPr="00E839A8" w:rsidRDefault="00C00952" w:rsidP="00E839A8">
      <w:pPr>
        <w:spacing w:line="360" w:lineRule="auto"/>
        <w:ind w:left="60"/>
        <w:jc w:val="both"/>
        <w:rPr>
          <w:rFonts w:cstheme="minorHAnsi"/>
          <w:sz w:val="25"/>
          <w:szCs w:val="25"/>
        </w:rPr>
      </w:pPr>
      <w:r w:rsidRPr="00E839A8">
        <w:rPr>
          <w:rFonts w:cstheme="minorHAnsi"/>
          <w:sz w:val="25"/>
          <w:szCs w:val="25"/>
        </w:rPr>
        <w:t>De esta breve reseña se puede concluir que la inamovilidad e intangibilidad se consagraron</w:t>
      </w:r>
      <w:r w:rsidR="003B2619">
        <w:rPr>
          <w:rFonts w:cstheme="minorHAnsi"/>
          <w:sz w:val="25"/>
          <w:szCs w:val="25"/>
        </w:rPr>
        <w:t>, principalmente,</w:t>
      </w:r>
      <w:r w:rsidRPr="00E839A8">
        <w:rPr>
          <w:rFonts w:cstheme="minorHAnsi"/>
          <w:sz w:val="25"/>
          <w:szCs w:val="25"/>
        </w:rPr>
        <w:t xml:space="preserve"> para asegurar el funcionamiento </w:t>
      </w:r>
      <w:r w:rsidRPr="003B2619">
        <w:rPr>
          <w:rFonts w:cstheme="minorHAnsi"/>
          <w:i/>
          <w:sz w:val="25"/>
          <w:szCs w:val="25"/>
        </w:rPr>
        <w:t>independiente</w:t>
      </w:r>
      <w:r w:rsidRPr="00E839A8">
        <w:rPr>
          <w:rFonts w:cstheme="minorHAnsi"/>
          <w:sz w:val="25"/>
          <w:szCs w:val="25"/>
        </w:rPr>
        <w:t xml:space="preserve"> del Poder Judicial con el fin de asegurar la estricta vigencia del Estado de Derecho y sistema republicano. O sea, el objetivo es asegurar la juridicidad: supremacía de la Constitución y recta interpretación y aplicación de las normas jurídicas.</w:t>
      </w:r>
    </w:p>
    <w:p w14:paraId="7CF43478" w14:textId="77777777" w:rsidR="00C00952" w:rsidRPr="00E839A8" w:rsidRDefault="003B2619" w:rsidP="00E839A8">
      <w:pPr>
        <w:spacing w:line="360" w:lineRule="auto"/>
        <w:ind w:left="60"/>
        <w:jc w:val="both"/>
        <w:rPr>
          <w:rFonts w:cstheme="minorHAnsi"/>
          <w:sz w:val="25"/>
          <w:szCs w:val="25"/>
        </w:rPr>
      </w:pPr>
      <w:r>
        <w:rPr>
          <w:rFonts w:cstheme="minorHAnsi"/>
          <w:sz w:val="25"/>
          <w:szCs w:val="25"/>
        </w:rPr>
        <w:t>La supremacía de la Constitución, que está establecida en el art. 31</w:t>
      </w:r>
      <w:r w:rsidR="00296F42">
        <w:rPr>
          <w:rStyle w:val="Refdenotaalpie"/>
          <w:rFonts w:cstheme="minorHAnsi"/>
          <w:sz w:val="25"/>
          <w:szCs w:val="25"/>
        </w:rPr>
        <w:footnoteReference w:id="12"/>
      </w:r>
      <w:r>
        <w:rPr>
          <w:rFonts w:cstheme="minorHAnsi"/>
          <w:sz w:val="25"/>
          <w:szCs w:val="25"/>
        </w:rPr>
        <w:t xml:space="preserve"> de la norma fundamental, </w:t>
      </w:r>
      <w:r w:rsidR="00C00952" w:rsidRPr="00E839A8">
        <w:rPr>
          <w:rFonts w:cstheme="minorHAnsi"/>
          <w:sz w:val="25"/>
          <w:szCs w:val="25"/>
        </w:rPr>
        <w:t xml:space="preserve">se ejerce a través del </w:t>
      </w:r>
      <w:r w:rsidR="00C00952" w:rsidRPr="003B2619">
        <w:rPr>
          <w:rFonts w:cstheme="minorHAnsi"/>
          <w:i/>
          <w:sz w:val="25"/>
          <w:szCs w:val="25"/>
        </w:rPr>
        <w:t>control de constitucionalidad</w:t>
      </w:r>
      <w:r w:rsidR="00C00952" w:rsidRPr="00E839A8">
        <w:rPr>
          <w:rFonts w:cstheme="minorHAnsi"/>
          <w:sz w:val="25"/>
          <w:szCs w:val="25"/>
        </w:rPr>
        <w:t>, que,</w:t>
      </w:r>
      <w:r>
        <w:rPr>
          <w:rFonts w:cstheme="minorHAnsi"/>
          <w:sz w:val="25"/>
          <w:szCs w:val="25"/>
        </w:rPr>
        <w:t xml:space="preserve"> implícit</w:t>
      </w:r>
      <w:r w:rsidR="00296F42">
        <w:rPr>
          <w:rFonts w:cstheme="minorHAnsi"/>
          <w:sz w:val="25"/>
          <w:szCs w:val="25"/>
        </w:rPr>
        <w:t>amente reconocido en su art. 116</w:t>
      </w:r>
      <w:r w:rsidR="00296F42">
        <w:rPr>
          <w:rStyle w:val="Refdenotaalpie"/>
          <w:rFonts w:cstheme="minorHAnsi"/>
          <w:sz w:val="25"/>
          <w:szCs w:val="25"/>
        </w:rPr>
        <w:footnoteReference w:id="13"/>
      </w:r>
      <w:r w:rsidR="00296F42">
        <w:rPr>
          <w:rFonts w:cstheme="minorHAnsi"/>
          <w:sz w:val="25"/>
          <w:szCs w:val="25"/>
        </w:rPr>
        <w:t>,</w:t>
      </w:r>
      <w:r w:rsidR="00C00952" w:rsidRPr="00E839A8">
        <w:rPr>
          <w:rFonts w:cstheme="minorHAnsi"/>
          <w:sz w:val="25"/>
          <w:szCs w:val="25"/>
        </w:rPr>
        <w:t xml:space="preserve"> en una definición propia, se puede entender como </w:t>
      </w:r>
      <w:r w:rsidR="00697C1E" w:rsidRPr="00E839A8">
        <w:rPr>
          <w:rFonts w:cstheme="minorHAnsi"/>
          <w:sz w:val="25"/>
          <w:szCs w:val="25"/>
        </w:rPr>
        <w:t xml:space="preserve">la potestad que el Poder Constituyente atribuyó, en última instancia, al Poder Constituido denominado Poder Judicial para que, en un caso </w:t>
      </w:r>
      <w:r w:rsidR="00697C1E" w:rsidRPr="00E839A8">
        <w:rPr>
          <w:rFonts w:cstheme="minorHAnsi"/>
          <w:sz w:val="25"/>
          <w:szCs w:val="25"/>
        </w:rPr>
        <w:lastRenderedPageBreak/>
        <w:t>concreto,</w:t>
      </w:r>
      <w:r w:rsidR="00296F42">
        <w:rPr>
          <w:rFonts w:cstheme="minorHAnsi"/>
          <w:sz w:val="25"/>
          <w:szCs w:val="25"/>
        </w:rPr>
        <w:t xml:space="preserve"> </w:t>
      </w:r>
      <w:r w:rsidR="00697C1E" w:rsidRPr="00E839A8">
        <w:rPr>
          <w:rFonts w:cstheme="minorHAnsi"/>
          <w:sz w:val="25"/>
          <w:szCs w:val="25"/>
        </w:rPr>
        <w:t>a pedido</w:t>
      </w:r>
      <w:r w:rsidR="00296F42">
        <w:rPr>
          <w:rFonts w:cstheme="minorHAnsi"/>
          <w:sz w:val="25"/>
          <w:szCs w:val="25"/>
        </w:rPr>
        <w:t>, en principio,</w:t>
      </w:r>
      <w:r w:rsidR="00697C1E" w:rsidRPr="00E839A8">
        <w:rPr>
          <w:rFonts w:cstheme="minorHAnsi"/>
          <w:sz w:val="25"/>
          <w:szCs w:val="25"/>
        </w:rPr>
        <w:t xml:space="preserve"> de parte legitimada, examine y declare la validez o invalidez formal (por competencia y respeto de la jerarquía normativa) y/o sustancial (por posible afectación de los principios de privacidad –art 19 CN- y razonabilidad –art. 28 y 33 CN-) de las normas generales emanadas del Poder Ejecutivo, Legislativo o Judicial, a fin de restablecer la separación entre el Poder Constituyente y el Constituido</w:t>
      </w:r>
      <w:r w:rsidR="00D307CD">
        <w:rPr>
          <w:rStyle w:val="Refdenotaalpie"/>
          <w:rFonts w:cstheme="minorHAnsi"/>
          <w:sz w:val="25"/>
          <w:szCs w:val="25"/>
        </w:rPr>
        <w:footnoteReference w:id="14"/>
      </w:r>
      <w:r w:rsidR="00697C1E" w:rsidRPr="00E839A8">
        <w:rPr>
          <w:rFonts w:cstheme="minorHAnsi"/>
          <w:sz w:val="25"/>
          <w:szCs w:val="25"/>
        </w:rPr>
        <w:t>.</w:t>
      </w:r>
    </w:p>
    <w:p w14:paraId="3F8DECFC" w14:textId="77777777" w:rsidR="00697C1E" w:rsidRPr="00E839A8" w:rsidRDefault="00697C1E" w:rsidP="00E839A8">
      <w:pPr>
        <w:spacing w:line="360" w:lineRule="auto"/>
        <w:ind w:left="60"/>
        <w:jc w:val="both"/>
        <w:rPr>
          <w:rFonts w:cstheme="minorHAnsi"/>
          <w:sz w:val="25"/>
          <w:szCs w:val="25"/>
        </w:rPr>
      </w:pPr>
      <w:r w:rsidRPr="00E839A8">
        <w:rPr>
          <w:rFonts w:cstheme="minorHAnsi"/>
          <w:sz w:val="25"/>
          <w:szCs w:val="25"/>
        </w:rPr>
        <w:t>El segundo</w:t>
      </w:r>
      <w:r w:rsidR="00296F42">
        <w:rPr>
          <w:rFonts w:cstheme="minorHAnsi"/>
          <w:sz w:val="25"/>
          <w:szCs w:val="25"/>
        </w:rPr>
        <w:t xml:space="preserve"> punto, o sea, </w:t>
      </w:r>
      <w:r w:rsidR="00296F42" w:rsidRPr="00E839A8">
        <w:rPr>
          <w:rFonts w:cstheme="minorHAnsi"/>
          <w:sz w:val="25"/>
          <w:szCs w:val="25"/>
        </w:rPr>
        <w:t>recta interpretación y aplicación de las normas</w:t>
      </w:r>
      <w:r w:rsidR="00296F42">
        <w:rPr>
          <w:rFonts w:cstheme="minorHAnsi"/>
          <w:sz w:val="25"/>
          <w:szCs w:val="25"/>
        </w:rPr>
        <w:t>,</w:t>
      </w:r>
      <w:r w:rsidR="00335015" w:rsidRPr="00E839A8">
        <w:rPr>
          <w:rFonts w:cstheme="minorHAnsi"/>
          <w:sz w:val="25"/>
          <w:szCs w:val="25"/>
        </w:rPr>
        <w:t xml:space="preserve"> </w:t>
      </w:r>
      <w:r w:rsidR="00296F42">
        <w:rPr>
          <w:rFonts w:cstheme="minorHAnsi"/>
          <w:sz w:val="25"/>
          <w:szCs w:val="25"/>
        </w:rPr>
        <w:t>es efectuado por</w:t>
      </w:r>
      <w:r w:rsidR="00335015" w:rsidRPr="00E839A8">
        <w:rPr>
          <w:rFonts w:cstheme="minorHAnsi"/>
          <w:sz w:val="25"/>
          <w:szCs w:val="25"/>
        </w:rPr>
        <w:t xml:space="preserve"> medio de la función nomofiláctica</w:t>
      </w:r>
      <w:r w:rsidR="00296F42">
        <w:rPr>
          <w:rFonts w:cstheme="minorHAnsi"/>
          <w:sz w:val="25"/>
          <w:szCs w:val="25"/>
        </w:rPr>
        <w:t xml:space="preserve"> conferida –también en el art. 116 de la Constitución Nacional-</w:t>
      </w:r>
      <w:r w:rsidR="00335015" w:rsidRPr="00E839A8">
        <w:rPr>
          <w:rFonts w:cstheme="minorHAnsi"/>
          <w:sz w:val="25"/>
          <w:szCs w:val="25"/>
        </w:rPr>
        <w:t>, donde el Poder Judicial ejerce como último interprete de la correcta interpretación y aplicación de las normas jurídicas con motivo de la uniformidad, seguridad jurídica e igualdad ante la ley.</w:t>
      </w:r>
    </w:p>
    <w:p w14:paraId="42C95018" w14:textId="77777777" w:rsidR="00335015" w:rsidRPr="00E839A8" w:rsidRDefault="00335015" w:rsidP="00E839A8">
      <w:pPr>
        <w:spacing w:line="360" w:lineRule="auto"/>
        <w:ind w:left="60"/>
        <w:jc w:val="both"/>
        <w:rPr>
          <w:rFonts w:cstheme="minorHAnsi"/>
          <w:sz w:val="25"/>
          <w:szCs w:val="25"/>
        </w:rPr>
      </w:pPr>
      <w:r w:rsidRPr="00E839A8">
        <w:rPr>
          <w:rFonts w:cstheme="minorHAnsi"/>
          <w:sz w:val="25"/>
          <w:szCs w:val="25"/>
        </w:rPr>
        <w:t>Es decir, por un lado, que la Constitución nacional y la jerarquía normativa sea</w:t>
      </w:r>
      <w:r w:rsidR="007474DC" w:rsidRPr="00E839A8">
        <w:rPr>
          <w:rFonts w:cstheme="minorHAnsi"/>
          <w:sz w:val="25"/>
          <w:szCs w:val="25"/>
        </w:rPr>
        <w:t>n</w:t>
      </w:r>
      <w:r w:rsidRPr="00E839A8">
        <w:rPr>
          <w:rFonts w:cstheme="minorHAnsi"/>
          <w:sz w:val="25"/>
          <w:szCs w:val="25"/>
        </w:rPr>
        <w:t xml:space="preserve"> respetada</w:t>
      </w:r>
      <w:r w:rsidR="007474DC" w:rsidRPr="00E839A8">
        <w:rPr>
          <w:rFonts w:cstheme="minorHAnsi"/>
          <w:sz w:val="25"/>
          <w:szCs w:val="25"/>
        </w:rPr>
        <w:t>s</w:t>
      </w:r>
      <w:r w:rsidRPr="00E839A8">
        <w:rPr>
          <w:rFonts w:cstheme="minorHAnsi"/>
          <w:sz w:val="25"/>
          <w:szCs w:val="25"/>
        </w:rPr>
        <w:t xml:space="preserve"> y, por otro, que las normas jurídicas dictadas en consecuencia de la Constitución sean rectamente interpretadas y aplicadas.</w:t>
      </w:r>
    </w:p>
    <w:p w14:paraId="40128CAC" w14:textId="77777777" w:rsidR="001D2734" w:rsidRPr="00E839A8" w:rsidRDefault="001D2734" w:rsidP="00E839A8">
      <w:pPr>
        <w:spacing w:line="360" w:lineRule="auto"/>
        <w:ind w:left="60"/>
        <w:jc w:val="both"/>
        <w:rPr>
          <w:rFonts w:cstheme="minorHAnsi"/>
          <w:sz w:val="25"/>
          <w:szCs w:val="25"/>
        </w:rPr>
      </w:pPr>
      <w:r w:rsidRPr="00E839A8">
        <w:rPr>
          <w:rFonts w:cstheme="minorHAnsi"/>
          <w:sz w:val="25"/>
          <w:szCs w:val="25"/>
        </w:rPr>
        <w:t>3.- Los Modos de Afectación de Independencia.</w:t>
      </w:r>
    </w:p>
    <w:p w14:paraId="22AB882A" w14:textId="77777777" w:rsidR="007474DC" w:rsidRPr="00E839A8" w:rsidRDefault="007474DC" w:rsidP="00E839A8">
      <w:pPr>
        <w:spacing w:line="360" w:lineRule="auto"/>
        <w:ind w:left="60"/>
        <w:jc w:val="both"/>
        <w:rPr>
          <w:rFonts w:cstheme="minorHAnsi"/>
          <w:sz w:val="25"/>
          <w:szCs w:val="25"/>
        </w:rPr>
      </w:pPr>
      <w:r w:rsidRPr="00E839A8">
        <w:rPr>
          <w:rFonts w:cstheme="minorHAnsi"/>
          <w:sz w:val="25"/>
          <w:szCs w:val="25"/>
        </w:rPr>
        <w:t>La independ</w:t>
      </w:r>
      <w:r w:rsidR="002D5505">
        <w:rPr>
          <w:rFonts w:cstheme="minorHAnsi"/>
          <w:sz w:val="25"/>
          <w:szCs w:val="25"/>
        </w:rPr>
        <w:t>encia se puede afectar de</w:t>
      </w:r>
      <w:r w:rsidRPr="00E839A8">
        <w:rPr>
          <w:rFonts w:cstheme="minorHAnsi"/>
          <w:sz w:val="25"/>
          <w:szCs w:val="25"/>
        </w:rPr>
        <w:t xml:space="preserve"> modo directo </w:t>
      </w:r>
      <w:r w:rsidR="002D5505">
        <w:rPr>
          <w:rFonts w:cstheme="minorHAnsi"/>
          <w:sz w:val="25"/>
          <w:szCs w:val="25"/>
        </w:rPr>
        <w:t xml:space="preserve">e </w:t>
      </w:r>
      <w:r w:rsidRPr="00E839A8">
        <w:rPr>
          <w:rFonts w:cstheme="minorHAnsi"/>
          <w:sz w:val="25"/>
          <w:szCs w:val="25"/>
        </w:rPr>
        <w:t xml:space="preserve">indirecto. La primera es, en un estado de derecho, difícil de </w:t>
      </w:r>
      <w:r w:rsidR="002D5505">
        <w:rPr>
          <w:rFonts w:cstheme="minorHAnsi"/>
          <w:sz w:val="25"/>
          <w:szCs w:val="25"/>
        </w:rPr>
        <w:t>concretarse</w:t>
      </w:r>
      <w:r w:rsidRPr="00E839A8">
        <w:rPr>
          <w:rFonts w:cstheme="minorHAnsi"/>
          <w:sz w:val="25"/>
          <w:szCs w:val="25"/>
        </w:rPr>
        <w:t xml:space="preserve">, ya que importaría una orden directa de un órgano político o de un sujeto </w:t>
      </w:r>
      <w:r w:rsidR="002D5505">
        <w:rPr>
          <w:rFonts w:cstheme="minorHAnsi"/>
          <w:sz w:val="25"/>
          <w:szCs w:val="25"/>
        </w:rPr>
        <w:t xml:space="preserve">con ascendencia </w:t>
      </w:r>
      <w:r w:rsidRPr="00E839A8">
        <w:rPr>
          <w:rFonts w:cstheme="minorHAnsi"/>
          <w:sz w:val="25"/>
          <w:szCs w:val="25"/>
        </w:rPr>
        <w:t>sobre la forma</w:t>
      </w:r>
      <w:r w:rsidR="002D5505">
        <w:rPr>
          <w:rFonts w:cstheme="minorHAnsi"/>
          <w:sz w:val="25"/>
          <w:szCs w:val="25"/>
        </w:rPr>
        <w:t xml:space="preserve"> directa</w:t>
      </w:r>
      <w:r w:rsidRPr="00E839A8">
        <w:rPr>
          <w:rFonts w:cstheme="minorHAnsi"/>
          <w:sz w:val="25"/>
          <w:szCs w:val="25"/>
        </w:rPr>
        <w:t xml:space="preserve"> de actuación del juzgador. Pero la segunda es, hoy en día, de formas casi innumerables.</w:t>
      </w:r>
    </w:p>
    <w:p w14:paraId="29937964" w14:textId="77777777" w:rsidR="007474DC" w:rsidRPr="00E839A8" w:rsidRDefault="007474DC" w:rsidP="00E839A8">
      <w:pPr>
        <w:spacing w:line="360" w:lineRule="auto"/>
        <w:ind w:left="60"/>
        <w:jc w:val="both"/>
        <w:rPr>
          <w:rFonts w:cstheme="minorHAnsi"/>
          <w:sz w:val="25"/>
          <w:szCs w:val="25"/>
        </w:rPr>
      </w:pPr>
      <w:r w:rsidRPr="00E839A8">
        <w:rPr>
          <w:rFonts w:cstheme="minorHAnsi"/>
          <w:sz w:val="25"/>
          <w:szCs w:val="25"/>
        </w:rPr>
        <w:t xml:space="preserve">La Constitución </w:t>
      </w:r>
      <w:r w:rsidR="00296F42">
        <w:rPr>
          <w:rFonts w:cstheme="minorHAnsi"/>
          <w:sz w:val="25"/>
          <w:szCs w:val="25"/>
        </w:rPr>
        <w:t>instauró</w:t>
      </w:r>
      <w:r w:rsidRPr="00E839A8">
        <w:rPr>
          <w:rFonts w:cstheme="minorHAnsi"/>
          <w:sz w:val="25"/>
          <w:szCs w:val="25"/>
        </w:rPr>
        <w:t xml:space="preserve"> la estabilidad en el cargo y la intangibilidad de las remuneraciones como modos de evitar tanto la influencia directa como indirecta, pero hoy en día estas</w:t>
      </w:r>
      <w:r w:rsidR="00296F42">
        <w:rPr>
          <w:rFonts w:cstheme="minorHAnsi"/>
          <w:sz w:val="25"/>
          <w:szCs w:val="25"/>
        </w:rPr>
        <w:t xml:space="preserve"> garantías previstas para otra época</w:t>
      </w:r>
      <w:r w:rsidRPr="00E839A8">
        <w:rPr>
          <w:rFonts w:cstheme="minorHAnsi"/>
          <w:sz w:val="25"/>
          <w:szCs w:val="25"/>
        </w:rPr>
        <w:t xml:space="preserve">, </w:t>
      </w:r>
      <w:r w:rsidR="00296F42">
        <w:rPr>
          <w:rFonts w:cstheme="minorHAnsi"/>
          <w:sz w:val="25"/>
          <w:szCs w:val="25"/>
        </w:rPr>
        <w:t>pienso</w:t>
      </w:r>
      <w:r w:rsidRPr="00E839A8">
        <w:rPr>
          <w:rFonts w:cstheme="minorHAnsi"/>
          <w:sz w:val="25"/>
          <w:szCs w:val="25"/>
        </w:rPr>
        <w:t>, han quedado menoscabadas</w:t>
      </w:r>
      <w:r w:rsidR="00B0446C">
        <w:rPr>
          <w:rFonts w:cstheme="minorHAnsi"/>
          <w:sz w:val="25"/>
          <w:szCs w:val="25"/>
        </w:rPr>
        <w:t>,</w:t>
      </w:r>
      <w:r w:rsidRPr="00E839A8">
        <w:rPr>
          <w:rFonts w:cstheme="minorHAnsi"/>
          <w:sz w:val="25"/>
          <w:szCs w:val="25"/>
        </w:rPr>
        <w:t xml:space="preserve"> sobre todo</w:t>
      </w:r>
      <w:r w:rsidR="00B0446C">
        <w:rPr>
          <w:rFonts w:cstheme="minorHAnsi"/>
          <w:sz w:val="25"/>
          <w:szCs w:val="25"/>
        </w:rPr>
        <w:t xml:space="preserve"> actualmente,</w:t>
      </w:r>
      <w:r w:rsidRPr="00E839A8">
        <w:rPr>
          <w:rFonts w:cstheme="minorHAnsi"/>
          <w:sz w:val="25"/>
          <w:szCs w:val="25"/>
        </w:rPr>
        <w:t xml:space="preserve"> por dos modos </w:t>
      </w:r>
      <w:r w:rsidR="00296F42">
        <w:rPr>
          <w:rFonts w:cstheme="minorHAnsi"/>
          <w:sz w:val="25"/>
          <w:szCs w:val="25"/>
        </w:rPr>
        <w:t xml:space="preserve">de considerable </w:t>
      </w:r>
      <w:r w:rsidR="00296F42">
        <w:rPr>
          <w:rFonts w:cstheme="minorHAnsi"/>
          <w:sz w:val="25"/>
          <w:szCs w:val="25"/>
        </w:rPr>
        <w:lastRenderedPageBreak/>
        <w:t>envergadura</w:t>
      </w:r>
      <w:r w:rsidRPr="00E839A8">
        <w:rPr>
          <w:rFonts w:cstheme="minorHAnsi"/>
          <w:sz w:val="25"/>
          <w:szCs w:val="25"/>
        </w:rPr>
        <w:t xml:space="preserve">: la influencia de la opinión “pública” (prensa, medios digitales, redes sociales, etc.) y el modo de conformación de los </w:t>
      </w:r>
      <w:proofErr w:type="spellStart"/>
      <w:r w:rsidRPr="00E839A8">
        <w:rPr>
          <w:rFonts w:cstheme="minorHAnsi"/>
          <w:sz w:val="25"/>
          <w:szCs w:val="25"/>
        </w:rPr>
        <w:t>Jury</w:t>
      </w:r>
      <w:proofErr w:type="spellEnd"/>
      <w:r w:rsidRPr="00E839A8">
        <w:rPr>
          <w:rFonts w:cstheme="minorHAnsi"/>
          <w:sz w:val="25"/>
          <w:szCs w:val="25"/>
        </w:rPr>
        <w:t xml:space="preserve"> de Enjuiciamiento (o Consejos de la Magistratura cuando tienen esta función).</w:t>
      </w:r>
    </w:p>
    <w:p w14:paraId="19A4CBC5" w14:textId="77777777" w:rsidR="00E44742" w:rsidRPr="00E839A8" w:rsidRDefault="007474DC" w:rsidP="00E839A8">
      <w:pPr>
        <w:spacing w:line="360" w:lineRule="auto"/>
        <w:ind w:left="60"/>
        <w:jc w:val="both"/>
        <w:rPr>
          <w:rFonts w:cstheme="minorHAnsi"/>
          <w:sz w:val="25"/>
          <w:szCs w:val="25"/>
        </w:rPr>
      </w:pPr>
      <w:r w:rsidRPr="00E839A8">
        <w:rPr>
          <w:rFonts w:cstheme="minorHAnsi"/>
          <w:sz w:val="25"/>
          <w:szCs w:val="25"/>
        </w:rPr>
        <w:t>El primer punto es asaz claro hoy en día, ya que basta ver los medios periodísticos</w:t>
      </w:r>
      <w:r w:rsidR="00B0446C">
        <w:rPr>
          <w:rFonts w:cstheme="minorHAnsi"/>
          <w:sz w:val="25"/>
          <w:szCs w:val="25"/>
        </w:rPr>
        <w:t xml:space="preserve"> y las redes sociales</w:t>
      </w:r>
      <w:r w:rsidRPr="00E839A8">
        <w:rPr>
          <w:rFonts w:cstheme="minorHAnsi"/>
          <w:sz w:val="25"/>
          <w:szCs w:val="25"/>
        </w:rPr>
        <w:t xml:space="preserve"> para observar la crítica –a veces excesiva- y señalamiento en el modo de resolver un determinado tema</w:t>
      </w:r>
      <w:r w:rsidR="00B0446C">
        <w:rPr>
          <w:rFonts w:cstheme="minorHAnsi"/>
          <w:sz w:val="25"/>
          <w:szCs w:val="25"/>
        </w:rPr>
        <w:t xml:space="preserve"> judicial</w:t>
      </w:r>
      <w:r w:rsidRPr="00E839A8">
        <w:rPr>
          <w:rFonts w:cstheme="minorHAnsi"/>
          <w:sz w:val="25"/>
          <w:szCs w:val="25"/>
        </w:rPr>
        <w:t xml:space="preserve">. </w:t>
      </w:r>
      <w:r w:rsidR="00B0446C">
        <w:rPr>
          <w:rFonts w:cstheme="minorHAnsi"/>
          <w:sz w:val="25"/>
          <w:szCs w:val="25"/>
        </w:rPr>
        <w:t>Por ej., los</w:t>
      </w:r>
      <w:r w:rsidRPr="00E839A8">
        <w:rPr>
          <w:rFonts w:cstheme="minorHAnsi"/>
          <w:sz w:val="25"/>
          <w:szCs w:val="25"/>
        </w:rPr>
        <w:t xml:space="preserve"> casos</w:t>
      </w:r>
      <w:r w:rsidR="00B0446C">
        <w:rPr>
          <w:rFonts w:cstheme="minorHAnsi"/>
          <w:sz w:val="25"/>
          <w:szCs w:val="25"/>
        </w:rPr>
        <w:t xml:space="preserve"> de los</w:t>
      </w:r>
      <w:r w:rsidRPr="00E839A8">
        <w:rPr>
          <w:rFonts w:cstheme="minorHAnsi"/>
          <w:sz w:val="25"/>
          <w:szCs w:val="25"/>
        </w:rPr>
        <w:t xml:space="preserve"> “</w:t>
      </w:r>
      <w:proofErr w:type="spellStart"/>
      <w:r w:rsidRPr="00E839A8">
        <w:rPr>
          <w:rFonts w:cstheme="minorHAnsi"/>
          <w:sz w:val="25"/>
          <w:szCs w:val="25"/>
        </w:rPr>
        <w:t>rugbiers</w:t>
      </w:r>
      <w:proofErr w:type="spellEnd"/>
      <w:r w:rsidRPr="00E839A8">
        <w:rPr>
          <w:rFonts w:cstheme="minorHAnsi"/>
          <w:sz w:val="25"/>
          <w:szCs w:val="25"/>
        </w:rPr>
        <w:t xml:space="preserve">” en Villa </w:t>
      </w:r>
      <w:proofErr w:type="spellStart"/>
      <w:r w:rsidRPr="00E839A8">
        <w:rPr>
          <w:rFonts w:cstheme="minorHAnsi"/>
          <w:sz w:val="25"/>
          <w:szCs w:val="25"/>
        </w:rPr>
        <w:t>Gessel</w:t>
      </w:r>
      <w:proofErr w:type="spellEnd"/>
      <w:r w:rsidRPr="00E839A8">
        <w:rPr>
          <w:rFonts w:cstheme="minorHAnsi"/>
          <w:sz w:val="25"/>
          <w:szCs w:val="25"/>
        </w:rPr>
        <w:t xml:space="preserve">, </w:t>
      </w:r>
      <w:r w:rsidR="00B0446C">
        <w:rPr>
          <w:rFonts w:cstheme="minorHAnsi"/>
          <w:sz w:val="25"/>
          <w:szCs w:val="25"/>
        </w:rPr>
        <w:t xml:space="preserve">de </w:t>
      </w:r>
      <w:r w:rsidRPr="00E839A8">
        <w:rPr>
          <w:rFonts w:cstheme="minorHAnsi"/>
          <w:sz w:val="25"/>
          <w:szCs w:val="25"/>
        </w:rPr>
        <w:t xml:space="preserve">“CFK” en cuanto a la condena a 12 años pedida por los fiscales, </w:t>
      </w:r>
      <w:r w:rsidR="00B0446C">
        <w:rPr>
          <w:rFonts w:cstheme="minorHAnsi"/>
          <w:sz w:val="25"/>
          <w:szCs w:val="25"/>
        </w:rPr>
        <w:t xml:space="preserve">de </w:t>
      </w:r>
      <w:r w:rsidRPr="00E839A8">
        <w:rPr>
          <w:rFonts w:cstheme="minorHAnsi"/>
          <w:sz w:val="25"/>
          <w:szCs w:val="25"/>
        </w:rPr>
        <w:t>“</w:t>
      </w:r>
      <w:proofErr w:type="spellStart"/>
      <w:r w:rsidR="00E44742" w:rsidRPr="00E839A8">
        <w:rPr>
          <w:rFonts w:cstheme="minorHAnsi"/>
          <w:sz w:val="25"/>
          <w:szCs w:val="25"/>
        </w:rPr>
        <w:t>Prandi</w:t>
      </w:r>
      <w:proofErr w:type="spellEnd"/>
      <w:r w:rsidR="00E44742" w:rsidRPr="00E839A8">
        <w:rPr>
          <w:rFonts w:cstheme="minorHAnsi"/>
          <w:sz w:val="25"/>
          <w:szCs w:val="25"/>
        </w:rPr>
        <w:t xml:space="preserve">”, etc. </w:t>
      </w:r>
      <w:r w:rsidR="00B0446C">
        <w:rPr>
          <w:rFonts w:cstheme="minorHAnsi"/>
          <w:sz w:val="25"/>
          <w:szCs w:val="25"/>
        </w:rPr>
        <w:t xml:space="preserve">Tales casos </w:t>
      </w:r>
      <w:r w:rsidR="00E44742" w:rsidRPr="00E839A8">
        <w:rPr>
          <w:rFonts w:cstheme="minorHAnsi"/>
          <w:sz w:val="25"/>
          <w:szCs w:val="25"/>
        </w:rPr>
        <w:t xml:space="preserve">se </w:t>
      </w:r>
      <w:r w:rsidR="00B0446C">
        <w:rPr>
          <w:rFonts w:cstheme="minorHAnsi"/>
          <w:sz w:val="25"/>
          <w:szCs w:val="25"/>
        </w:rPr>
        <w:t>“</w:t>
      </w:r>
      <w:r w:rsidR="00E44742" w:rsidRPr="00E839A8">
        <w:rPr>
          <w:rFonts w:cstheme="minorHAnsi"/>
          <w:sz w:val="25"/>
          <w:szCs w:val="25"/>
        </w:rPr>
        <w:t>juzg</w:t>
      </w:r>
      <w:r w:rsidR="00B0446C">
        <w:rPr>
          <w:rFonts w:cstheme="minorHAnsi"/>
          <w:sz w:val="25"/>
          <w:szCs w:val="25"/>
        </w:rPr>
        <w:t>aron”</w:t>
      </w:r>
      <w:r w:rsidR="00E44742" w:rsidRPr="00E839A8">
        <w:rPr>
          <w:rFonts w:cstheme="minorHAnsi"/>
          <w:sz w:val="25"/>
          <w:szCs w:val="25"/>
        </w:rPr>
        <w:t xml:space="preserve"> por la prensa y </w:t>
      </w:r>
      <w:r w:rsidR="00B0446C">
        <w:rPr>
          <w:rFonts w:cstheme="minorHAnsi"/>
          <w:sz w:val="25"/>
          <w:szCs w:val="25"/>
        </w:rPr>
        <w:t xml:space="preserve">las </w:t>
      </w:r>
      <w:r w:rsidR="00E44742" w:rsidRPr="00E839A8">
        <w:rPr>
          <w:rFonts w:cstheme="minorHAnsi"/>
          <w:sz w:val="25"/>
          <w:szCs w:val="25"/>
        </w:rPr>
        <w:t>redes sociales, con una condena mediática que, sin hesitación, influy</w:t>
      </w:r>
      <w:r w:rsidR="00B0446C">
        <w:rPr>
          <w:rFonts w:cstheme="minorHAnsi"/>
          <w:sz w:val="25"/>
          <w:szCs w:val="25"/>
        </w:rPr>
        <w:t>ó</w:t>
      </w:r>
      <w:r w:rsidR="00E44742" w:rsidRPr="00E839A8">
        <w:rPr>
          <w:rFonts w:cstheme="minorHAnsi"/>
          <w:sz w:val="25"/>
          <w:szCs w:val="25"/>
        </w:rPr>
        <w:t xml:space="preserve"> en la conciencia de los juzgadores</w:t>
      </w:r>
      <w:r w:rsidR="00B0446C">
        <w:rPr>
          <w:rFonts w:cstheme="minorHAnsi"/>
          <w:sz w:val="25"/>
          <w:szCs w:val="25"/>
        </w:rPr>
        <w:t xml:space="preserve"> judiciales</w:t>
      </w:r>
      <w:r w:rsidR="00E44742" w:rsidRPr="00E839A8">
        <w:rPr>
          <w:rFonts w:cstheme="minorHAnsi"/>
          <w:sz w:val="25"/>
          <w:szCs w:val="25"/>
        </w:rPr>
        <w:t>.</w:t>
      </w:r>
    </w:p>
    <w:p w14:paraId="622A0142" w14:textId="77777777" w:rsidR="007474DC" w:rsidRPr="00E839A8" w:rsidRDefault="00E44742" w:rsidP="00E839A8">
      <w:pPr>
        <w:spacing w:line="360" w:lineRule="auto"/>
        <w:ind w:left="60"/>
        <w:jc w:val="both"/>
        <w:rPr>
          <w:rFonts w:cstheme="minorHAnsi"/>
          <w:sz w:val="25"/>
          <w:szCs w:val="25"/>
        </w:rPr>
      </w:pPr>
      <w:r w:rsidRPr="00E839A8">
        <w:rPr>
          <w:rFonts w:cstheme="minorHAnsi"/>
          <w:sz w:val="25"/>
          <w:szCs w:val="25"/>
        </w:rPr>
        <w:t>En el caso de los “</w:t>
      </w:r>
      <w:proofErr w:type="spellStart"/>
      <w:r w:rsidRPr="00E839A8">
        <w:rPr>
          <w:rFonts w:cstheme="minorHAnsi"/>
          <w:sz w:val="25"/>
          <w:szCs w:val="25"/>
        </w:rPr>
        <w:t>rugbiers</w:t>
      </w:r>
      <w:proofErr w:type="spellEnd"/>
      <w:r w:rsidRPr="00E839A8">
        <w:rPr>
          <w:rFonts w:cstheme="minorHAnsi"/>
          <w:sz w:val="25"/>
          <w:szCs w:val="25"/>
        </w:rPr>
        <w:t xml:space="preserve">” de Villa </w:t>
      </w:r>
      <w:proofErr w:type="spellStart"/>
      <w:r w:rsidRPr="00E839A8">
        <w:rPr>
          <w:rFonts w:cstheme="minorHAnsi"/>
          <w:sz w:val="25"/>
          <w:szCs w:val="25"/>
        </w:rPr>
        <w:t>Gessel</w:t>
      </w:r>
      <w:proofErr w:type="spellEnd"/>
      <w:r w:rsidR="0044774B">
        <w:rPr>
          <w:rFonts w:cstheme="minorHAnsi"/>
          <w:sz w:val="25"/>
          <w:szCs w:val="25"/>
        </w:rPr>
        <w:t>,</w:t>
      </w:r>
      <w:r w:rsidRPr="00E839A8">
        <w:rPr>
          <w:rFonts w:cstheme="minorHAnsi"/>
          <w:sz w:val="25"/>
          <w:szCs w:val="25"/>
        </w:rPr>
        <w:t xml:space="preserve"> donde resultó muerto por la agresión de un grupo de jugadores de rugby el joven Fernando Báez Sosa, tenía la “condena” a perpetua desde los medios de comunicación desde antes de iniciado el debate. En este punto, el abogado de la querella, mediático y conocido (Dr. Fernando Burlando), utilizaba el espacio ante la prensa para fomentar el sentido de la sentencia de </w:t>
      </w:r>
      <w:r w:rsidR="0044774B">
        <w:rPr>
          <w:rFonts w:cstheme="minorHAnsi"/>
          <w:sz w:val="25"/>
          <w:szCs w:val="25"/>
        </w:rPr>
        <w:t xml:space="preserve">este </w:t>
      </w:r>
      <w:r w:rsidRPr="00E839A8">
        <w:rPr>
          <w:rFonts w:cstheme="minorHAnsi"/>
          <w:sz w:val="25"/>
          <w:szCs w:val="25"/>
        </w:rPr>
        <w:t>modo. Tan es así que, incluso, realizó una especie de “encuesta”</w:t>
      </w:r>
      <w:r w:rsidR="00491B9F" w:rsidRPr="00E839A8">
        <w:rPr>
          <w:rStyle w:val="Refdenotaalpie"/>
          <w:rFonts w:cstheme="minorHAnsi"/>
          <w:sz w:val="25"/>
          <w:szCs w:val="25"/>
        </w:rPr>
        <w:footnoteReference w:id="15"/>
      </w:r>
      <w:r w:rsidR="00491B9F" w:rsidRPr="00E839A8">
        <w:rPr>
          <w:rFonts w:cstheme="minorHAnsi"/>
          <w:sz w:val="25"/>
          <w:szCs w:val="25"/>
        </w:rPr>
        <w:t xml:space="preserve">, donde el letrado se sorprendió </w:t>
      </w:r>
      <w:r w:rsidR="00B0446C">
        <w:rPr>
          <w:rFonts w:cstheme="minorHAnsi"/>
          <w:sz w:val="25"/>
          <w:szCs w:val="25"/>
        </w:rPr>
        <w:t xml:space="preserve">de </w:t>
      </w:r>
      <w:r w:rsidR="00491B9F" w:rsidRPr="00E839A8">
        <w:rPr>
          <w:rFonts w:cstheme="minorHAnsi"/>
          <w:sz w:val="25"/>
          <w:szCs w:val="25"/>
        </w:rPr>
        <w:t>que el 100% no hubiera votado por la</w:t>
      </w:r>
      <w:r w:rsidR="00B0446C">
        <w:rPr>
          <w:rFonts w:cstheme="minorHAnsi"/>
          <w:sz w:val="25"/>
          <w:szCs w:val="25"/>
        </w:rPr>
        <w:t xml:space="preserve"> pena de prisión</w:t>
      </w:r>
      <w:r w:rsidR="00491B9F" w:rsidRPr="00E839A8">
        <w:rPr>
          <w:rFonts w:cstheme="minorHAnsi"/>
          <w:sz w:val="25"/>
          <w:szCs w:val="25"/>
        </w:rPr>
        <w:t xml:space="preserve"> perpetua. En este caso, creo, la condena a perpetua tuvo una fuerte influencia de parte de los medios por sobre los magistrados.</w:t>
      </w:r>
    </w:p>
    <w:p w14:paraId="007F1FC4" w14:textId="77777777" w:rsidR="00491B9F" w:rsidRPr="00E839A8" w:rsidRDefault="00491B9F" w:rsidP="00E839A8">
      <w:pPr>
        <w:spacing w:line="360" w:lineRule="auto"/>
        <w:ind w:left="60"/>
        <w:jc w:val="both"/>
        <w:rPr>
          <w:rFonts w:cstheme="minorHAnsi"/>
          <w:sz w:val="25"/>
          <w:szCs w:val="25"/>
        </w:rPr>
      </w:pPr>
      <w:r w:rsidRPr="00E839A8">
        <w:rPr>
          <w:rFonts w:cstheme="minorHAnsi"/>
          <w:sz w:val="25"/>
          <w:szCs w:val="25"/>
        </w:rPr>
        <w:t>Lo mismo en el caso “CFK” –en uno de los tantos</w:t>
      </w:r>
      <w:r w:rsidR="0044774B">
        <w:rPr>
          <w:rFonts w:cstheme="minorHAnsi"/>
          <w:sz w:val="25"/>
          <w:szCs w:val="25"/>
        </w:rPr>
        <w:t xml:space="preserve"> casos en que fue imputada</w:t>
      </w:r>
      <w:r w:rsidRPr="00E839A8">
        <w:rPr>
          <w:rFonts w:cstheme="minorHAnsi"/>
          <w:sz w:val="25"/>
          <w:szCs w:val="25"/>
        </w:rPr>
        <w:t xml:space="preserve">-, donde ha sido condenada la ex presidente de la Nación a 6 años de prisión, pero en los medios se fomentaba la condena a 12 años pedida por el Ministerio Público Fiscal, cuando, </w:t>
      </w:r>
      <w:r w:rsidR="00B0446C">
        <w:rPr>
          <w:rFonts w:cstheme="minorHAnsi"/>
          <w:sz w:val="25"/>
          <w:szCs w:val="25"/>
        </w:rPr>
        <w:t xml:space="preserve">estimo </w:t>
      </w:r>
      <w:r w:rsidRPr="00E839A8">
        <w:rPr>
          <w:rFonts w:cstheme="minorHAnsi"/>
          <w:sz w:val="25"/>
          <w:szCs w:val="25"/>
        </w:rPr>
        <w:t>en lo personal, hubo una mala praxis</w:t>
      </w:r>
      <w:r w:rsidR="00B0446C">
        <w:rPr>
          <w:rFonts w:cstheme="minorHAnsi"/>
          <w:sz w:val="25"/>
          <w:szCs w:val="25"/>
        </w:rPr>
        <w:t xml:space="preserve"> del órgano acusador</w:t>
      </w:r>
      <w:r w:rsidRPr="00E839A8">
        <w:rPr>
          <w:rFonts w:cstheme="minorHAnsi"/>
          <w:sz w:val="25"/>
          <w:szCs w:val="25"/>
        </w:rPr>
        <w:t xml:space="preserve"> al insistir </w:t>
      </w:r>
      <w:r w:rsidRPr="00E839A8">
        <w:rPr>
          <w:rFonts w:cstheme="minorHAnsi"/>
          <w:sz w:val="25"/>
          <w:szCs w:val="25"/>
        </w:rPr>
        <w:lastRenderedPageBreak/>
        <w:t xml:space="preserve">con la </w:t>
      </w:r>
      <w:r w:rsidR="00B0446C">
        <w:rPr>
          <w:rFonts w:cstheme="minorHAnsi"/>
          <w:sz w:val="25"/>
          <w:szCs w:val="25"/>
        </w:rPr>
        <w:t xml:space="preserve">figura de </w:t>
      </w:r>
      <w:r w:rsidRPr="00E839A8">
        <w:rPr>
          <w:rFonts w:cstheme="minorHAnsi"/>
          <w:sz w:val="25"/>
          <w:szCs w:val="25"/>
        </w:rPr>
        <w:t>“asociación ilícita”</w:t>
      </w:r>
      <w:r w:rsidR="00284F8D">
        <w:rPr>
          <w:rStyle w:val="Refdenotaalpie"/>
          <w:rFonts w:cstheme="minorHAnsi"/>
          <w:sz w:val="25"/>
          <w:szCs w:val="25"/>
        </w:rPr>
        <w:footnoteReference w:id="16"/>
      </w:r>
      <w:r w:rsidR="00B0446C">
        <w:rPr>
          <w:rFonts w:cstheme="minorHAnsi"/>
          <w:sz w:val="25"/>
          <w:szCs w:val="25"/>
        </w:rPr>
        <w:t>,</w:t>
      </w:r>
      <w:r w:rsidRPr="00E839A8">
        <w:rPr>
          <w:rFonts w:cstheme="minorHAnsi"/>
          <w:sz w:val="25"/>
          <w:szCs w:val="25"/>
        </w:rPr>
        <w:t xml:space="preserve"> cuando en el caso todos los delitos eran </w:t>
      </w:r>
      <w:r w:rsidRPr="00E839A8">
        <w:rPr>
          <w:rFonts w:cstheme="minorHAnsi"/>
          <w:i/>
          <w:sz w:val="25"/>
          <w:szCs w:val="25"/>
        </w:rPr>
        <w:t>determinados</w:t>
      </w:r>
      <w:r w:rsidRPr="00E839A8">
        <w:rPr>
          <w:rFonts w:cstheme="minorHAnsi"/>
          <w:sz w:val="25"/>
          <w:szCs w:val="25"/>
        </w:rPr>
        <w:t xml:space="preserve"> (siempre el mismo </w:t>
      </w:r>
      <w:r w:rsidR="00284F8D">
        <w:rPr>
          <w:rFonts w:cstheme="minorHAnsi"/>
          <w:sz w:val="25"/>
          <w:szCs w:val="25"/>
        </w:rPr>
        <w:t xml:space="preserve">tipo </w:t>
      </w:r>
      <w:r w:rsidRPr="00E839A8">
        <w:rPr>
          <w:rFonts w:cstheme="minorHAnsi"/>
          <w:sz w:val="25"/>
          <w:szCs w:val="25"/>
        </w:rPr>
        <w:t>delito). En este caso, a contrario, los jueces del Tribunal Oral Federal se mantuvieron apegados a la ley estricta, ya que no se daba la tipificación de asociación ilícita sino un claro concurso de delitos que ameritaba un pedido de pena mayor por parte de los Fiscales</w:t>
      </w:r>
      <w:r w:rsidR="00284F8D">
        <w:rPr>
          <w:rFonts w:cstheme="minorHAnsi"/>
          <w:sz w:val="25"/>
          <w:szCs w:val="25"/>
        </w:rPr>
        <w:t>, pero la opinión en redes y de la prensa era que los jueces fueron “beneficiosos” con la ex presidente</w:t>
      </w:r>
      <w:r w:rsidRPr="00E839A8">
        <w:rPr>
          <w:rFonts w:cstheme="minorHAnsi"/>
          <w:sz w:val="25"/>
          <w:szCs w:val="25"/>
        </w:rPr>
        <w:t xml:space="preserve">. </w:t>
      </w:r>
    </w:p>
    <w:p w14:paraId="27F24D10" w14:textId="77777777" w:rsidR="00491B9F" w:rsidRPr="00E839A8" w:rsidRDefault="00491B9F" w:rsidP="00E839A8">
      <w:pPr>
        <w:spacing w:line="360" w:lineRule="auto"/>
        <w:ind w:left="60"/>
        <w:jc w:val="both"/>
        <w:rPr>
          <w:rFonts w:cstheme="minorHAnsi"/>
          <w:sz w:val="25"/>
          <w:szCs w:val="25"/>
        </w:rPr>
      </w:pPr>
      <w:r w:rsidRPr="00E839A8">
        <w:rPr>
          <w:rFonts w:cstheme="minorHAnsi"/>
          <w:sz w:val="25"/>
          <w:szCs w:val="25"/>
        </w:rPr>
        <w:t>Podríamos seguir</w:t>
      </w:r>
      <w:r w:rsidR="00874356" w:rsidRPr="00E839A8">
        <w:rPr>
          <w:rFonts w:cstheme="minorHAnsi"/>
          <w:sz w:val="25"/>
          <w:szCs w:val="25"/>
        </w:rPr>
        <w:t xml:space="preserve"> mencionando</w:t>
      </w:r>
      <w:r w:rsidRPr="00E839A8">
        <w:rPr>
          <w:rFonts w:cstheme="minorHAnsi"/>
          <w:sz w:val="25"/>
          <w:szCs w:val="25"/>
        </w:rPr>
        <w:t xml:space="preserve"> </w:t>
      </w:r>
      <w:r w:rsidR="00284F8D">
        <w:rPr>
          <w:rFonts w:cstheme="minorHAnsi"/>
          <w:sz w:val="25"/>
          <w:szCs w:val="25"/>
        </w:rPr>
        <w:t>otras</w:t>
      </w:r>
      <w:r w:rsidRPr="00E839A8">
        <w:rPr>
          <w:rFonts w:cstheme="minorHAnsi"/>
          <w:sz w:val="25"/>
          <w:szCs w:val="25"/>
        </w:rPr>
        <w:t xml:space="preserve"> causas</w:t>
      </w:r>
      <w:r w:rsidR="00874356" w:rsidRPr="00E839A8">
        <w:rPr>
          <w:rFonts w:cstheme="minorHAnsi"/>
          <w:sz w:val="25"/>
          <w:szCs w:val="25"/>
        </w:rPr>
        <w:t xml:space="preserve"> judiciales resonantes</w:t>
      </w:r>
      <w:r w:rsidRPr="00E839A8">
        <w:rPr>
          <w:rFonts w:cstheme="minorHAnsi"/>
          <w:sz w:val="25"/>
          <w:szCs w:val="25"/>
        </w:rPr>
        <w:t>, pero excede el motivo del trabajo. No obstante, est</w:t>
      </w:r>
      <w:r w:rsidR="00874356" w:rsidRPr="00E839A8">
        <w:rPr>
          <w:rFonts w:cstheme="minorHAnsi"/>
          <w:sz w:val="25"/>
          <w:szCs w:val="25"/>
        </w:rPr>
        <w:t>e deliberado muestreo</w:t>
      </w:r>
      <w:r w:rsidR="003C1341" w:rsidRPr="00E839A8">
        <w:rPr>
          <w:rFonts w:cstheme="minorHAnsi"/>
          <w:sz w:val="25"/>
          <w:szCs w:val="25"/>
        </w:rPr>
        <w:t xml:space="preserve"> tiene correlación con lo que les sucede a los magistrados, ya que, en algunas </w:t>
      </w:r>
      <w:proofErr w:type="spellStart"/>
      <w:r w:rsidR="003C1341" w:rsidRPr="00E839A8">
        <w:rPr>
          <w:rFonts w:cstheme="minorHAnsi"/>
          <w:sz w:val="25"/>
          <w:szCs w:val="25"/>
        </w:rPr>
        <w:t>comensalidades</w:t>
      </w:r>
      <w:proofErr w:type="spellEnd"/>
      <w:r w:rsidR="003C1341" w:rsidRPr="00E839A8">
        <w:rPr>
          <w:rFonts w:cstheme="minorHAnsi"/>
          <w:sz w:val="25"/>
          <w:szCs w:val="25"/>
        </w:rPr>
        <w:t>, más de uno ha manifestado que: “</w:t>
      </w:r>
      <w:r w:rsidR="003C1341" w:rsidRPr="0044774B">
        <w:rPr>
          <w:rFonts w:cstheme="minorHAnsi"/>
          <w:i/>
          <w:sz w:val="25"/>
          <w:szCs w:val="25"/>
        </w:rPr>
        <w:t>y si no lo hago, después te escrachan</w:t>
      </w:r>
      <w:r w:rsidR="003C1341" w:rsidRPr="00E839A8">
        <w:rPr>
          <w:rFonts w:cstheme="minorHAnsi"/>
          <w:sz w:val="25"/>
          <w:szCs w:val="25"/>
        </w:rPr>
        <w:t>”.</w:t>
      </w:r>
    </w:p>
    <w:p w14:paraId="158334C2" w14:textId="77777777" w:rsidR="00207EC1" w:rsidRPr="00E839A8" w:rsidRDefault="00874356" w:rsidP="00E839A8">
      <w:pPr>
        <w:spacing w:line="360" w:lineRule="auto"/>
        <w:ind w:left="60"/>
        <w:jc w:val="both"/>
        <w:rPr>
          <w:rFonts w:cstheme="minorHAnsi"/>
          <w:sz w:val="25"/>
          <w:szCs w:val="25"/>
        </w:rPr>
      </w:pPr>
      <w:r w:rsidRPr="00E839A8">
        <w:rPr>
          <w:rFonts w:cstheme="minorHAnsi"/>
          <w:sz w:val="25"/>
          <w:szCs w:val="25"/>
        </w:rPr>
        <w:t xml:space="preserve">El otro problema al que referimos, o sea, el de la influencia indirecta por medio de los </w:t>
      </w:r>
      <w:proofErr w:type="spellStart"/>
      <w:r w:rsidRPr="00E839A8">
        <w:rPr>
          <w:rFonts w:cstheme="minorHAnsi"/>
          <w:sz w:val="25"/>
          <w:szCs w:val="25"/>
        </w:rPr>
        <w:t>Jury</w:t>
      </w:r>
      <w:proofErr w:type="spellEnd"/>
      <w:r w:rsidRPr="00E839A8">
        <w:rPr>
          <w:rFonts w:cstheme="minorHAnsi"/>
          <w:sz w:val="25"/>
          <w:szCs w:val="25"/>
        </w:rPr>
        <w:t xml:space="preserve"> de Enjuiciamiento o Consejos de la Magistratura está dado por la acusada influencia política s</w:t>
      </w:r>
      <w:r w:rsidR="00207EC1" w:rsidRPr="00E839A8">
        <w:rPr>
          <w:rFonts w:cstheme="minorHAnsi"/>
          <w:sz w:val="25"/>
          <w:szCs w:val="25"/>
        </w:rPr>
        <w:t>obre estos y de las causales de su procedencia.</w:t>
      </w:r>
    </w:p>
    <w:p w14:paraId="658BC290" w14:textId="77777777" w:rsidR="00284F8D" w:rsidRDefault="00207EC1" w:rsidP="00E839A8">
      <w:pPr>
        <w:spacing w:line="360" w:lineRule="auto"/>
        <w:ind w:left="60"/>
        <w:jc w:val="both"/>
        <w:rPr>
          <w:rFonts w:cstheme="minorHAnsi"/>
          <w:sz w:val="25"/>
          <w:szCs w:val="25"/>
        </w:rPr>
      </w:pPr>
      <w:r w:rsidRPr="00E839A8">
        <w:rPr>
          <w:rFonts w:cstheme="minorHAnsi"/>
          <w:sz w:val="25"/>
          <w:szCs w:val="25"/>
        </w:rPr>
        <w:t xml:space="preserve">Por ejemplo, en Mendoza, por la ley 8946, se incorporó como causal de mal desempeño el inciso g), que dice: “…g) </w:t>
      </w:r>
      <w:r w:rsidRPr="00E839A8">
        <w:rPr>
          <w:rFonts w:cstheme="minorHAnsi"/>
          <w:i/>
          <w:sz w:val="25"/>
          <w:szCs w:val="25"/>
        </w:rPr>
        <w:t>Revele falta de idoneidad para el cargo o ignorancia manifiesta e inexcusable del derecho por su errónea aplicación grave o reiterada en sentencias, autos o decretos</w:t>
      </w:r>
      <w:r w:rsidRPr="00E839A8">
        <w:rPr>
          <w:rFonts w:cstheme="minorHAnsi"/>
          <w:sz w:val="25"/>
          <w:szCs w:val="25"/>
        </w:rPr>
        <w:t>”.</w:t>
      </w:r>
    </w:p>
    <w:p w14:paraId="3DB40CD4" w14:textId="77777777" w:rsidR="00207EC1" w:rsidRDefault="00284F8D" w:rsidP="00E839A8">
      <w:pPr>
        <w:spacing w:line="360" w:lineRule="auto"/>
        <w:ind w:left="60"/>
        <w:jc w:val="both"/>
        <w:rPr>
          <w:rFonts w:cstheme="minorHAnsi"/>
          <w:sz w:val="25"/>
          <w:szCs w:val="25"/>
        </w:rPr>
      </w:pPr>
      <w:r>
        <w:rPr>
          <w:rFonts w:cstheme="minorHAnsi"/>
          <w:sz w:val="25"/>
          <w:szCs w:val="25"/>
        </w:rPr>
        <w:t xml:space="preserve">La pregunta es: ¿qué es </w:t>
      </w:r>
      <w:r w:rsidRPr="00284F8D">
        <w:rPr>
          <w:rFonts w:cstheme="minorHAnsi"/>
          <w:i/>
          <w:sz w:val="25"/>
          <w:szCs w:val="25"/>
        </w:rPr>
        <w:t>revelar falta de idoneidad para el cargo</w:t>
      </w:r>
      <w:r>
        <w:rPr>
          <w:rFonts w:cstheme="minorHAnsi"/>
          <w:sz w:val="25"/>
          <w:szCs w:val="25"/>
        </w:rPr>
        <w:t xml:space="preserve">? Como regla, al menos en Mendoza, los jueces son designados previo concurso público ante un Consejo de la Magistratura de conformación variada –representantes políticos, de jueces y abogados-, elegidos por el Poder Ejecutivo de la terna vinculante y con acuerdo del Senado. Por lo tanto, el examen jurídico y moral, en principio, fue realizado antes de su designación, por lo que la idoneidad quedó acreditada previamente. </w:t>
      </w:r>
    </w:p>
    <w:p w14:paraId="3F5D0293" w14:textId="77777777" w:rsidR="00284F8D" w:rsidRPr="00284F8D" w:rsidRDefault="00284F8D" w:rsidP="00E839A8">
      <w:pPr>
        <w:spacing w:line="360" w:lineRule="auto"/>
        <w:ind w:left="60"/>
        <w:jc w:val="both"/>
        <w:rPr>
          <w:rFonts w:cstheme="minorHAnsi"/>
          <w:sz w:val="25"/>
          <w:szCs w:val="25"/>
        </w:rPr>
      </w:pPr>
      <w:r>
        <w:rPr>
          <w:rFonts w:cstheme="minorHAnsi"/>
          <w:sz w:val="25"/>
          <w:szCs w:val="25"/>
        </w:rPr>
        <w:t xml:space="preserve">La otra causal agregada: </w:t>
      </w:r>
      <w:r>
        <w:rPr>
          <w:rFonts w:cstheme="minorHAnsi"/>
          <w:i/>
          <w:sz w:val="25"/>
          <w:szCs w:val="25"/>
        </w:rPr>
        <w:t>ignorancia manifiesta e inexcusable del derecho por su errónea aplicación grave o reiterada</w:t>
      </w:r>
      <w:r>
        <w:rPr>
          <w:rFonts w:cstheme="minorHAnsi"/>
          <w:sz w:val="25"/>
          <w:szCs w:val="25"/>
        </w:rPr>
        <w:t xml:space="preserve">, pareciera una causal donde lo que se puede </w:t>
      </w:r>
      <w:r>
        <w:rPr>
          <w:rFonts w:cstheme="minorHAnsi"/>
          <w:sz w:val="25"/>
          <w:szCs w:val="25"/>
        </w:rPr>
        <w:lastRenderedPageBreak/>
        <w:t>juzgar es la aplicación que del derecho haga el juzgador, ya que si bien refiere a “ignorancia manifiesta e inexcusable” en la misma oración prevé “</w:t>
      </w:r>
      <w:r>
        <w:rPr>
          <w:rFonts w:cstheme="minorHAnsi"/>
          <w:i/>
          <w:sz w:val="25"/>
          <w:szCs w:val="25"/>
        </w:rPr>
        <w:t>por su errónea aplicación grave o reiterada</w:t>
      </w:r>
      <w:r>
        <w:rPr>
          <w:rFonts w:cstheme="minorHAnsi"/>
          <w:sz w:val="25"/>
          <w:szCs w:val="25"/>
        </w:rPr>
        <w:t>, lo que permite que cualquier error judicial grave o leve pero reiterado sea causal de remoción.</w:t>
      </w:r>
    </w:p>
    <w:p w14:paraId="6E3887E8" w14:textId="77777777" w:rsidR="00874356" w:rsidRDefault="00207EC1" w:rsidP="00E839A8">
      <w:pPr>
        <w:spacing w:line="360" w:lineRule="auto"/>
        <w:ind w:left="60"/>
        <w:jc w:val="both"/>
        <w:rPr>
          <w:rFonts w:cstheme="minorHAnsi"/>
          <w:sz w:val="25"/>
          <w:szCs w:val="25"/>
        </w:rPr>
      </w:pPr>
      <w:r w:rsidRPr="00E839A8">
        <w:rPr>
          <w:rFonts w:cstheme="minorHAnsi"/>
          <w:sz w:val="25"/>
          <w:szCs w:val="25"/>
        </w:rPr>
        <w:t xml:space="preserve">O sea, se incorpora una muy flexible causal de </w:t>
      </w:r>
      <w:proofErr w:type="spellStart"/>
      <w:r w:rsidRPr="00E839A8">
        <w:rPr>
          <w:rFonts w:cstheme="minorHAnsi"/>
          <w:sz w:val="25"/>
          <w:szCs w:val="25"/>
        </w:rPr>
        <w:t>jury</w:t>
      </w:r>
      <w:proofErr w:type="spellEnd"/>
      <w:r w:rsidRPr="00E839A8">
        <w:rPr>
          <w:rFonts w:cstheme="minorHAnsi"/>
          <w:sz w:val="25"/>
          <w:szCs w:val="25"/>
        </w:rPr>
        <w:t>, la que</w:t>
      </w:r>
      <w:r w:rsidR="00284F8D">
        <w:rPr>
          <w:rFonts w:cstheme="minorHAnsi"/>
          <w:sz w:val="25"/>
          <w:szCs w:val="25"/>
        </w:rPr>
        <w:t>, muchas veces,</w:t>
      </w:r>
      <w:r w:rsidRPr="00E839A8">
        <w:rPr>
          <w:rFonts w:cstheme="minorHAnsi"/>
          <w:sz w:val="25"/>
          <w:szCs w:val="25"/>
        </w:rPr>
        <w:t xml:space="preserve"> </w:t>
      </w:r>
      <w:r w:rsidR="00284F8D">
        <w:rPr>
          <w:rFonts w:cstheme="minorHAnsi"/>
          <w:sz w:val="25"/>
          <w:szCs w:val="25"/>
        </w:rPr>
        <w:t>quedará en su configuración</w:t>
      </w:r>
      <w:r w:rsidRPr="00E839A8">
        <w:rPr>
          <w:rFonts w:cstheme="minorHAnsi"/>
          <w:sz w:val="25"/>
          <w:szCs w:val="25"/>
        </w:rPr>
        <w:t xml:space="preserve"> estrechamente vinculada al parecer del mandamás de turno</w:t>
      </w:r>
      <w:r w:rsidRPr="00E839A8">
        <w:rPr>
          <w:rStyle w:val="Refdenotaalpie"/>
          <w:rFonts w:cstheme="minorHAnsi"/>
          <w:sz w:val="25"/>
          <w:szCs w:val="25"/>
        </w:rPr>
        <w:footnoteReference w:id="17"/>
      </w:r>
      <w:r w:rsidRPr="00E839A8">
        <w:rPr>
          <w:rFonts w:cstheme="minorHAnsi"/>
          <w:sz w:val="25"/>
          <w:szCs w:val="25"/>
        </w:rPr>
        <w:t>.</w:t>
      </w:r>
      <w:r w:rsidR="00874356" w:rsidRPr="00E839A8">
        <w:rPr>
          <w:rFonts w:cstheme="minorHAnsi"/>
          <w:sz w:val="25"/>
          <w:szCs w:val="25"/>
        </w:rPr>
        <w:t xml:space="preserve"> </w:t>
      </w:r>
    </w:p>
    <w:p w14:paraId="09C2CC91" w14:textId="77777777" w:rsidR="0044774B" w:rsidRDefault="0044774B" w:rsidP="00E839A8">
      <w:pPr>
        <w:spacing w:line="360" w:lineRule="auto"/>
        <w:ind w:left="60"/>
        <w:jc w:val="both"/>
        <w:rPr>
          <w:rFonts w:cstheme="minorHAnsi"/>
          <w:sz w:val="25"/>
          <w:szCs w:val="25"/>
        </w:rPr>
      </w:pPr>
      <w:r>
        <w:rPr>
          <w:rFonts w:cstheme="minorHAnsi"/>
          <w:sz w:val="25"/>
          <w:szCs w:val="25"/>
        </w:rPr>
        <w:t>Tan es así que</w:t>
      </w:r>
      <w:r w:rsidR="00284F8D">
        <w:rPr>
          <w:rFonts w:cstheme="minorHAnsi"/>
          <w:sz w:val="25"/>
          <w:szCs w:val="25"/>
        </w:rPr>
        <w:t xml:space="preserve"> un ex Fiscal de Estado de Mendoza, Dr.</w:t>
      </w:r>
      <w:r>
        <w:rPr>
          <w:rFonts w:cstheme="minorHAnsi"/>
          <w:sz w:val="25"/>
          <w:szCs w:val="25"/>
        </w:rPr>
        <w:t xml:space="preserve"> Aldo Giordano</w:t>
      </w:r>
      <w:r w:rsidR="00284F8D">
        <w:rPr>
          <w:rFonts w:cstheme="minorHAnsi"/>
          <w:sz w:val="25"/>
          <w:szCs w:val="25"/>
        </w:rPr>
        <w:t>,</w:t>
      </w:r>
      <w:r>
        <w:rPr>
          <w:rFonts w:cstheme="minorHAnsi"/>
          <w:sz w:val="25"/>
          <w:szCs w:val="25"/>
        </w:rPr>
        <w:t xml:space="preserve"> decía</w:t>
      </w:r>
      <w:r w:rsidR="00284F8D">
        <w:rPr>
          <w:rFonts w:cstheme="minorHAnsi"/>
          <w:sz w:val="25"/>
          <w:szCs w:val="25"/>
        </w:rPr>
        <w:t xml:space="preserve"> sobre el </w:t>
      </w:r>
      <w:proofErr w:type="spellStart"/>
      <w:r w:rsidR="00284F8D">
        <w:rPr>
          <w:rFonts w:cstheme="minorHAnsi"/>
          <w:sz w:val="25"/>
          <w:szCs w:val="25"/>
        </w:rPr>
        <w:t>Jury</w:t>
      </w:r>
      <w:proofErr w:type="spellEnd"/>
      <w:r w:rsidR="00284F8D">
        <w:rPr>
          <w:rFonts w:cstheme="minorHAnsi"/>
          <w:sz w:val="25"/>
          <w:szCs w:val="25"/>
        </w:rPr>
        <w:t xml:space="preserve"> de Enjuiciamiento</w:t>
      </w:r>
      <w:r>
        <w:rPr>
          <w:rFonts w:cstheme="minorHAnsi"/>
          <w:sz w:val="25"/>
          <w:szCs w:val="25"/>
        </w:rPr>
        <w:t>: “…esta institución… en la práctica no ha dejado satisfecha a la ciudadanía en general y a la gente del Foro en particular. Se ha entendido que este Tribunal, al menos en ciertas ocasiones, ha emitido resoluciones más acordes con un criterio corporativo o político, que con un riguroso sentido de resguardo de las virtudes cívicas, éticas y jurídicas que deben orlar los magistrados”</w:t>
      </w:r>
      <w:r>
        <w:rPr>
          <w:rStyle w:val="Refdenotaalpie"/>
          <w:rFonts w:cstheme="minorHAnsi"/>
          <w:sz w:val="25"/>
          <w:szCs w:val="25"/>
        </w:rPr>
        <w:footnoteReference w:id="18"/>
      </w:r>
      <w:r>
        <w:rPr>
          <w:rFonts w:cstheme="minorHAnsi"/>
          <w:sz w:val="25"/>
          <w:szCs w:val="25"/>
        </w:rPr>
        <w:t>.</w:t>
      </w:r>
    </w:p>
    <w:p w14:paraId="112E7EC4" w14:textId="77777777" w:rsidR="0044774B" w:rsidRPr="00E839A8" w:rsidRDefault="0044774B" w:rsidP="00E839A8">
      <w:pPr>
        <w:spacing w:line="360" w:lineRule="auto"/>
        <w:ind w:left="60"/>
        <w:jc w:val="both"/>
        <w:rPr>
          <w:rFonts w:cstheme="minorHAnsi"/>
          <w:sz w:val="25"/>
          <w:szCs w:val="25"/>
        </w:rPr>
      </w:pPr>
      <w:r>
        <w:rPr>
          <w:rFonts w:cstheme="minorHAnsi"/>
          <w:sz w:val="25"/>
          <w:szCs w:val="25"/>
        </w:rPr>
        <w:t xml:space="preserve">No sólo en </w:t>
      </w:r>
      <w:r w:rsidR="00D563B3">
        <w:rPr>
          <w:rFonts w:cstheme="minorHAnsi"/>
          <w:sz w:val="25"/>
          <w:szCs w:val="25"/>
        </w:rPr>
        <w:t xml:space="preserve">los </w:t>
      </w:r>
      <w:r>
        <w:rPr>
          <w:rFonts w:cstheme="minorHAnsi"/>
          <w:sz w:val="25"/>
          <w:szCs w:val="25"/>
        </w:rPr>
        <w:t>fallos de</w:t>
      </w:r>
      <w:r w:rsidR="00D563B3">
        <w:rPr>
          <w:rFonts w:cstheme="minorHAnsi"/>
          <w:sz w:val="25"/>
          <w:szCs w:val="25"/>
        </w:rPr>
        <w:t>l</w:t>
      </w:r>
      <w:r>
        <w:rPr>
          <w:rFonts w:cstheme="minorHAnsi"/>
          <w:sz w:val="25"/>
          <w:szCs w:val="25"/>
        </w:rPr>
        <w:t xml:space="preserve"> </w:t>
      </w:r>
      <w:proofErr w:type="spellStart"/>
      <w:r>
        <w:rPr>
          <w:rFonts w:cstheme="minorHAnsi"/>
          <w:sz w:val="25"/>
          <w:szCs w:val="25"/>
        </w:rPr>
        <w:t>Jury</w:t>
      </w:r>
      <w:proofErr w:type="spellEnd"/>
      <w:r w:rsidR="00D563B3">
        <w:rPr>
          <w:rFonts w:cstheme="minorHAnsi"/>
          <w:sz w:val="25"/>
          <w:szCs w:val="25"/>
        </w:rPr>
        <w:t xml:space="preserve"> que son</w:t>
      </w:r>
      <w:r>
        <w:rPr>
          <w:rFonts w:cstheme="minorHAnsi"/>
          <w:sz w:val="25"/>
          <w:szCs w:val="25"/>
        </w:rPr>
        <w:t xml:space="preserve"> absolutorio</w:t>
      </w:r>
      <w:r w:rsidR="00D563B3">
        <w:rPr>
          <w:rFonts w:cstheme="minorHAnsi"/>
          <w:sz w:val="25"/>
          <w:szCs w:val="25"/>
        </w:rPr>
        <w:t>s</w:t>
      </w:r>
      <w:r>
        <w:rPr>
          <w:rFonts w:cstheme="minorHAnsi"/>
          <w:sz w:val="25"/>
          <w:szCs w:val="25"/>
        </w:rPr>
        <w:t xml:space="preserve"> se ven estas cuestiones políticas, sino también</w:t>
      </w:r>
      <w:r w:rsidR="00D563B3">
        <w:rPr>
          <w:rFonts w:cstheme="minorHAnsi"/>
          <w:sz w:val="25"/>
          <w:szCs w:val="25"/>
        </w:rPr>
        <w:t>, varias veces,</w:t>
      </w:r>
      <w:r>
        <w:rPr>
          <w:rFonts w:cstheme="minorHAnsi"/>
          <w:sz w:val="25"/>
          <w:szCs w:val="25"/>
        </w:rPr>
        <w:t xml:space="preserve"> en los fallos condenatorios, donde, lamentablemente, la influencia política, aún en los magistrados que lo integran, es palpable.</w:t>
      </w:r>
    </w:p>
    <w:p w14:paraId="3FC1DF7F" w14:textId="77777777" w:rsidR="001D2734" w:rsidRPr="00E839A8" w:rsidRDefault="001D2734" w:rsidP="00E839A8">
      <w:pPr>
        <w:spacing w:line="360" w:lineRule="auto"/>
        <w:ind w:left="60"/>
        <w:jc w:val="both"/>
        <w:rPr>
          <w:rFonts w:cstheme="minorHAnsi"/>
          <w:sz w:val="25"/>
          <w:szCs w:val="25"/>
        </w:rPr>
      </w:pPr>
      <w:r w:rsidRPr="00E839A8">
        <w:rPr>
          <w:rFonts w:cstheme="minorHAnsi"/>
          <w:sz w:val="25"/>
          <w:szCs w:val="25"/>
        </w:rPr>
        <w:t>4.- ¿Qué es el principio de progresividad?</w:t>
      </w:r>
    </w:p>
    <w:p w14:paraId="0BA7F11E" w14:textId="77777777" w:rsidR="00DF31C2" w:rsidRPr="00E839A8" w:rsidRDefault="00DF31C2" w:rsidP="00E839A8">
      <w:pPr>
        <w:spacing w:line="360" w:lineRule="auto"/>
        <w:ind w:left="60"/>
        <w:jc w:val="both"/>
        <w:rPr>
          <w:rFonts w:cstheme="minorHAnsi"/>
          <w:sz w:val="25"/>
          <w:szCs w:val="25"/>
        </w:rPr>
      </w:pPr>
      <w:r w:rsidRPr="00E839A8">
        <w:rPr>
          <w:rFonts w:cstheme="minorHAnsi"/>
          <w:sz w:val="25"/>
          <w:szCs w:val="25"/>
        </w:rPr>
        <w:lastRenderedPageBreak/>
        <w:t>Este posee regulación normativa en el art. 26 de la Convención Americana de los Derechos Humanos</w:t>
      </w:r>
      <w:r w:rsidRPr="00E839A8">
        <w:rPr>
          <w:rStyle w:val="Refdenotaalpie"/>
          <w:rFonts w:cstheme="minorHAnsi"/>
          <w:sz w:val="25"/>
          <w:szCs w:val="25"/>
        </w:rPr>
        <w:footnoteReference w:id="19"/>
      </w:r>
      <w:r w:rsidRPr="00E839A8">
        <w:rPr>
          <w:rFonts w:cstheme="minorHAnsi"/>
          <w:sz w:val="25"/>
          <w:szCs w:val="25"/>
        </w:rPr>
        <w:t xml:space="preserve"> y en el Pacto Internacional de los Derechos Económicos, Sociales y Culturales</w:t>
      </w:r>
      <w:r w:rsidRPr="00E839A8">
        <w:rPr>
          <w:rStyle w:val="Refdenotaalpie"/>
          <w:rFonts w:cstheme="minorHAnsi"/>
          <w:sz w:val="25"/>
          <w:szCs w:val="25"/>
        </w:rPr>
        <w:footnoteReference w:id="20"/>
      </w:r>
      <w:r w:rsidRPr="00E839A8">
        <w:rPr>
          <w:rFonts w:cstheme="minorHAnsi"/>
          <w:sz w:val="25"/>
          <w:szCs w:val="25"/>
        </w:rPr>
        <w:t>, por lo que, por imperio del art. 75 inc. 22 CN, poseen jerarquía constitucional.</w:t>
      </w:r>
    </w:p>
    <w:p w14:paraId="44D9C78B" w14:textId="77777777" w:rsidR="00DF31C2" w:rsidRPr="00E839A8" w:rsidRDefault="00DF31C2" w:rsidP="00E839A8">
      <w:pPr>
        <w:spacing w:line="360" w:lineRule="auto"/>
        <w:ind w:left="60"/>
        <w:jc w:val="both"/>
        <w:rPr>
          <w:rFonts w:cstheme="minorHAnsi"/>
          <w:sz w:val="25"/>
          <w:szCs w:val="25"/>
        </w:rPr>
      </w:pPr>
      <w:r w:rsidRPr="00E839A8">
        <w:rPr>
          <w:rFonts w:cstheme="minorHAnsi"/>
          <w:sz w:val="25"/>
          <w:szCs w:val="25"/>
        </w:rPr>
        <w:t>El principio de progresividad de derechos humanos implica el gradual progreso pa</w:t>
      </w:r>
      <w:r w:rsidR="00D563B3">
        <w:rPr>
          <w:rFonts w:cstheme="minorHAnsi"/>
          <w:sz w:val="25"/>
          <w:szCs w:val="25"/>
        </w:rPr>
        <w:t>ra lograr su pleno cumplimiento;</w:t>
      </w:r>
      <w:r w:rsidRPr="00E839A8">
        <w:rPr>
          <w:rFonts w:cstheme="minorHAnsi"/>
          <w:sz w:val="25"/>
          <w:szCs w:val="25"/>
        </w:rPr>
        <w:t xml:space="preserve"> es decir, para el cumplimiento de </w:t>
      </w:r>
      <w:r w:rsidR="003B0AED" w:rsidRPr="00E839A8">
        <w:rPr>
          <w:rFonts w:cstheme="minorHAnsi"/>
          <w:sz w:val="25"/>
          <w:szCs w:val="25"/>
        </w:rPr>
        <w:t>los</w:t>
      </w:r>
      <w:r w:rsidR="00D563B3">
        <w:rPr>
          <w:rFonts w:cstheme="minorHAnsi"/>
          <w:sz w:val="25"/>
          <w:szCs w:val="25"/>
        </w:rPr>
        <w:t xml:space="preserve"> derechos se requiere</w:t>
      </w:r>
      <w:r w:rsidRPr="00E839A8">
        <w:rPr>
          <w:rFonts w:cstheme="minorHAnsi"/>
          <w:sz w:val="25"/>
          <w:szCs w:val="25"/>
        </w:rPr>
        <w:t xml:space="preserve"> la toma de medidas a corto, mediano y largo plazo, procediendo lo más expedita y eficazmente posible. El principio de progresividad se ha relacionado particularmente con los derechos económicos, sociales y culturales, pero aplica también para los civiles y políticos, procurando por todos los medios posibles su </w:t>
      </w:r>
      <w:r w:rsidR="003B0AED" w:rsidRPr="00E839A8">
        <w:rPr>
          <w:rFonts w:cstheme="minorHAnsi"/>
          <w:sz w:val="25"/>
          <w:szCs w:val="25"/>
        </w:rPr>
        <w:t>satisfacción en cada momento.</w:t>
      </w:r>
      <w:r w:rsidRPr="00E839A8">
        <w:rPr>
          <w:rFonts w:cstheme="minorHAnsi"/>
          <w:sz w:val="25"/>
          <w:szCs w:val="25"/>
        </w:rPr>
        <w:t xml:space="preserve"> Este principio se relaciona</w:t>
      </w:r>
      <w:r w:rsidR="00D563B3">
        <w:rPr>
          <w:rFonts w:cstheme="minorHAnsi"/>
          <w:sz w:val="25"/>
          <w:szCs w:val="25"/>
        </w:rPr>
        <w:t>, además de la progresión “hacia adelante” en la toma de medidas que mejoren el derecho,</w:t>
      </w:r>
      <w:r w:rsidRPr="00E839A8">
        <w:rPr>
          <w:rFonts w:cstheme="minorHAnsi"/>
          <w:sz w:val="25"/>
          <w:szCs w:val="25"/>
        </w:rPr>
        <w:t xml:space="preserve"> </w:t>
      </w:r>
      <w:r w:rsidR="00D563B3">
        <w:rPr>
          <w:rFonts w:cstheme="minorHAnsi"/>
          <w:sz w:val="25"/>
          <w:szCs w:val="25"/>
        </w:rPr>
        <w:t>también</w:t>
      </w:r>
      <w:r w:rsidRPr="00E839A8">
        <w:rPr>
          <w:rFonts w:cstheme="minorHAnsi"/>
          <w:sz w:val="25"/>
          <w:szCs w:val="25"/>
        </w:rPr>
        <w:t xml:space="preserve"> con la prohibición de retrocesos o </w:t>
      </w:r>
      <w:r w:rsidR="00D563B3">
        <w:rPr>
          <w:rFonts w:cstheme="minorHAnsi"/>
          <w:sz w:val="25"/>
          <w:szCs w:val="25"/>
        </w:rPr>
        <w:t>“</w:t>
      </w:r>
      <w:r w:rsidRPr="00E839A8">
        <w:rPr>
          <w:rFonts w:cstheme="minorHAnsi"/>
          <w:sz w:val="25"/>
          <w:szCs w:val="25"/>
        </w:rPr>
        <w:t>marchas atrás</w:t>
      </w:r>
      <w:r w:rsidR="00D563B3">
        <w:rPr>
          <w:rFonts w:cstheme="minorHAnsi"/>
          <w:sz w:val="25"/>
          <w:szCs w:val="25"/>
        </w:rPr>
        <w:t>”</w:t>
      </w:r>
      <w:r w:rsidRPr="00E839A8">
        <w:rPr>
          <w:rFonts w:cstheme="minorHAnsi"/>
          <w:sz w:val="25"/>
          <w:szCs w:val="25"/>
        </w:rPr>
        <w:t xml:space="preserve"> injustificadas a los niveles de cumplimiento alcanzados,</w:t>
      </w:r>
      <w:r w:rsidR="00D563B3">
        <w:rPr>
          <w:rFonts w:cstheme="minorHAnsi"/>
          <w:sz w:val="25"/>
          <w:szCs w:val="25"/>
        </w:rPr>
        <w:t xml:space="preserve"> o sea, con</w:t>
      </w:r>
      <w:r w:rsidRPr="00E839A8">
        <w:rPr>
          <w:rFonts w:cstheme="minorHAnsi"/>
          <w:sz w:val="25"/>
          <w:szCs w:val="25"/>
        </w:rPr>
        <w:t xml:space="preserve"> la “no regresividad” en la protección y garantía de derechos humanos.</w:t>
      </w:r>
    </w:p>
    <w:p w14:paraId="71C8E973" w14:textId="77777777" w:rsidR="00D563B3" w:rsidRDefault="00D563B3" w:rsidP="00E839A8">
      <w:pPr>
        <w:spacing w:line="360" w:lineRule="auto"/>
        <w:ind w:left="60"/>
        <w:jc w:val="both"/>
        <w:rPr>
          <w:rFonts w:cstheme="minorHAnsi"/>
          <w:sz w:val="25"/>
          <w:szCs w:val="25"/>
        </w:rPr>
      </w:pPr>
      <w:r>
        <w:rPr>
          <w:rFonts w:cstheme="minorHAnsi"/>
          <w:sz w:val="25"/>
          <w:szCs w:val="25"/>
        </w:rPr>
        <w:t>Justamente, lo que el principio de progresividad establece es que además de tomar acciones que establezcan, fortalezcan y optimen el derecho, no se regrese a un estadio anterior.</w:t>
      </w:r>
    </w:p>
    <w:p w14:paraId="43B0C555" w14:textId="77777777" w:rsidR="003B0AED" w:rsidRPr="00E839A8" w:rsidRDefault="00D563B3" w:rsidP="00E839A8">
      <w:pPr>
        <w:spacing w:line="360" w:lineRule="auto"/>
        <w:ind w:left="60"/>
        <w:jc w:val="both"/>
        <w:rPr>
          <w:rFonts w:cstheme="minorHAnsi"/>
          <w:sz w:val="25"/>
          <w:szCs w:val="25"/>
        </w:rPr>
      </w:pPr>
      <w:r>
        <w:rPr>
          <w:rFonts w:cstheme="minorHAnsi"/>
          <w:sz w:val="25"/>
          <w:szCs w:val="25"/>
        </w:rPr>
        <w:t>Creo que n</w:t>
      </w:r>
      <w:r w:rsidR="003B0AED" w:rsidRPr="00E839A8">
        <w:rPr>
          <w:rFonts w:cstheme="minorHAnsi"/>
          <w:sz w:val="25"/>
          <w:szCs w:val="25"/>
        </w:rPr>
        <w:t>adie p</w:t>
      </w:r>
      <w:r>
        <w:rPr>
          <w:rFonts w:cstheme="minorHAnsi"/>
          <w:sz w:val="25"/>
          <w:szCs w:val="25"/>
        </w:rPr>
        <w:t>odría</w:t>
      </w:r>
      <w:r w:rsidR="003B0AED" w:rsidRPr="00E839A8">
        <w:rPr>
          <w:rFonts w:cstheme="minorHAnsi"/>
          <w:sz w:val="25"/>
          <w:szCs w:val="25"/>
        </w:rPr>
        <w:t xml:space="preserve"> dudar que entre los derechos y garantías más importantes</w:t>
      </w:r>
      <w:r>
        <w:rPr>
          <w:rFonts w:cstheme="minorHAnsi"/>
          <w:sz w:val="25"/>
          <w:szCs w:val="25"/>
        </w:rPr>
        <w:t xml:space="preserve"> de un sistema jurídico</w:t>
      </w:r>
      <w:r w:rsidR="003B0AED" w:rsidRPr="00E839A8">
        <w:rPr>
          <w:rFonts w:cstheme="minorHAnsi"/>
          <w:sz w:val="25"/>
          <w:szCs w:val="25"/>
        </w:rPr>
        <w:t xml:space="preserve"> están las garantías procesales que consagran la imparcialidad e independencia del juzgador. Así, v.g., el art. 8 de la Convención Americana de los Derechos Humanos, en el inciso 1, dice: “Toda persona tiene derecho a ser oída, con las debidas garantías y dentro de un plazo razonable </w:t>
      </w:r>
      <w:r w:rsidR="003B0AED" w:rsidRPr="00E839A8">
        <w:rPr>
          <w:rFonts w:cstheme="minorHAnsi"/>
          <w:i/>
          <w:sz w:val="25"/>
          <w:szCs w:val="25"/>
        </w:rPr>
        <w:t xml:space="preserve">por un juez o tribunal </w:t>
      </w:r>
      <w:r w:rsidR="003B0AED" w:rsidRPr="00E839A8">
        <w:rPr>
          <w:rFonts w:cstheme="minorHAnsi"/>
          <w:i/>
          <w:sz w:val="25"/>
          <w:szCs w:val="25"/>
        </w:rPr>
        <w:lastRenderedPageBreak/>
        <w:t>competente, independiente e imparcial</w:t>
      </w:r>
      <w:r w:rsidR="003B0AED" w:rsidRPr="00E839A8">
        <w:rPr>
          <w:rFonts w:cstheme="minorHAnsi"/>
          <w:sz w:val="25"/>
          <w:szCs w:val="25"/>
        </w:rPr>
        <w:t>, establecido con anterioridad por la ley, en la sustanciación de cualquier acusación penal formulada contra ella o para la determinación de sus derechos y obligaciones de orden civil, laboral, fiscal o de cualquier otro carácter”.</w:t>
      </w:r>
    </w:p>
    <w:p w14:paraId="6F8F1EB9" w14:textId="77777777" w:rsidR="003B0AED" w:rsidRPr="00E839A8" w:rsidRDefault="003B0AED" w:rsidP="00E839A8">
      <w:pPr>
        <w:spacing w:line="360" w:lineRule="auto"/>
        <w:ind w:left="60"/>
        <w:jc w:val="both"/>
        <w:rPr>
          <w:rFonts w:cstheme="minorHAnsi"/>
          <w:sz w:val="25"/>
          <w:szCs w:val="25"/>
        </w:rPr>
      </w:pPr>
      <w:r w:rsidRPr="00E839A8">
        <w:rPr>
          <w:rFonts w:cstheme="minorHAnsi"/>
          <w:sz w:val="25"/>
          <w:szCs w:val="25"/>
        </w:rPr>
        <w:t xml:space="preserve">Por lo tanto, la </w:t>
      </w:r>
      <w:r w:rsidRPr="00E839A8">
        <w:rPr>
          <w:rFonts w:cstheme="minorHAnsi"/>
          <w:i/>
          <w:sz w:val="25"/>
          <w:szCs w:val="25"/>
        </w:rPr>
        <w:t xml:space="preserve">independencia </w:t>
      </w:r>
      <w:r w:rsidRPr="00E839A8">
        <w:rPr>
          <w:rFonts w:cstheme="minorHAnsi"/>
          <w:sz w:val="25"/>
          <w:szCs w:val="25"/>
        </w:rPr>
        <w:t xml:space="preserve">del juez o tribunal está amparada por el </w:t>
      </w:r>
      <w:r w:rsidRPr="00E839A8">
        <w:rPr>
          <w:rFonts w:cstheme="minorHAnsi"/>
          <w:i/>
          <w:sz w:val="25"/>
          <w:szCs w:val="25"/>
        </w:rPr>
        <w:t>principio de progresividad</w:t>
      </w:r>
      <w:r w:rsidRPr="00E839A8">
        <w:rPr>
          <w:rFonts w:cstheme="minorHAnsi"/>
          <w:sz w:val="25"/>
          <w:szCs w:val="25"/>
        </w:rPr>
        <w:t xml:space="preserve">, pero no directamente para la persona del juzgador, sino como garantía judicial de </w:t>
      </w:r>
      <w:r w:rsidRPr="00E839A8">
        <w:rPr>
          <w:rFonts w:cstheme="minorHAnsi"/>
          <w:i/>
          <w:sz w:val="25"/>
          <w:szCs w:val="25"/>
        </w:rPr>
        <w:t>toda persona</w:t>
      </w:r>
      <w:r w:rsidRPr="00E839A8">
        <w:rPr>
          <w:rFonts w:cstheme="minorHAnsi"/>
          <w:sz w:val="25"/>
          <w:szCs w:val="25"/>
        </w:rPr>
        <w:t xml:space="preserve">, o sea, </w:t>
      </w:r>
      <w:r w:rsidR="00D563B3">
        <w:rPr>
          <w:rFonts w:cstheme="minorHAnsi"/>
          <w:sz w:val="25"/>
          <w:szCs w:val="25"/>
        </w:rPr>
        <w:t xml:space="preserve">establecida expresamente a favor </w:t>
      </w:r>
      <w:r w:rsidRPr="00E839A8">
        <w:rPr>
          <w:rFonts w:cstheme="minorHAnsi"/>
          <w:sz w:val="25"/>
          <w:szCs w:val="25"/>
        </w:rPr>
        <w:t>de los sujetos justiciables que deben ocurrir al órgano jurisdiccional.</w:t>
      </w:r>
    </w:p>
    <w:p w14:paraId="609A9F08" w14:textId="77777777" w:rsidR="003B0AED" w:rsidRDefault="003B0AED" w:rsidP="00E839A8">
      <w:pPr>
        <w:spacing w:line="360" w:lineRule="auto"/>
        <w:ind w:left="60"/>
        <w:jc w:val="both"/>
        <w:rPr>
          <w:rFonts w:cstheme="minorHAnsi"/>
          <w:sz w:val="25"/>
          <w:szCs w:val="25"/>
        </w:rPr>
      </w:pPr>
      <w:r w:rsidRPr="00E839A8">
        <w:rPr>
          <w:rFonts w:cstheme="minorHAnsi"/>
          <w:sz w:val="25"/>
          <w:szCs w:val="25"/>
        </w:rPr>
        <w:t>Esto último es importante: la independencia del juzgador, que por la Constitución nacional se ampara con las garantías de la inamovilidad e intangibilidad</w:t>
      </w:r>
      <w:r w:rsidR="008B36CC" w:rsidRPr="00E839A8">
        <w:rPr>
          <w:rFonts w:cstheme="minorHAnsi"/>
          <w:sz w:val="25"/>
          <w:szCs w:val="25"/>
        </w:rPr>
        <w:t xml:space="preserve"> que vimos</w:t>
      </w:r>
      <w:r w:rsidRPr="00E839A8">
        <w:rPr>
          <w:rFonts w:cstheme="minorHAnsi"/>
          <w:sz w:val="25"/>
          <w:szCs w:val="25"/>
        </w:rPr>
        <w:t xml:space="preserve">, están previstas para el </w:t>
      </w:r>
      <w:r w:rsidRPr="00E839A8">
        <w:rPr>
          <w:rFonts w:cstheme="minorHAnsi"/>
          <w:i/>
          <w:sz w:val="25"/>
          <w:szCs w:val="25"/>
        </w:rPr>
        <w:t>órgano</w:t>
      </w:r>
      <w:r w:rsidRPr="00E839A8">
        <w:rPr>
          <w:rFonts w:cstheme="minorHAnsi"/>
          <w:sz w:val="25"/>
          <w:szCs w:val="25"/>
        </w:rPr>
        <w:t xml:space="preserve"> </w:t>
      </w:r>
      <w:r w:rsidRPr="00E839A8">
        <w:rPr>
          <w:rFonts w:cstheme="minorHAnsi"/>
          <w:i/>
          <w:sz w:val="25"/>
          <w:szCs w:val="25"/>
        </w:rPr>
        <w:t>en sí</w:t>
      </w:r>
      <w:r w:rsidRPr="00E839A8">
        <w:rPr>
          <w:rFonts w:cstheme="minorHAnsi"/>
          <w:sz w:val="25"/>
          <w:szCs w:val="25"/>
        </w:rPr>
        <w:t xml:space="preserve">, lo que </w:t>
      </w:r>
      <w:r w:rsidR="008B36CC" w:rsidRPr="00E839A8">
        <w:rPr>
          <w:rFonts w:cstheme="minorHAnsi"/>
          <w:sz w:val="25"/>
          <w:szCs w:val="25"/>
        </w:rPr>
        <w:t>protege</w:t>
      </w:r>
      <w:r w:rsidRPr="00E839A8">
        <w:rPr>
          <w:rFonts w:cstheme="minorHAnsi"/>
          <w:sz w:val="25"/>
          <w:szCs w:val="25"/>
        </w:rPr>
        <w:t xml:space="preserve"> tanto </w:t>
      </w:r>
      <w:r w:rsidR="008B36CC" w:rsidRPr="00E839A8">
        <w:rPr>
          <w:rFonts w:cstheme="minorHAnsi"/>
          <w:sz w:val="25"/>
          <w:szCs w:val="25"/>
        </w:rPr>
        <w:t>a la persona que ocupe</w:t>
      </w:r>
      <w:r w:rsidRPr="00E839A8">
        <w:rPr>
          <w:rFonts w:cstheme="minorHAnsi"/>
          <w:sz w:val="25"/>
          <w:szCs w:val="25"/>
        </w:rPr>
        <w:t xml:space="preserve"> el cargo como para los terceros que deban acudir</w:t>
      </w:r>
      <w:r w:rsidR="008B36CC" w:rsidRPr="00E839A8">
        <w:rPr>
          <w:rFonts w:cstheme="minorHAnsi"/>
          <w:sz w:val="25"/>
          <w:szCs w:val="25"/>
        </w:rPr>
        <w:t xml:space="preserve"> a aquél órgano. Pero, por los tratados de derechos humanos, la </w:t>
      </w:r>
      <w:r w:rsidR="008B36CC" w:rsidRPr="00E839A8">
        <w:rPr>
          <w:rFonts w:cstheme="minorHAnsi"/>
          <w:i/>
          <w:sz w:val="25"/>
          <w:szCs w:val="25"/>
        </w:rPr>
        <w:t xml:space="preserve">progresividad </w:t>
      </w:r>
      <w:r w:rsidR="008B36CC" w:rsidRPr="00E839A8">
        <w:rPr>
          <w:rFonts w:cstheme="minorHAnsi"/>
          <w:sz w:val="25"/>
          <w:szCs w:val="25"/>
        </w:rPr>
        <w:t>está dada expresamente a favor de los habitantes y no del sujeto que ocupa el órgano jurisdiccional</w:t>
      </w:r>
      <w:r w:rsidR="00D563B3">
        <w:rPr>
          <w:rFonts w:cstheme="minorHAnsi"/>
          <w:sz w:val="25"/>
          <w:szCs w:val="25"/>
        </w:rPr>
        <w:t>. Entonces</w:t>
      </w:r>
      <w:r w:rsidR="008B36CC" w:rsidRPr="00E839A8">
        <w:rPr>
          <w:rFonts w:cstheme="minorHAnsi"/>
          <w:sz w:val="25"/>
          <w:szCs w:val="25"/>
        </w:rPr>
        <w:t>, sin perjuicio de que sea como anverso y reverso d</w:t>
      </w:r>
      <w:r w:rsidR="00D563B3">
        <w:rPr>
          <w:rFonts w:cstheme="minorHAnsi"/>
          <w:sz w:val="25"/>
          <w:szCs w:val="25"/>
        </w:rPr>
        <w:t xml:space="preserve">e una moneda, es principalmente un derecho y </w:t>
      </w:r>
      <w:r w:rsidR="008B36CC" w:rsidRPr="00E839A8">
        <w:rPr>
          <w:rFonts w:cstheme="minorHAnsi"/>
          <w:sz w:val="25"/>
          <w:szCs w:val="25"/>
        </w:rPr>
        <w:t xml:space="preserve">garantía de los habitantes la </w:t>
      </w:r>
      <w:r w:rsidR="008B36CC" w:rsidRPr="00E839A8">
        <w:rPr>
          <w:rFonts w:cstheme="minorHAnsi"/>
          <w:i/>
          <w:sz w:val="25"/>
          <w:szCs w:val="25"/>
        </w:rPr>
        <w:t xml:space="preserve">progresividad </w:t>
      </w:r>
      <w:r w:rsidR="008B36CC" w:rsidRPr="00E839A8">
        <w:rPr>
          <w:rFonts w:cstheme="minorHAnsi"/>
          <w:sz w:val="25"/>
          <w:szCs w:val="25"/>
        </w:rPr>
        <w:t xml:space="preserve">de la </w:t>
      </w:r>
      <w:r w:rsidR="008B36CC" w:rsidRPr="00E839A8">
        <w:rPr>
          <w:rFonts w:cstheme="minorHAnsi"/>
          <w:i/>
          <w:sz w:val="25"/>
          <w:szCs w:val="25"/>
        </w:rPr>
        <w:t xml:space="preserve">independencia </w:t>
      </w:r>
      <w:r w:rsidR="008B36CC" w:rsidRPr="00E839A8">
        <w:rPr>
          <w:rFonts w:cstheme="minorHAnsi"/>
          <w:sz w:val="25"/>
          <w:szCs w:val="25"/>
        </w:rPr>
        <w:t xml:space="preserve">y no </w:t>
      </w:r>
      <w:r w:rsidR="00D563B3">
        <w:rPr>
          <w:rFonts w:cstheme="minorHAnsi"/>
          <w:sz w:val="25"/>
          <w:szCs w:val="25"/>
        </w:rPr>
        <w:t xml:space="preserve">exclusivamente </w:t>
      </w:r>
      <w:r w:rsidR="008B36CC" w:rsidRPr="00E839A8">
        <w:rPr>
          <w:rFonts w:cstheme="minorHAnsi"/>
          <w:sz w:val="25"/>
          <w:szCs w:val="25"/>
        </w:rPr>
        <w:t>para la persona del juez.</w:t>
      </w:r>
    </w:p>
    <w:p w14:paraId="26D3F19D" w14:textId="77777777" w:rsidR="00CF2F69" w:rsidRPr="00CF2F69" w:rsidRDefault="00CF2F69" w:rsidP="00E839A8">
      <w:pPr>
        <w:spacing w:line="360" w:lineRule="auto"/>
        <w:ind w:left="60"/>
        <w:jc w:val="both"/>
        <w:rPr>
          <w:rFonts w:cstheme="minorHAnsi"/>
          <w:sz w:val="25"/>
          <w:szCs w:val="25"/>
        </w:rPr>
      </w:pPr>
      <w:r>
        <w:rPr>
          <w:rFonts w:cstheme="minorHAnsi"/>
          <w:sz w:val="25"/>
          <w:szCs w:val="25"/>
        </w:rPr>
        <w:t xml:space="preserve">Así, en virtud de esto, no pueden incorporarse causales laxas ni flexibilizarse las causales de remoción existentes de los jueces, porque se afecta la independencia, siendo por tanto incompatibles con el principio de </w:t>
      </w:r>
      <w:r>
        <w:rPr>
          <w:rFonts w:cstheme="minorHAnsi"/>
          <w:i/>
          <w:sz w:val="25"/>
          <w:szCs w:val="25"/>
        </w:rPr>
        <w:t>progresividad</w:t>
      </w:r>
      <w:r>
        <w:rPr>
          <w:rFonts w:cstheme="minorHAnsi"/>
          <w:sz w:val="25"/>
          <w:szCs w:val="25"/>
        </w:rPr>
        <w:t xml:space="preserve"> establecido en los tratados de Derecho Humanos, al importar una regresión.</w:t>
      </w:r>
    </w:p>
    <w:p w14:paraId="2BE8E99B" w14:textId="77777777" w:rsidR="001D2734" w:rsidRPr="00E839A8" w:rsidRDefault="001D2734" w:rsidP="00E839A8">
      <w:pPr>
        <w:spacing w:line="360" w:lineRule="auto"/>
        <w:ind w:left="60"/>
        <w:jc w:val="both"/>
        <w:rPr>
          <w:rFonts w:cstheme="minorHAnsi"/>
          <w:sz w:val="25"/>
          <w:szCs w:val="25"/>
        </w:rPr>
      </w:pPr>
      <w:r w:rsidRPr="00E839A8">
        <w:rPr>
          <w:rFonts w:cstheme="minorHAnsi"/>
          <w:sz w:val="25"/>
          <w:szCs w:val="25"/>
        </w:rPr>
        <w:t>5.- ¿Cómo mantener</w:t>
      </w:r>
      <w:r w:rsidR="00D563B3">
        <w:rPr>
          <w:rFonts w:cstheme="minorHAnsi"/>
          <w:sz w:val="25"/>
          <w:szCs w:val="25"/>
        </w:rPr>
        <w:t>, entonces,</w:t>
      </w:r>
      <w:r w:rsidRPr="00E839A8">
        <w:rPr>
          <w:rFonts w:cstheme="minorHAnsi"/>
          <w:sz w:val="25"/>
          <w:szCs w:val="25"/>
        </w:rPr>
        <w:t xml:space="preserve"> el sistema</w:t>
      </w:r>
      <w:r w:rsidR="00D563B3">
        <w:rPr>
          <w:rFonts w:cstheme="minorHAnsi"/>
          <w:sz w:val="25"/>
          <w:szCs w:val="25"/>
        </w:rPr>
        <w:t xml:space="preserve"> judicial</w:t>
      </w:r>
      <w:r w:rsidRPr="00E839A8">
        <w:rPr>
          <w:rFonts w:cstheme="minorHAnsi"/>
          <w:sz w:val="25"/>
          <w:szCs w:val="25"/>
        </w:rPr>
        <w:t xml:space="preserve"> </w:t>
      </w:r>
      <w:r w:rsidRPr="00D563B3">
        <w:rPr>
          <w:rFonts w:cstheme="minorHAnsi"/>
          <w:sz w:val="25"/>
          <w:szCs w:val="25"/>
        </w:rPr>
        <w:t>independiente</w:t>
      </w:r>
      <w:r w:rsidRPr="00E839A8">
        <w:rPr>
          <w:rFonts w:cstheme="minorHAnsi"/>
          <w:sz w:val="25"/>
          <w:szCs w:val="25"/>
        </w:rPr>
        <w:t>?</w:t>
      </w:r>
    </w:p>
    <w:p w14:paraId="2156A36C" w14:textId="77777777" w:rsidR="008B36CC" w:rsidRPr="00E839A8" w:rsidRDefault="00984C13" w:rsidP="00E839A8">
      <w:pPr>
        <w:spacing w:line="360" w:lineRule="auto"/>
        <w:ind w:left="60"/>
        <w:jc w:val="both"/>
        <w:rPr>
          <w:rFonts w:cstheme="minorHAnsi"/>
          <w:sz w:val="25"/>
          <w:szCs w:val="25"/>
        </w:rPr>
      </w:pPr>
      <w:r w:rsidRPr="00E839A8">
        <w:rPr>
          <w:rFonts w:cstheme="minorHAnsi"/>
          <w:sz w:val="25"/>
          <w:szCs w:val="25"/>
        </w:rPr>
        <w:t>Luego de analizar estos puntos</w:t>
      </w:r>
      <w:r w:rsidR="00D563B3">
        <w:rPr>
          <w:rFonts w:cstheme="minorHAnsi"/>
          <w:sz w:val="25"/>
          <w:szCs w:val="25"/>
        </w:rPr>
        <w:t xml:space="preserve"> anteriores</w:t>
      </w:r>
      <w:r w:rsidRPr="00E839A8">
        <w:rPr>
          <w:rFonts w:cstheme="minorHAnsi"/>
          <w:sz w:val="25"/>
          <w:szCs w:val="25"/>
        </w:rPr>
        <w:t xml:space="preserve">, </w:t>
      </w:r>
      <w:r w:rsidR="00CF2F69">
        <w:rPr>
          <w:rFonts w:cstheme="minorHAnsi"/>
          <w:sz w:val="25"/>
          <w:szCs w:val="25"/>
        </w:rPr>
        <w:t xml:space="preserve">no sólo desde la “no regresión” hay que analizar el tema, sino que </w:t>
      </w:r>
      <w:r w:rsidR="00D563B3">
        <w:rPr>
          <w:rFonts w:cstheme="minorHAnsi"/>
          <w:sz w:val="25"/>
          <w:szCs w:val="25"/>
        </w:rPr>
        <w:t>vemos que es en este avance necesario que el principio de progresividad impone</w:t>
      </w:r>
      <w:r w:rsidR="001E7E60">
        <w:rPr>
          <w:rFonts w:cstheme="minorHAnsi"/>
          <w:sz w:val="25"/>
          <w:szCs w:val="25"/>
        </w:rPr>
        <w:t xml:space="preserve"> </w:t>
      </w:r>
      <w:r w:rsidRPr="00E839A8">
        <w:rPr>
          <w:rFonts w:cstheme="minorHAnsi"/>
          <w:sz w:val="25"/>
          <w:szCs w:val="25"/>
        </w:rPr>
        <w:t>donde surgen l</w:t>
      </w:r>
      <w:r w:rsidR="001E7E60">
        <w:rPr>
          <w:rFonts w:cstheme="minorHAnsi"/>
          <w:sz w:val="25"/>
          <w:szCs w:val="25"/>
        </w:rPr>
        <w:t>as</w:t>
      </w:r>
      <w:r w:rsidRPr="00E839A8">
        <w:rPr>
          <w:rFonts w:cstheme="minorHAnsi"/>
          <w:sz w:val="25"/>
          <w:szCs w:val="25"/>
        </w:rPr>
        <w:t xml:space="preserve"> cuesti</w:t>
      </w:r>
      <w:r w:rsidR="001E7E60">
        <w:rPr>
          <w:rFonts w:cstheme="minorHAnsi"/>
          <w:sz w:val="25"/>
          <w:szCs w:val="25"/>
        </w:rPr>
        <w:t>ones</w:t>
      </w:r>
      <w:r w:rsidRPr="00E839A8">
        <w:rPr>
          <w:rFonts w:cstheme="minorHAnsi"/>
          <w:sz w:val="25"/>
          <w:szCs w:val="25"/>
        </w:rPr>
        <w:t xml:space="preserve"> respecto de cómo asegurar y mejorar la independencia del </w:t>
      </w:r>
      <w:r w:rsidR="001E7E60">
        <w:rPr>
          <w:rFonts w:cstheme="minorHAnsi"/>
          <w:sz w:val="25"/>
          <w:szCs w:val="25"/>
        </w:rPr>
        <w:t>sistema judicial en general y del juzgador en particular</w:t>
      </w:r>
      <w:r w:rsidRPr="00E839A8">
        <w:rPr>
          <w:rFonts w:cstheme="minorHAnsi"/>
          <w:sz w:val="25"/>
          <w:szCs w:val="25"/>
        </w:rPr>
        <w:t>.</w:t>
      </w:r>
    </w:p>
    <w:p w14:paraId="13C81DFC" w14:textId="77777777" w:rsidR="00984C13" w:rsidRPr="00E839A8" w:rsidRDefault="00984C13" w:rsidP="00E839A8">
      <w:pPr>
        <w:spacing w:line="360" w:lineRule="auto"/>
        <w:ind w:left="60"/>
        <w:jc w:val="both"/>
        <w:rPr>
          <w:rFonts w:cstheme="minorHAnsi"/>
          <w:iCs/>
          <w:sz w:val="25"/>
          <w:szCs w:val="25"/>
        </w:rPr>
      </w:pPr>
      <w:r w:rsidRPr="00E839A8">
        <w:rPr>
          <w:rFonts w:cstheme="minorHAnsi"/>
          <w:sz w:val="25"/>
          <w:szCs w:val="25"/>
        </w:rPr>
        <w:t>En materia penal, desde antiguo, en caso de un delito de gran repercusión, se preveía trasladar el juicio</w:t>
      </w:r>
      <w:r w:rsidR="001E7E60">
        <w:rPr>
          <w:rFonts w:cstheme="minorHAnsi"/>
          <w:sz w:val="25"/>
          <w:szCs w:val="25"/>
        </w:rPr>
        <w:t xml:space="preserve"> por jurado a un </w:t>
      </w:r>
      <w:r w:rsidRPr="00E839A8">
        <w:rPr>
          <w:rFonts w:cstheme="minorHAnsi"/>
          <w:sz w:val="25"/>
          <w:szCs w:val="25"/>
        </w:rPr>
        <w:t>condado</w:t>
      </w:r>
      <w:r w:rsidR="001E7E60">
        <w:rPr>
          <w:rFonts w:cstheme="minorHAnsi"/>
          <w:sz w:val="25"/>
          <w:szCs w:val="25"/>
        </w:rPr>
        <w:t xml:space="preserve"> ajeno y alejado del sitio </w:t>
      </w:r>
      <w:r w:rsidR="001E7E60">
        <w:rPr>
          <w:rFonts w:cstheme="minorHAnsi"/>
          <w:sz w:val="25"/>
          <w:szCs w:val="25"/>
        </w:rPr>
        <w:lastRenderedPageBreak/>
        <w:t>conmovido por aquel suceso criminoso</w:t>
      </w:r>
      <w:r w:rsidRPr="00E839A8">
        <w:rPr>
          <w:rFonts w:cstheme="minorHAnsi"/>
          <w:sz w:val="25"/>
          <w:szCs w:val="25"/>
        </w:rPr>
        <w:t>. Esto se da por</w:t>
      </w:r>
      <w:r w:rsidR="001E7E60">
        <w:rPr>
          <w:rFonts w:cstheme="minorHAnsi"/>
          <w:sz w:val="25"/>
          <w:szCs w:val="25"/>
        </w:rPr>
        <w:t xml:space="preserve"> causas como la</w:t>
      </w:r>
      <w:r w:rsidRPr="00E839A8">
        <w:rPr>
          <w:rFonts w:cstheme="minorHAnsi"/>
          <w:sz w:val="25"/>
          <w:szCs w:val="25"/>
        </w:rPr>
        <w:t xml:space="preserve"> </w:t>
      </w:r>
      <w:r w:rsidR="001E7E60">
        <w:rPr>
          <w:rFonts w:cstheme="minorHAnsi"/>
          <w:sz w:val="25"/>
          <w:szCs w:val="25"/>
        </w:rPr>
        <w:t>“</w:t>
      </w:r>
      <w:r w:rsidR="001E7E60">
        <w:rPr>
          <w:rFonts w:cstheme="minorHAnsi"/>
          <w:i/>
          <w:iCs/>
          <w:sz w:val="25"/>
          <w:szCs w:val="25"/>
        </w:rPr>
        <w:t>e</w:t>
      </w:r>
      <w:r w:rsidRPr="00E839A8">
        <w:rPr>
          <w:rFonts w:cstheme="minorHAnsi"/>
          <w:i/>
          <w:iCs/>
          <w:sz w:val="25"/>
          <w:szCs w:val="25"/>
        </w:rPr>
        <w:t>xcesiva publicidad previa al juicio</w:t>
      </w:r>
      <w:r w:rsidR="001E7E60">
        <w:rPr>
          <w:rFonts w:cstheme="minorHAnsi"/>
          <w:iCs/>
          <w:sz w:val="25"/>
          <w:szCs w:val="25"/>
        </w:rPr>
        <w:t>” o, también, en caso de “</w:t>
      </w:r>
      <w:r w:rsidRPr="00E839A8">
        <w:rPr>
          <w:rFonts w:cstheme="minorHAnsi"/>
          <w:i/>
          <w:iCs/>
          <w:sz w:val="25"/>
          <w:szCs w:val="25"/>
        </w:rPr>
        <w:t>Jurado con sesgo previo</w:t>
      </w:r>
      <w:r w:rsidR="001E7E60">
        <w:rPr>
          <w:rFonts w:cstheme="minorHAnsi"/>
          <w:iCs/>
          <w:sz w:val="25"/>
          <w:szCs w:val="25"/>
        </w:rPr>
        <w:t>”</w:t>
      </w:r>
      <w:r w:rsidR="004921F9" w:rsidRPr="00E839A8">
        <w:rPr>
          <w:rFonts w:cstheme="minorHAnsi"/>
          <w:iCs/>
          <w:sz w:val="25"/>
          <w:szCs w:val="25"/>
        </w:rPr>
        <w:t>, entre otr</w:t>
      </w:r>
      <w:r w:rsidR="001E7E60">
        <w:rPr>
          <w:rFonts w:cstheme="minorHAnsi"/>
          <w:iCs/>
          <w:sz w:val="25"/>
          <w:szCs w:val="25"/>
        </w:rPr>
        <w:t>as causales;</w:t>
      </w:r>
      <w:r w:rsidR="004921F9" w:rsidRPr="00E839A8">
        <w:rPr>
          <w:rFonts w:cstheme="minorHAnsi"/>
          <w:iCs/>
          <w:sz w:val="25"/>
          <w:szCs w:val="25"/>
        </w:rPr>
        <w:t xml:space="preserve"> pero son dos causales claras que afectan la imparcialidad propiamente dicha y la independencia</w:t>
      </w:r>
      <w:r w:rsidR="001E7E60">
        <w:rPr>
          <w:rFonts w:cstheme="minorHAnsi"/>
          <w:iCs/>
          <w:sz w:val="25"/>
          <w:szCs w:val="25"/>
        </w:rPr>
        <w:t xml:space="preserve"> del jurado</w:t>
      </w:r>
      <w:r w:rsidR="004921F9" w:rsidRPr="00E839A8">
        <w:rPr>
          <w:rFonts w:cstheme="minorHAnsi"/>
          <w:iCs/>
          <w:sz w:val="25"/>
          <w:szCs w:val="25"/>
        </w:rPr>
        <w:t xml:space="preserve">. </w:t>
      </w:r>
      <w:r w:rsidR="001E7E60">
        <w:rPr>
          <w:rFonts w:cstheme="minorHAnsi"/>
          <w:iCs/>
          <w:sz w:val="25"/>
          <w:szCs w:val="25"/>
        </w:rPr>
        <w:t>Si bien conceptualmente imparcialidad e independencia son diferentes, n</w:t>
      </w:r>
      <w:r w:rsidR="004921F9" w:rsidRPr="00E839A8">
        <w:rPr>
          <w:rFonts w:cstheme="minorHAnsi"/>
          <w:iCs/>
          <w:sz w:val="25"/>
          <w:szCs w:val="25"/>
        </w:rPr>
        <w:t>o puede decirse que la última no tenga relación</w:t>
      </w:r>
      <w:r w:rsidR="001E7E60">
        <w:rPr>
          <w:rFonts w:cstheme="minorHAnsi"/>
          <w:iCs/>
          <w:sz w:val="25"/>
          <w:szCs w:val="25"/>
        </w:rPr>
        <w:t xml:space="preserve"> alguna</w:t>
      </w:r>
      <w:r w:rsidR="004921F9" w:rsidRPr="00E839A8">
        <w:rPr>
          <w:rFonts w:cstheme="minorHAnsi"/>
          <w:iCs/>
          <w:sz w:val="25"/>
          <w:szCs w:val="25"/>
        </w:rPr>
        <w:t xml:space="preserve"> con la primera, ya que si existe alguna cuestión que afecte la independencia del juzgador en cuanto a la estabilidad</w:t>
      </w:r>
      <w:r w:rsidR="001E7E60">
        <w:rPr>
          <w:rFonts w:cstheme="minorHAnsi"/>
          <w:iCs/>
          <w:sz w:val="25"/>
          <w:szCs w:val="25"/>
        </w:rPr>
        <w:t xml:space="preserve"> </w:t>
      </w:r>
      <w:r w:rsidR="004921F9" w:rsidRPr="00E839A8">
        <w:rPr>
          <w:rFonts w:cstheme="minorHAnsi"/>
          <w:iCs/>
          <w:sz w:val="25"/>
          <w:szCs w:val="25"/>
        </w:rPr>
        <w:t>en su cargo, claramente repercutirá en la imparcialidad propiamente dicha</w:t>
      </w:r>
      <w:r w:rsidR="001E7E60">
        <w:rPr>
          <w:rFonts w:cstheme="minorHAnsi"/>
          <w:iCs/>
          <w:sz w:val="25"/>
          <w:szCs w:val="25"/>
        </w:rPr>
        <w:t>, pues el juzgador comenzará a tener “interés” en el objeto litigioso</w:t>
      </w:r>
      <w:r w:rsidR="004921F9" w:rsidRPr="00E839A8">
        <w:rPr>
          <w:rFonts w:cstheme="minorHAnsi"/>
          <w:iCs/>
          <w:sz w:val="25"/>
          <w:szCs w:val="25"/>
        </w:rPr>
        <w:t>.</w:t>
      </w:r>
    </w:p>
    <w:p w14:paraId="7F33056A" w14:textId="77777777" w:rsidR="004921F9" w:rsidRPr="00E839A8" w:rsidRDefault="004921F9" w:rsidP="00E839A8">
      <w:pPr>
        <w:spacing w:line="360" w:lineRule="auto"/>
        <w:ind w:left="60"/>
        <w:jc w:val="both"/>
        <w:rPr>
          <w:rFonts w:cstheme="minorHAnsi"/>
          <w:iCs/>
          <w:sz w:val="25"/>
          <w:szCs w:val="25"/>
        </w:rPr>
      </w:pPr>
      <w:r w:rsidRPr="00E839A8">
        <w:rPr>
          <w:rFonts w:cstheme="minorHAnsi"/>
          <w:iCs/>
          <w:sz w:val="25"/>
          <w:szCs w:val="25"/>
        </w:rPr>
        <w:t>Además de esta posibilidad de trasladar la competencia territorial a otro juez o tribunal, en el juicio por jurado se contempla el examen</w:t>
      </w:r>
      <w:r w:rsidR="001E7E60">
        <w:rPr>
          <w:rFonts w:cstheme="minorHAnsi"/>
          <w:iCs/>
          <w:sz w:val="25"/>
          <w:szCs w:val="25"/>
        </w:rPr>
        <w:t xml:space="preserve"> de</w:t>
      </w:r>
      <w:r w:rsidRPr="00E839A8">
        <w:rPr>
          <w:rFonts w:cstheme="minorHAnsi"/>
          <w:iCs/>
          <w:sz w:val="25"/>
          <w:szCs w:val="25"/>
        </w:rPr>
        <w:t xml:space="preserve"> “</w:t>
      </w:r>
      <w:proofErr w:type="spellStart"/>
      <w:r w:rsidRPr="00E839A8">
        <w:rPr>
          <w:rFonts w:cstheme="minorHAnsi"/>
          <w:iCs/>
          <w:sz w:val="25"/>
          <w:szCs w:val="25"/>
        </w:rPr>
        <w:t>voir</w:t>
      </w:r>
      <w:proofErr w:type="spellEnd"/>
      <w:r w:rsidRPr="00E839A8">
        <w:rPr>
          <w:rFonts w:cstheme="minorHAnsi"/>
          <w:iCs/>
          <w:sz w:val="25"/>
          <w:szCs w:val="25"/>
        </w:rPr>
        <w:t xml:space="preserve"> </w:t>
      </w:r>
      <w:proofErr w:type="spellStart"/>
      <w:r w:rsidRPr="00E839A8">
        <w:rPr>
          <w:rFonts w:cstheme="minorHAnsi"/>
          <w:iCs/>
          <w:sz w:val="25"/>
          <w:szCs w:val="25"/>
        </w:rPr>
        <w:t>dire</w:t>
      </w:r>
      <w:proofErr w:type="spellEnd"/>
      <w:r w:rsidRPr="00E839A8">
        <w:rPr>
          <w:rFonts w:cstheme="minorHAnsi"/>
          <w:iCs/>
          <w:sz w:val="25"/>
          <w:szCs w:val="25"/>
        </w:rPr>
        <w:t xml:space="preserve">”, que permite analizar la idoneidad del </w:t>
      </w:r>
      <w:r w:rsidR="001E7E60">
        <w:rPr>
          <w:rFonts w:cstheme="minorHAnsi"/>
          <w:iCs/>
          <w:sz w:val="25"/>
          <w:szCs w:val="25"/>
        </w:rPr>
        <w:t>sujeto sorteado como posible integrante del jurado</w:t>
      </w:r>
      <w:r w:rsidRPr="00E839A8">
        <w:rPr>
          <w:rFonts w:cstheme="minorHAnsi"/>
          <w:iCs/>
          <w:sz w:val="25"/>
          <w:szCs w:val="25"/>
        </w:rPr>
        <w:t xml:space="preserve">, así como </w:t>
      </w:r>
      <w:r w:rsidR="001E7E60">
        <w:rPr>
          <w:rFonts w:cstheme="minorHAnsi"/>
          <w:iCs/>
          <w:sz w:val="25"/>
          <w:szCs w:val="25"/>
        </w:rPr>
        <w:t xml:space="preserve">también su </w:t>
      </w:r>
      <w:r w:rsidRPr="00E839A8">
        <w:rPr>
          <w:rFonts w:cstheme="minorHAnsi"/>
          <w:iCs/>
          <w:sz w:val="25"/>
          <w:szCs w:val="25"/>
        </w:rPr>
        <w:t>imparcialidad e independencia.</w:t>
      </w:r>
    </w:p>
    <w:p w14:paraId="6363AE8A" w14:textId="77777777" w:rsidR="004921F9" w:rsidRPr="00E839A8" w:rsidRDefault="004921F9" w:rsidP="00E839A8">
      <w:pPr>
        <w:spacing w:line="360" w:lineRule="auto"/>
        <w:ind w:left="60"/>
        <w:jc w:val="both"/>
        <w:rPr>
          <w:rFonts w:cstheme="minorHAnsi"/>
          <w:iCs/>
          <w:sz w:val="25"/>
          <w:szCs w:val="25"/>
        </w:rPr>
      </w:pPr>
      <w:r w:rsidRPr="00E839A8">
        <w:rPr>
          <w:rFonts w:cstheme="minorHAnsi"/>
          <w:iCs/>
          <w:sz w:val="25"/>
          <w:szCs w:val="25"/>
        </w:rPr>
        <w:t xml:space="preserve">En este aspecto, pensamos, estas dos formas de asegurar la independencia deben ser contempladas en la legislación </w:t>
      </w:r>
      <w:r w:rsidR="001E7E60">
        <w:rPr>
          <w:rFonts w:cstheme="minorHAnsi"/>
          <w:iCs/>
          <w:sz w:val="25"/>
          <w:szCs w:val="25"/>
        </w:rPr>
        <w:t xml:space="preserve">procesal </w:t>
      </w:r>
      <w:r w:rsidRPr="00E839A8">
        <w:rPr>
          <w:rFonts w:cstheme="minorHAnsi"/>
          <w:iCs/>
          <w:sz w:val="25"/>
          <w:szCs w:val="25"/>
        </w:rPr>
        <w:t>civil. En efecto, si el tema litigioso es de excesiva publicidad (v.g., sanciones administrativas a empleados o empresas, reclamos de mucho dinero contra el erario público,</w:t>
      </w:r>
      <w:r w:rsidR="001E7E60">
        <w:rPr>
          <w:rFonts w:cstheme="minorHAnsi"/>
          <w:iCs/>
          <w:sz w:val="25"/>
          <w:szCs w:val="25"/>
        </w:rPr>
        <w:t xml:space="preserve"> causas de contaminación,</w:t>
      </w:r>
      <w:r w:rsidRPr="00E839A8">
        <w:rPr>
          <w:rFonts w:cstheme="minorHAnsi"/>
          <w:iCs/>
          <w:sz w:val="25"/>
          <w:szCs w:val="25"/>
        </w:rPr>
        <w:t xml:space="preserve"> etc.) prever</w:t>
      </w:r>
      <w:r w:rsidR="00BF27C1" w:rsidRPr="00E839A8">
        <w:rPr>
          <w:rFonts w:cstheme="minorHAnsi"/>
          <w:iCs/>
          <w:sz w:val="25"/>
          <w:szCs w:val="25"/>
        </w:rPr>
        <w:t xml:space="preserve"> juicio por jurado civil,</w:t>
      </w:r>
      <w:r w:rsidR="001E7E60">
        <w:rPr>
          <w:rFonts w:cstheme="minorHAnsi"/>
          <w:iCs/>
          <w:sz w:val="25"/>
          <w:szCs w:val="25"/>
        </w:rPr>
        <w:t xml:space="preserve"> o el</w:t>
      </w:r>
      <w:r w:rsidR="00BF27C1" w:rsidRPr="00E839A8">
        <w:rPr>
          <w:rFonts w:cstheme="minorHAnsi"/>
          <w:iCs/>
          <w:sz w:val="25"/>
          <w:szCs w:val="25"/>
        </w:rPr>
        <w:t xml:space="preserve"> traslado de competencia territorial </w:t>
      </w:r>
      <w:r w:rsidR="001E7E60">
        <w:rPr>
          <w:rFonts w:cstheme="minorHAnsi"/>
          <w:iCs/>
          <w:sz w:val="25"/>
          <w:szCs w:val="25"/>
        </w:rPr>
        <w:t xml:space="preserve">a otro sitio </w:t>
      </w:r>
      <w:r w:rsidR="00BF27C1" w:rsidRPr="00E839A8">
        <w:rPr>
          <w:rFonts w:cstheme="minorHAnsi"/>
          <w:iCs/>
          <w:sz w:val="25"/>
          <w:szCs w:val="25"/>
        </w:rPr>
        <w:t>y el examen de “</w:t>
      </w:r>
      <w:proofErr w:type="spellStart"/>
      <w:r w:rsidR="00BF27C1" w:rsidRPr="00E839A8">
        <w:rPr>
          <w:rFonts w:cstheme="minorHAnsi"/>
          <w:iCs/>
          <w:sz w:val="25"/>
          <w:szCs w:val="25"/>
        </w:rPr>
        <w:t>voir</w:t>
      </w:r>
      <w:proofErr w:type="spellEnd"/>
      <w:r w:rsidR="00BF27C1" w:rsidRPr="00E839A8">
        <w:rPr>
          <w:rFonts w:cstheme="minorHAnsi"/>
          <w:iCs/>
          <w:sz w:val="25"/>
          <w:szCs w:val="25"/>
        </w:rPr>
        <w:t xml:space="preserve"> </w:t>
      </w:r>
      <w:proofErr w:type="spellStart"/>
      <w:r w:rsidR="00BF27C1" w:rsidRPr="00E839A8">
        <w:rPr>
          <w:rFonts w:cstheme="minorHAnsi"/>
          <w:iCs/>
          <w:sz w:val="25"/>
          <w:szCs w:val="25"/>
        </w:rPr>
        <w:t>dire</w:t>
      </w:r>
      <w:proofErr w:type="spellEnd"/>
      <w:r w:rsidR="00BF27C1" w:rsidRPr="00E839A8">
        <w:rPr>
          <w:rFonts w:cstheme="minorHAnsi"/>
          <w:iCs/>
          <w:sz w:val="25"/>
          <w:szCs w:val="25"/>
        </w:rPr>
        <w:t xml:space="preserve">” al juzgador, para que ante preguntas de las partes, </w:t>
      </w:r>
      <w:r w:rsidR="001E7E60">
        <w:rPr>
          <w:rFonts w:cstheme="minorHAnsi"/>
          <w:iCs/>
          <w:sz w:val="25"/>
          <w:szCs w:val="25"/>
        </w:rPr>
        <w:t xml:space="preserve">pueda determinarse </w:t>
      </w:r>
      <w:r w:rsidR="00BF27C1" w:rsidRPr="00E839A8">
        <w:rPr>
          <w:rFonts w:cstheme="minorHAnsi"/>
          <w:iCs/>
          <w:sz w:val="25"/>
          <w:szCs w:val="25"/>
        </w:rPr>
        <w:t>si posee</w:t>
      </w:r>
      <w:r w:rsidR="001E7E60">
        <w:rPr>
          <w:rFonts w:cstheme="minorHAnsi"/>
          <w:iCs/>
          <w:sz w:val="25"/>
          <w:szCs w:val="25"/>
        </w:rPr>
        <w:t xml:space="preserve"> una real y </w:t>
      </w:r>
      <w:r w:rsidR="00BF27C1" w:rsidRPr="00E839A8">
        <w:rPr>
          <w:rFonts w:cstheme="minorHAnsi"/>
          <w:iCs/>
          <w:sz w:val="25"/>
          <w:szCs w:val="25"/>
        </w:rPr>
        <w:t xml:space="preserve">plena independencia para resolver el tema. Se dirá que es obvio que todo juez dirá que es plenamente independiente, pero </w:t>
      </w:r>
      <w:r w:rsidR="001E7E60">
        <w:rPr>
          <w:rFonts w:cstheme="minorHAnsi"/>
          <w:iCs/>
          <w:sz w:val="25"/>
          <w:szCs w:val="25"/>
        </w:rPr>
        <w:t>al igual que sucede con los posibles miembros del</w:t>
      </w:r>
      <w:r w:rsidR="00BF27C1" w:rsidRPr="00E839A8">
        <w:rPr>
          <w:rFonts w:cstheme="minorHAnsi"/>
          <w:iCs/>
          <w:sz w:val="25"/>
          <w:szCs w:val="25"/>
        </w:rPr>
        <w:t xml:space="preserve"> jurados, las preguntas no irán en este punto solamente, sino en descubrir cuestiones que puedan </w:t>
      </w:r>
      <w:r w:rsidR="001E7E60">
        <w:rPr>
          <w:rFonts w:cstheme="minorHAnsi"/>
          <w:iCs/>
          <w:sz w:val="25"/>
          <w:szCs w:val="25"/>
        </w:rPr>
        <w:t>generar</w:t>
      </w:r>
      <w:r w:rsidR="00BF27C1" w:rsidRPr="00E839A8">
        <w:rPr>
          <w:rFonts w:cstheme="minorHAnsi"/>
          <w:iCs/>
          <w:sz w:val="25"/>
          <w:szCs w:val="25"/>
        </w:rPr>
        <w:t xml:space="preserve"> una afectación de su ajenidad (por ej., “¿Ud. está nominado a un cargo superior?”, ¿tiene alguna otra denuncia en curso?, ¿algún pariente suyo trabaja bajo dependencia del Estado?, etc.).</w:t>
      </w:r>
    </w:p>
    <w:p w14:paraId="022BC7DE" w14:textId="77777777" w:rsidR="00BF27C1" w:rsidRPr="00E839A8" w:rsidRDefault="00BF27C1" w:rsidP="00E839A8">
      <w:pPr>
        <w:spacing w:line="360" w:lineRule="auto"/>
        <w:ind w:left="60"/>
        <w:jc w:val="both"/>
        <w:rPr>
          <w:rFonts w:cstheme="minorHAnsi"/>
          <w:iCs/>
          <w:sz w:val="25"/>
          <w:szCs w:val="25"/>
        </w:rPr>
      </w:pPr>
      <w:r w:rsidRPr="00E839A8">
        <w:rPr>
          <w:rFonts w:cstheme="minorHAnsi"/>
          <w:iCs/>
          <w:sz w:val="25"/>
          <w:szCs w:val="25"/>
        </w:rPr>
        <w:t xml:space="preserve">Además, hay otra cuestión institucional debería contemplarse: la Inspección de Justicia como órgano </w:t>
      </w:r>
      <w:r w:rsidR="00677642">
        <w:rPr>
          <w:rFonts w:cstheme="minorHAnsi"/>
          <w:iCs/>
          <w:sz w:val="25"/>
          <w:szCs w:val="25"/>
        </w:rPr>
        <w:t xml:space="preserve">constitucional </w:t>
      </w:r>
      <w:proofErr w:type="spellStart"/>
      <w:r w:rsidRPr="00E839A8">
        <w:rPr>
          <w:rFonts w:cstheme="minorHAnsi"/>
          <w:iCs/>
          <w:sz w:val="25"/>
          <w:szCs w:val="25"/>
        </w:rPr>
        <w:t>extrapoder</w:t>
      </w:r>
      <w:proofErr w:type="spellEnd"/>
      <w:r w:rsidRPr="00E839A8">
        <w:rPr>
          <w:rFonts w:cstheme="minorHAnsi"/>
          <w:iCs/>
          <w:sz w:val="25"/>
          <w:szCs w:val="25"/>
        </w:rPr>
        <w:t xml:space="preserve">. En Mendoza, </w:t>
      </w:r>
      <w:r w:rsidR="00D94C2C" w:rsidRPr="00E839A8">
        <w:rPr>
          <w:rFonts w:cstheme="minorHAnsi"/>
          <w:iCs/>
          <w:sz w:val="25"/>
          <w:szCs w:val="25"/>
        </w:rPr>
        <w:t>Julián</w:t>
      </w:r>
      <w:r w:rsidRPr="00E839A8">
        <w:rPr>
          <w:rFonts w:cstheme="minorHAnsi"/>
          <w:iCs/>
          <w:sz w:val="25"/>
          <w:szCs w:val="25"/>
        </w:rPr>
        <w:t xml:space="preserve"> Barraquero –autor del proyecto de la Constitución de Mendoza de 1916 y convencional </w:t>
      </w:r>
      <w:r w:rsidRPr="00E839A8">
        <w:rPr>
          <w:rFonts w:cstheme="minorHAnsi"/>
          <w:iCs/>
          <w:sz w:val="25"/>
          <w:szCs w:val="25"/>
        </w:rPr>
        <w:lastRenderedPageBreak/>
        <w:t xml:space="preserve">constituyente- propuso órganos de control </w:t>
      </w:r>
      <w:proofErr w:type="spellStart"/>
      <w:r w:rsidRPr="00E839A8">
        <w:rPr>
          <w:rFonts w:cstheme="minorHAnsi"/>
          <w:iCs/>
          <w:sz w:val="25"/>
          <w:szCs w:val="25"/>
        </w:rPr>
        <w:t>extrapoderes</w:t>
      </w:r>
      <w:proofErr w:type="spellEnd"/>
      <w:r w:rsidRPr="00E839A8">
        <w:rPr>
          <w:rFonts w:cstheme="minorHAnsi"/>
          <w:iCs/>
          <w:sz w:val="25"/>
          <w:szCs w:val="25"/>
        </w:rPr>
        <w:t xml:space="preserve">: </w:t>
      </w:r>
      <w:r w:rsidR="00677642">
        <w:rPr>
          <w:rFonts w:cstheme="minorHAnsi"/>
          <w:iCs/>
          <w:sz w:val="25"/>
          <w:szCs w:val="25"/>
        </w:rPr>
        <w:t xml:space="preserve">el </w:t>
      </w:r>
      <w:r w:rsidRPr="00E839A8">
        <w:rPr>
          <w:rFonts w:cstheme="minorHAnsi"/>
          <w:iCs/>
          <w:sz w:val="25"/>
          <w:szCs w:val="25"/>
        </w:rPr>
        <w:t>Fiscal de Estado</w:t>
      </w:r>
      <w:r w:rsidR="00677642">
        <w:rPr>
          <w:rFonts w:cstheme="minorHAnsi"/>
          <w:iCs/>
          <w:sz w:val="25"/>
          <w:szCs w:val="25"/>
        </w:rPr>
        <w:t xml:space="preserve">, </w:t>
      </w:r>
      <w:r w:rsidRPr="00E839A8">
        <w:rPr>
          <w:rFonts w:cstheme="minorHAnsi"/>
          <w:iCs/>
          <w:sz w:val="25"/>
          <w:szCs w:val="25"/>
        </w:rPr>
        <w:t>el Tribunal de Cuentas y la Inspección de Justicia</w:t>
      </w:r>
      <w:r w:rsidR="00677642">
        <w:rPr>
          <w:rStyle w:val="Refdenotaalpie"/>
          <w:rFonts w:cstheme="minorHAnsi"/>
          <w:iCs/>
          <w:sz w:val="25"/>
          <w:szCs w:val="25"/>
        </w:rPr>
        <w:footnoteReference w:id="21"/>
      </w:r>
      <w:r w:rsidR="00677642">
        <w:rPr>
          <w:rFonts w:cstheme="minorHAnsi"/>
          <w:iCs/>
          <w:sz w:val="25"/>
          <w:szCs w:val="25"/>
        </w:rPr>
        <w:t>. Lamentablemente esta última</w:t>
      </w:r>
      <w:r w:rsidRPr="00E839A8">
        <w:rPr>
          <w:rFonts w:cstheme="minorHAnsi"/>
          <w:iCs/>
          <w:sz w:val="25"/>
          <w:szCs w:val="25"/>
        </w:rPr>
        <w:t xml:space="preserve"> no prosperó, pero debería proponerse su incorporación a fin de ser el </w:t>
      </w:r>
      <w:r w:rsidR="00677642">
        <w:rPr>
          <w:rFonts w:cstheme="minorHAnsi"/>
          <w:iCs/>
          <w:sz w:val="25"/>
          <w:szCs w:val="25"/>
        </w:rPr>
        <w:t xml:space="preserve">contralor del Poder Judicial y </w:t>
      </w:r>
      <w:r w:rsidRPr="00E839A8">
        <w:rPr>
          <w:rFonts w:cstheme="minorHAnsi"/>
          <w:iCs/>
          <w:sz w:val="25"/>
          <w:szCs w:val="25"/>
        </w:rPr>
        <w:t>defensor de los habitantes</w:t>
      </w:r>
      <w:r w:rsidR="00677642">
        <w:rPr>
          <w:rFonts w:cstheme="minorHAnsi"/>
          <w:iCs/>
          <w:sz w:val="25"/>
          <w:szCs w:val="25"/>
        </w:rPr>
        <w:t xml:space="preserve"> contra este</w:t>
      </w:r>
      <w:r w:rsidR="00FF06DF" w:rsidRPr="00E839A8">
        <w:rPr>
          <w:rFonts w:cstheme="minorHAnsi"/>
          <w:iCs/>
          <w:sz w:val="25"/>
          <w:szCs w:val="25"/>
        </w:rPr>
        <w:t xml:space="preserve">, </w:t>
      </w:r>
      <w:r w:rsidR="00677642">
        <w:rPr>
          <w:rFonts w:cstheme="minorHAnsi"/>
          <w:iCs/>
          <w:sz w:val="25"/>
          <w:szCs w:val="25"/>
        </w:rPr>
        <w:t>con</w:t>
      </w:r>
      <w:r w:rsidR="00FF06DF" w:rsidRPr="00E839A8">
        <w:rPr>
          <w:rFonts w:cstheme="minorHAnsi"/>
          <w:iCs/>
          <w:sz w:val="25"/>
          <w:szCs w:val="25"/>
        </w:rPr>
        <w:t xml:space="preserve"> inamovilidad e intangibilidad, con remoción por dos tercios de </w:t>
      </w:r>
      <w:r w:rsidR="00677642">
        <w:rPr>
          <w:rFonts w:cstheme="minorHAnsi"/>
          <w:iCs/>
          <w:sz w:val="25"/>
          <w:szCs w:val="25"/>
        </w:rPr>
        <w:t>cada Cámara legislativa</w:t>
      </w:r>
      <w:r w:rsidR="00FF06DF" w:rsidRPr="00E839A8">
        <w:rPr>
          <w:rFonts w:cstheme="minorHAnsi"/>
          <w:iCs/>
          <w:sz w:val="25"/>
          <w:szCs w:val="25"/>
        </w:rPr>
        <w:t xml:space="preserve"> por comisión de delitos</w:t>
      </w:r>
      <w:r w:rsidR="00677642">
        <w:rPr>
          <w:rFonts w:cstheme="minorHAnsi"/>
          <w:iCs/>
          <w:sz w:val="25"/>
          <w:szCs w:val="25"/>
        </w:rPr>
        <w:t xml:space="preserve"> comunes únicamente</w:t>
      </w:r>
      <w:r w:rsidR="00FF06DF" w:rsidRPr="00E839A8">
        <w:rPr>
          <w:rFonts w:cstheme="minorHAnsi"/>
          <w:iCs/>
          <w:sz w:val="25"/>
          <w:szCs w:val="25"/>
        </w:rPr>
        <w:t>, siendo quien acuse a los jueces que</w:t>
      </w:r>
      <w:r w:rsidR="005E01D4">
        <w:rPr>
          <w:rFonts w:cstheme="minorHAnsi"/>
          <w:iCs/>
          <w:sz w:val="25"/>
          <w:szCs w:val="25"/>
        </w:rPr>
        <w:t xml:space="preserve"> en los casos que juzguen </w:t>
      </w:r>
      <w:r w:rsidR="00FF06DF" w:rsidRPr="00E839A8">
        <w:rPr>
          <w:rFonts w:cstheme="minorHAnsi"/>
          <w:iCs/>
          <w:sz w:val="25"/>
          <w:szCs w:val="25"/>
        </w:rPr>
        <w:t>violen l</w:t>
      </w:r>
      <w:r w:rsidR="00D94C2C" w:rsidRPr="00E839A8">
        <w:rPr>
          <w:rFonts w:cstheme="minorHAnsi"/>
          <w:iCs/>
          <w:sz w:val="25"/>
          <w:szCs w:val="25"/>
        </w:rPr>
        <w:t xml:space="preserve">a imparcialidad </w:t>
      </w:r>
      <w:r w:rsidR="005E01D4">
        <w:rPr>
          <w:rFonts w:cstheme="minorHAnsi"/>
          <w:iCs/>
          <w:sz w:val="25"/>
          <w:szCs w:val="25"/>
        </w:rPr>
        <w:t>o</w:t>
      </w:r>
      <w:r w:rsidR="00D94C2C" w:rsidRPr="00E839A8">
        <w:rPr>
          <w:rFonts w:cstheme="minorHAnsi"/>
          <w:iCs/>
          <w:sz w:val="25"/>
          <w:szCs w:val="25"/>
        </w:rPr>
        <w:t xml:space="preserve"> independencia y dicten sentencias totalmente irracionales.</w:t>
      </w:r>
    </w:p>
    <w:p w14:paraId="649F3A0E" w14:textId="77777777" w:rsidR="00D94C2C" w:rsidRPr="00E839A8" w:rsidRDefault="00D94C2C" w:rsidP="00E839A8">
      <w:pPr>
        <w:spacing w:line="360" w:lineRule="auto"/>
        <w:ind w:left="60"/>
        <w:jc w:val="both"/>
        <w:rPr>
          <w:rFonts w:cstheme="minorHAnsi"/>
          <w:sz w:val="25"/>
          <w:szCs w:val="25"/>
        </w:rPr>
      </w:pPr>
      <w:r w:rsidRPr="00E839A8">
        <w:rPr>
          <w:rFonts w:cstheme="minorHAnsi"/>
          <w:iCs/>
          <w:sz w:val="25"/>
          <w:szCs w:val="25"/>
        </w:rPr>
        <w:t xml:space="preserve">Si bien, como principio, los jueces no pueden ser removidos por el contenido de sus sentencias, la Corte Suprema de Justicia implícitamente ha reconocido que, excepcionalmente, puede ser causal de mal desempeño. En efecto, </w:t>
      </w:r>
      <w:r w:rsidRPr="00E839A8">
        <w:rPr>
          <w:rFonts w:cstheme="minorHAnsi"/>
          <w:i/>
          <w:iCs/>
          <w:sz w:val="25"/>
          <w:szCs w:val="25"/>
        </w:rPr>
        <w:t xml:space="preserve">in re </w:t>
      </w:r>
      <w:r w:rsidRPr="00E839A8">
        <w:rPr>
          <w:rFonts w:cstheme="minorHAnsi"/>
          <w:iCs/>
          <w:sz w:val="25"/>
          <w:szCs w:val="25"/>
        </w:rPr>
        <w:t>“Fiscal de Estado” (9/8/16), en el considerando 12, dijo: “…</w:t>
      </w:r>
      <w:r w:rsidRPr="00E839A8">
        <w:rPr>
          <w:rFonts w:cstheme="minorHAnsi"/>
          <w:sz w:val="25"/>
          <w:szCs w:val="25"/>
        </w:rPr>
        <w:t xml:space="preserve">la defensa se aferra a su lacónica prédica acerca de que los jueces no pueden ser juzgados por sus sentencias, pero no se hace cargo de la postura contraria sustentada por el tribunal a qua, que señala con cita de autores de doctrina que, </w:t>
      </w:r>
      <w:r w:rsidRPr="00E839A8">
        <w:rPr>
          <w:rFonts w:cstheme="minorHAnsi"/>
          <w:i/>
          <w:sz w:val="25"/>
          <w:szCs w:val="25"/>
        </w:rPr>
        <w:t>si bien excepcionalmente, el contenido de las sentencias puede ser tenido en cuenta a la hora de considerar el mal desempeño de un magistrado</w:t>
      </w:r>
      <w:r w:rsidRPr="00E839A8">
        <w:rPr>
          <w:rFonts w:cstheme="minorHAnsi"/>
          <w:sz w:val="25"/>
          <w:szCs w:val="25"/>
        </w:rPr>
        <w:t>”</w:t>
      </w:r>
      <w:r w:rsidR="00397F19" w:rsidRPr="00E839A8">
        <w:rPr>
          <w:rStyle w:val="Refdenotaalpie"/>
          <w:rFonts w:cstheme="minorHAnsi"/>
          <w:sz w:val="25"/>
          <w:szCs w:val="25"/>
        </w:rPr>
        <w:footnoteReference w:id="22"/>
      </w:r>
      <w:r w:rsidRPr="00E839A8">
        <w:rPr>
          <w:rFonts w:cstheme="minorHAnsi"/>
          <w:sz w:val="25"/>
          <w:szCs w:val="25"/>
        </w:rPr>
        <w:t>.</w:t>
      </w:r>
    </w:p>
    <w:p w14:paraId="4B8323F2" w14:textId="77777777" w:rsidR="00D94C2C" w:rsidRPr="00E839A8" w:rsidRDefault="00D94C2C" w:rsidP="00E839A8">
      <w:pPr>
        <w:spacing w:line="360" w:lineRule="auto"/>
        <w:ind w:left="60"/>
        <w:jc w:val="both"/>
        <w:rPr>
          <w:rFonts w:cstheme="minorHAnsi"/>
          <w:sz w:val="25"/>
          <w:szCs w:val="25"/>
        </w:rPr>
      </w:pPr>
      <w:r w:rsidRPr="00E839A8">
        <w:rPr>
          <w:rFonts w:cstheme="minorHAnsi"/>
          <w:sz w:val="25"/>
          <w:szCs w:val="25"/>
        </w:rPr>
        <w:lastRenderedPageBreak/>
        <w:t>Esto es de toda lógica, ya que, por ejemplo, en casos actuales tenemos fallos de jueces que han declarado inconstitucional un veto del Poder Ejecutivo –cuestión no justiciable por antonomasia- y por tal cuestión han promulgado una norma; etc. Casos así no deberían estar a cubierto de la imposibilidad de solicitar la causal por mal desempeño, ya que no basta la vía recursiva para paliar la manifiesta falta de idoneidad mínima en el magistrado.</w:t>
      </w:r>
    </w:p>
    <w:p w14:paraId="0106EB3C" w14:textId="77777777" w:rsidR="001D2734" w:rsidRPr="00E839A8" w:rsidRDefault="001D2734" w:rsidP="00E839A8">
      <w:pPr>
        <w:spacing w:line="360" w:lineRule="auto"/>
        <w:ind w:left="60"/>
        <w:jc w:val="both"/>
        <w:rPr>
          <w:rFonts w:cstheme="minorHAnsi"/>
          <w:sz w:val="25"/>
          <w:szCs w:val="25"/>
        </w:rPr>
      </w:pPr>
      <w:r w:rsidRPr="00E839A8">
        <w:rPr>
          <w:rFonts w:cstheme="minorHAnsi"/>
          <w:sz w:val="25"/>
          <w:szCs w:val="25"/>
        </w:rPr>
        <w:t>6.- Conclusiones.</w:t>
      </w:r>
    </w:p>
    <w:p w14:paraId="017B1AFE" w14:textId="77777777" w:rsidR="00D94C2C" w:rsidRDefault="005E01D4" w:rsidP="00E839A8">
      <w:pPr>
        <w:spacing w:line="360" w:lineRule="auto"/>
        <w:ind w:left="60"/>
        <w:jc w:val="both"/>
        <w:rPr>
          <w:rFonts w:cstheme="minorHAnsi"/>
          <w:sz w:val="25"/>
          <w:szCs w:val="25"/>
        </w:rPr>
      </w:pPr>
      <w:r>
        <w:rPr>
          <w:rFonts w:cstheme="minorHAnsi"/>
          <w:sz w:val="25"/>
          <w:szCs w:val="25"/>
        </w:rPr>
        <w:t>Como analizamos</w:t>
      </w:r>
      <w:r w:rsidR="00D94C2C" w:rsidRPr="00E839A8">
        <w:rPr>
          <w:rFonts w:cstheme="minorHAnsi"/>
          <w:sz w:val="25"/>
          <w:szCs w:val="25"/>
        </w:rPr>
        <w:t xml:space="preserve">, principalmente, las garantías judiciales de inamovilidad e intangibilidad están destinadas a </w:t>
      </w:r>
      <w:r w:rsidR="00B779D5" w:rsidRPr="00E839A8">
        <w:rPr>
          <w:rFonts w:cstheme="minorHAnsi"/>
          <w:sz w:val="25"/>
          <w:szCs w:val="25"/>
        </w:rPr>
        <w:t>asegurarles</w:t>
      </w:r>
      <w:r w:rsidR="00D94C2C" w:rsidRPr="00E839A8">
        <w:rPr>
          <w:rFonts w:cstheme="minorHAnsi"/>
          <w:sz w:val="25"/>
          <w:szCs w:val="25"/>
        </w:rPr>
        <w:t xml:space="preserve"> a los habitantes justiciables la imparcialidad e independencia del juzgador, más que a la persona de este.</w:t>
      </w:r>
    </w:p>
    <w:p w14:paraId="6AC72C9B" w14:textId="77777777" w:rsidR="005E01D4" w:rsidRPr="00E839A8" w:rsidRDefault="005E01D4" w:rsidP="00E839A8">
      <w:pPr>
        <w:spacing w:line="360" w:lineRule="auto"/>
        <w:ind w:left="60"/>
        <w:jc w:val="both"/>
        <w:rPr>
          <w:rFonts w:cstheme="minorHAnsi"/>
          <w:sz w:val="25"/>
          <w:szCs w:val="25"/>
        </w:rPr>
      </w:pPr>
      <w:r>
        <w:rPr>
          <w:rFonts w:cstheme="minorHAnsi"/>
          <w:sz w:val="25"/>
          <w:szCs w:val="25"/>
        </w:rPr>
        <w:t>La progresividad no sólo hay que verla desde la “no regresión”, sino desde la optimación de los derechos y garantías de los habitantes a tener un juez imparcial e independiente.</w:t>
      </w:r>
    </w:p>
    <w:p w14:paraId="760733B2" w14:textId="77777777" w:rsidR="00D94C2C" w:rsidRPr="00E839A8" w:rsidRDefault="005E01D4" w:rsidP="00E839A8">
      <w:pPr>
        <w:spacing w:line="360" w:lineRule="auto"/>
        <w:ind w:left="60"/>
        <w:jc w:val="both"/>
        <w:rPr>
          <w:rFonts w:cstheme="minorHAnsi"/>
          <w:sz w:val="25"/>
          <w:szCs w:val="25"/>
        </w:rPr>
      </w:pPr>
      <w:r>
        <w:rPr>
          <w:rFonts w:cstheme="minorHAnsi"/>
          <w:sz w:val="25"/>
          <w:szCs w:val="25"/>
        </w:rPr>
        <w:t>Por lo tanto,</w:t>
      </w:r>
      <w:r w:rsidR="00D94C2C" w:rsidRPr="00E839A8">
        <w:rPr>
          <w:rFonts w:cstheme="minorHAnsi"/>
          <w:sz w:val="25"/>
          <w:szCs w:val="25"/>
        </w:rPr>
        <w:t xml:space="preserve"> se deben proveer de mecanismos procesales e institucionales que permitan a las partes litigantes, en todo fuero, tener absoluta convicción de la independencia del juzgador, sea por medio de la posibilidad de </w:t>
      </w:r>
      <w:r>
        <w:rPr>
          <w:rFonts w:cstheme="minorHAnsi"/>
          <w:sz w:val="25"/>
          <w:szCs w:val="25"/>
        </w:rPr>
        <w:t xml:space="preserve">un juicio por jurado civil, o del </w:t>
      </w:r>
      <w:r w:rsidR="00D94C2C" w:rsidRPr="00E839A8">
        <w:rPr>
          <w:rFonts w:cstheme="minorHAnsi"/>
          <w:sz w:val="25"/>
          <w:szCs w:val="25"/>
        </w:rPr>
        <w:t>traslado de la competencia territorial</w:t>
      </w:r>
      <w:r>
        <w:rPr>
          <w:rFonts w:cstheme="minorHAnsi"/>
          <w:sz w:val="25"/>
          <w:szCs w:val="25"/>
        </w:rPr>
        <w:t xml:space="preserve"> a un lugar ajeno al del hecho estrepitoso </w:t>
      </w:r>
      <w:r w:rsidR="00D94C2C" w:rsidRPr="00E839A8">
        <w:rPr>
          <w:rFonts w:cstheme="minorHAnsi"/>
          <w:sz w:val="25"/>
          <w:szCs w:val="25"/>
        </w:rPr>
        <w:t>y de un examen de “</w:t>
      </w:r>
      <w:proofErr w:type="spellStart"/>
      <w:r w:rsidR="00D94C2C" w:rsidRPr="00E839A8">
        <w:rPr>
          <w:rFonts w:cstheme="minorHAnsi"/>
          <w:sz w:val="25"/>
          <w:szCs w:val="25"/>
        </w:rPr>
        <w:t>voir</w:t>
      </w:r>
      <w:proofErr w:type="spellEnd"/>
      <w:r w:rsidR="00D94C2C" w:rsidRPr="00E839A8">
        <w:rPr>
          <w:rFonts w:cstheme="minorHAnsi"/>
          <w:sz w:val="25"/>
          <w:szCs w:val="25"/>
        </w:rPr>
        <w:t xml:space="preserve"> </w:t>
      </w:r>
      <w:proofErr w:type="spellStart"/>
      <w:r w:rsidR="00D94C2C" w:rsidRPr="00E839A8">
        <w:rPr>
          <w:rFonts w:cstheme="minorHAnsi"/>
          <w:sz w:val="25"/>
          <w:szCs w:val="25"/>
        </w:rPr>
        <w:t>dire</w:t>
      </w:r>
      <w:proofErr w:type="spellEnd"/>
      <w:r w:rsidR="00D94C2C" w:rsidRPr="00E839A8">
        <w:rPr>
          <w:rFonts w:cstheme="minorHAnsi"/>
          <w:sz w:val="25"/>
          <w:szCs w:val="25"/>
        </w:rPr>
        <w:t>” al magistrado que permita conocer hechos que puedan afectar su independencia, tanto del poder político como de la opinión pública excesiva.</w:t>
      </w:r>
    </w:p>
    <w:p w14:paraId="0D572F39" w14:textId="77777777" w:rsidR="00D94C2C" w:rsidRPr="00E839A8" w:rsidRDefault="00D94C2C" w:rsidP="00E839A8">
      <w:pPr>
        <w:spacing w:line="360" w:lineRule="auto"/>
        <w:ind w:left="60"/>
        <w:jc w:val="both"/>
        <w:rPr>
          <w:rFonts w:cstheme="minorHAnsi"/>
          <w:sz w:val="25"/>
          <w:szCs w:val="25"/>
        </w:rPr>
      </w:pPr>
      <w:r w:rsidRPr="00E839A8">
        <w:rPr>
          <w:rFonts w:cstheme="minorHAnsi"/>
          <w:sz w:val="25"/>
          <w:szCs w:val="25"/>
        </w:rPr>
        <w:t xml:space="preserve">Además, también debe existir un órgano institucional independiente </w:t>
      </w:r>
      <w:r w:rsidR="00B779D5" w:rsidRPr="00E839A8">
        <w:rPr>
          <w:rFonts w:cstheme="minorHAnsi"/>
          <w:sz w:val="25"/>
          <w:szCs w:val="25"/>
        </w:rPr>
        <w:t xml:space="preserve">que tenga la potestad de analizar, investigar y, en su caso, acusar a los magistrados ante el </w:t>
      </w:r>
      <w:proofErr w:type="spellStart"/>
      <w:r w:rsidR="00B779D5" w:rsidRPr="00E839A8">
        <w:rPr>
          <w:rFonts w:cstheme="minorHAnsi"/>
          <w:sz w:val="25"/>
          <w:szCs w:val="25"/>
        </w:rPr>
        <w:t>Jury</w:t>
      </w:r>
      <w:proofErr w:type="spellEnd"/>
      <w:r w:rsidR="00B779D5" w:rsidRPr="00E839A8">
        <w:rPr>
          <w:rFonts w:cstheme="minorHAnsi"/>
          <w:sz w:val="25"/>
          <w:szCs w:val="25"/>
        </w:rPr>
        <w:t xml:space="preserve"> cuando se den causales de arbitrariedad de sentencias.</w:t>
      </w:r>
    </w:p>
    <w:p w14:paraId="64BB6569" w14:textId="77777777" w:rsidR="00571F58" w:rsidRPr="00E839A8" w:rsidRDefault="00B779D5" w:rsidP="00E839A8">
      <w:pPr>
        <w:spacing w:line="360" w:lineRule="auto"/>
        <w:ind w:left="60"/>
        <w:jc w:val="both"/>
        <w:rPr>
          <w:rFonts w:cstheme="minorHAnsi"/>
          <w:b/>
          <w:bCs/>
          <w:sz w:val="25"/>
          <w:szCs w:val="25"/>
        </w:rPr>
      </w:pPr>
      <w:r w:rsidRPr="00E839A8">
        <w:rPr>
          <w:rFonts w:cstheme="minorHAnsi"/>
          <w:sz w:val="25"/>
          <w:szCs w:val="25"/>
        </w:rPr>
        <w:t xml:space="preserve">En fin, como decía Marshall: </w:t>
      </w:r>
      <w:r w:rsidR="00571F58" w:rsidRPr="00E839A8">
        <w:rPr>
          <w:rFonts w:cstheme="minorHAnsi"/>
          <w:sz w:val="25"/>
          <w:szCs w:val="25"/>
        </w:rPr>
        <w:t xml:space="preserve">“El Poder Judicial llega a través de sus efectos a la chimenea de cualquier persona: atraviesa su propiedad, su reputación, su todo. ¿No es de principal importancia que un juez sea perfecta y completamente independiente, sin nada que lo influya o controle salvo Dios y su conciencia? La independencia de todos aquellos que juzgan causas de las personas entre sí y entre </w:t>
      </w:r>
      <w:r w:rsidR="00571F58" w:rsidRPr="00E839A8">
        <w:rPr>
          <w:rFonts w:cstheme="minorHAnsi"/>
          <w:sz w:val="25"/>
          <w:szCs w:val="25"/>
        </w:rPr>
        <w:lastRenderedPageBreak/>
        <w:t>las personas y su gobierno, solamente puede ser mantenida por su inamovilidad en el cargo. […] Siempre he creído, desde mi juventud más temprana hasta ahora, que el mayor castigo que un Cielo enojado infligió jamás a un pueblo desagradecido y pecador, es un Poder Judicial ignorante, corrupto o dependiente”</w:t>
      </w:r>
      <w:r w:rsidRPr="00E839A8">
        <w:rPr>
          <w:rStyle w:val="Refdenotaalpie"/>
          <w:rFonts w:cstheme="minorHAnsi"/>
          <w:sz w:val="25"/>
          <w:szCs w:val="25"/>
        </w:rPr>
        <w:footnoteReference w:id="23"/>
      </w:r>
      <w:r w:rsidR="00571F58" w:rsidRPr="00E839A8">
        <w:rPr>
          <w:rFonts w:cstheme="minorHAnsi"/>
          <w:sz w:val="25"/>
          <w:szCs w:val="25"/>
        </w:rPr>
        <w:t>.</w:t>
      </w:r>
    </w:p>
    <w:p w14:paraId="042E66D5" w14:textId="77777777" w:rsidR="00031B29" w:rsidRPr="00E839A8" w:rsidRDefault="00031B29" w:rsidP="00E839A8">
      <w:pPr>
        <w:spacing w:line="360" w:lineRule="auto"/>
        <w:jc w:val="both"/>
        <w:rPr>
          <w:rFonts w:cstheme="minorHAnsi"/>
          <w:b/>
          <w:bCs/>
          <w:sz w:val="25"/>
          <w:szCs w:val="25"/>
        </w:rPr>
      </w:pPr>
    </w:p>
    <w:p w14:paraId="032BAC42" w14:textId="77777777" w:rsidR="00B3060C" w:rsidRPr="00E839A8" w:rsidRDefault="00031B29" w:rsidP="00E839A8">
      <w:pPr>
        <w:spacing w:line="360" w:lineRule="auto"/>
        <w:jc w:val="both"/>
        <w:rPr>
          <w:rFonts w:cstheme="minorHAnsi"/>
          <w:sz w:val="25"/>
          <w:szCs w:val="25"/>
        </w:rPr>
      </w:pPr>
      <w:r w:rsidRPr="00E839A8">
        <w:rPr>
          <w:rFonts w:cstheme="minorHAnsi"/>
          <w:sz w:val="25"/>
          <w:szCs w:val="25"/>
        </w:rPr>
        <w:t xml:space="preserve"> </w:t>
      </w:r>
    </w:p>
    <w:p w14:paraId="3D7C2044" w14:textId="77777777" w:rsidR="00B3060C" w:rsidRPr="00E839A8" w:rsidRDefault="00B3060C" w:rsidP="00E839A8">
      <w:pPr>
        <w:spacing w:line="360" w:lineRule="auto"/>
        <w:jc w:val="both"/>
        <w:rPr>
          <w:rFonts w:cstheme="minorHAnsi"/>
          <w:sz w:val="25"/>
          <w:szCs w:val="25"/>
        </w:rPr>
      </w:pPr>
    </w:p>
    <w:sectPr w:rsidR="00B3060C" w:rsidRPr="00E839A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A44DA" w14:textId="77777777" w:rsidR="007179AB" w:rsidRDefault="007179AB" w:rsidP="000313AD">
      <w:pPr>
        <w:spacing w:after="0" w:line="240" w:lineRule="auto"/>
      </w:pPr>
      <w:r>
        <w:separator/>
      </w:r>
    </w:p>
  </w:endnote>
  <w:endnote w:type="continuationSeparator" w:id="0">
    <w:p w14:paraId="0FD40428" w14:textId="77777777" w:rsidR="007179AB" w:rsidRDefault="007179AB" w:rsidP="00031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B56E6" w14:textId="77777777" w:rsidR="007179AB" w:rsidRDefault="007179AB" w:rsidP="000313AD">
      <w:pPr>
        <w:spacing w:after="0" w:line="240" w:lineRule="auto"/>
      </w:pPr>
      <w:r>
        <w:separator/>
      </w:r>
    </w:p>
  </w:footnote>
  <w:footnote w:type="continuationSeparator" w:id="0">
    <w:p w14:paraId="26265A6F" w14:textId="77777777" w:rsidR="007179AB" w:rsidRDefault="007179AB" w:rsidP="000313AD">
      <w:pPr>
        <w:spacing w:after="0" w:line="240" w:lineRule="auto"/>
      </w:pPr>
      <w:r>
        <w:continuationSeparator/>
      </w:r>
    </w:p>
  </w:footnote>
  <w:footnote w:id="1">
    <w:p w14:paraId="0C2B9016" w14:textId="77777777" w:rsidR="00284F8D" w:rsidRPr="009C6079" w:rsidRDefault="00284F8D" w:rsidP="00CF2F69">
      <w:pPr>
        <w:pStyle w:val="Textonotapie"/>
        <w:jc w:val="both"/>
        <w:rPr>
          <w:lang w:val="es-ES"/>
        </w:rPr>
      </w:pPr>
      <w:r>
        <w:rPr>
          <w:rStyle w:val="Refdenotaalpie"/>
        </w:rPr>
        <w:footnoteRef/>
      </w:r>
      <w:r>
        <w:t xml:space="preserve"> </w:t>
      </w:r>
      <w:r>
        <w:rPr>
          <w:lang w:val="es-ES"/>
        </w:rPr>
        <w:t xml:space="preserve">Los principios procesales son cinco: imparcialidad del juzgador, igualdad de los litigantes, transitoriedad del proceso, eficacia de la serie procedimental y moralidad del debate (conf. ALVARADO VELLOSO, Adolfo – MEROI, Andrea – FORNETTI, Omar, </w:t>
      </w:r>
      <w:r>
        <w:rPr>
          <w:i/>
          <w:lang w:val="es-ES"/>
        </w:rPr>
        <w:t>Manual de Derecho Procesal</w:t>
      </w:r>
      <w:r>
        <w:rPr>
          <w:lang w:val="es-ES"/>
        </w:rPr>
        <w:t>, ed. ASC, 2024, pp. 237 y ss.</w:t>
      </w:r>
    </w:p>
  </w:footnote>
  <w:footnote w:id="2">
    <w:p w14:paraId="7E434AAB" w14:textId="77777777" w:rsidR="00284F8D" w:rsidRPr="00D94C2C" w:rsidRDefault="00284F8D" w:rsidP="00CF2F69">
      <w:pPr>
        <w:pStyle w:val="Textonotaalfinal"/>
        <w:jc w:val="both"/>
        <w:rPr>
          <w:lang w:val="es-ES"/>
        </w:rPr>
      </w:pPr>
      <w:r>
        <w:rPr>
          <w:rStyle w:val="Refdenotaalpie"/>
        </w:rPr>
        <w:footnoteRef/>
      </w:r>
      <w:r>
        <w:t xml:space="preserve"> </w:t>
      </w:r>
      <w:r>
        <w:rPr>
          <w:lang w:val="es-ES"/>
        </w:rPr>
        <w:t xml:space="preserve">THURY CORNEJO, Valentín, </w:t>
      </w:r>
      <w:r>
        <w:rPr>
          <w:i/>
          <w:lang w:val="es-ES"/>
        </w:rPr>
        <w:t>Juez y División de Poderes Hoy</w:t>
      </w:r>
      <w:r>
        <w:rPr>
          <w:lang w:val="es-ES"/>
        </w:rPr>
        <w:t xml:space="preserve">, </w:t>
      </w:r>
      <w:proofErr w:type="spellStart"/>
      <w:r>
        <w:rPr>
          <w:lang w:val="es-ES"/>
        </w:rPr>
        <w:t>ed</w:t>
      </w:r>
      <w:proofErr w:type="spellEnd"/>
      <w:r>
        <w:rPr>
          <w:lang w:val="es-ES"/>
        </w:rPr>
        <w:t xml:space="preserve"> Ciudad Argentina, 2002, p. 391. </w:t>
      </w:r>
    </w:p>
  </w:footnote>
  <w:footnote w:id="3">
    <w:p w14:paraId="7694888A" w14:textId="77777777" w:rsidR="00284F8D" w:rsidRPr="00763DB7" w:rsidRDefault="00284F8D" w:rsidP="00CF2F69">
      <w:pPr>
        <w:pStyle w:val="Textonotapie"/>
        <w:jc w:val="both"/>
        <w:rPr>
          <w:lang w:val="es-ES"/>
        </w:rPr>
      </w:pPr>
      <w:r>
        <w:rPr>
          <w:rStyle w:val="Refdenotaalpie"/>
        </w:rPr>
        <w:footnoteRef/>
      </w:r>
      <w:r>
        <w:t xml:space="preserve"> En este las funciones del Poder están divididas entre 1) el </w:t>
      </w:r>
      <w:r w:rsidRPr="00763DB7">
        <w:t xml:space="preserve">Poder Ejecutivo </w:t>
      </w:r>
      <w:r>
        <w:t xml:space="preserve">está dividido entre el </w:t>
      </w:r>
      <w:r w:rsidRPr="00763DB7">
        <w:t xml:space="preserve">Jefe de Estado </w:t>
      </w:r>
      <w:r>
        <w:t xml:space="preserve">[sea el </w:t>
      </w:r>
      <w:r w:rsidRPr="00763DB7">
        <w:t>Rey</w:t>
      </w:r>
      <w:r>
        <w:t xml:space="preserve"> en las monarquías constitucionales (España o Reino Unido de la Gran Bretaña e Irlanda del Norte, v.g.), sea el</w:t>
      </w:r>
      <w:r w:rsidRPr="00763DB7">
        <w:t xml:space="preserve"> Presidente</w:t>
      </w:r>
      <w:r>
        <w:t xml:space="preserve"> en las repúblicas parlamentarias (Italia, v.g.)</w:t>
      </w:r>
      <w:r w:rsidRPr="00763DB7">
        <w:t xml:space="preserve"> y Jefe de Gobierno </w:t>
      </w:r>
      <w:r>
        <w:t>[</w:t>
      </w:r>
      <w:r w:rsidRPr="00763DB7">
        <w:t>Jefe de la bancada o ali</w:t>
      </w:r>
      <w:r>
        <w:t>anza mayoritaria en Parlamento];</w:t>
      </w:r>
      <w:r w:rsidRPr="00763DB7">
        <w:t xml:space="preserve"> </w:t>
      </w:r>
      <w:r>
        <w:t xml:space="preserve">2) el </w:t>
      </w:r>
      <w:r w:rsidRPr="00763DB7">
        <w:t>Poder Legislativo</w:t>
      </w:r>
      <w:r>
        <w:t>, que es el Parlamento (unicameral o bicameral); 3) la</w:t>
      </w:r>
      <w:r w:rsidRPr="00763DB7">
        <w:t xml:space="preserve"> Administración de Justicia –justicia ordinaria- y</w:t>
      </w:r>
      <w:r>
        <w:t xml:space="preserve"> 4)</w:t>
      </w:r>
      <w:r w:rsidRPr="00763DB7">
        <w:t xml:space="preserve"> Tribunal Constitucional</w:t>
      </w:r>
      <w:r>
        <w:t xml:space="preserve">, que </w:t>
      </w:r>
      <w:r w:rsidRPr="00763DB7">
        <w:t>hace las veces de un legislador n</w:t>
      </w:r>
      <w:r>
        <w:t>egativo.</w:t>
      </w:r>
    </w:p>
  </w:footnote>
  <w:footnote w:id="4">
    <w:p w14:paraId="3B47113E" w14:textId="77777777" w:rsidR="00284F8D" w:rsidRPr="00763DB7" w:rsidRDefault="00284F8D" w:rsidP="00CF2F69">
      <w:pPr>
        <w:pStyle w:val="Textonotapie"/>
        <w:jc w:val="both"/>
        <w:rPr>
          <w:lang w:val="es-ES"/>
        </w:rPr>
      </w:pPr>
      <w:r>
        <w:rPr>
          <w:rStyle w:val="Refdenotaalpie"/>
        </w:rPr>
        <w:footnoteRef/>
      </w:r>
      <w:r>
        <w:t xml:space="preserve"> En este las funciones del Poder están divididas entre 1) el Poder Ejecutivo, que es </w:t>
      </w:r>
      <w:r w:rsidRPr="00763DB7">
        <w:t>Jefe de Estado y</w:t>
      </w:r>
      <w:r>
        <w:t xml:space="preserve"> de Gobierno; 2)</w:t>
      </w:r>
      <w:r w:rsidRPr="00763DB7">
        <w:t xml:space="preserve"> Poder Legislativo</w:t>
      </w:r>
      <w:r>
        <w:t xml:space="preserve"> que se ejerce por el Congreso</w:t>
      </w:r>
      <w:r w:rsidRPr="00763DB7">
        <w:t xml:space="preserve"> (generalmente bicameral</w:t>
      </w:r>
      <w:r>
        <w:t>, donde en los estados federales hay representación tanto del pueblo –diputados- y estados locales –senadores-;</w:t>
      </w:r>
      <w:r w:rsidRPr="00763DB7">
        <w:t xml:space="preserve"> y</w:t>
      </w:r>
      <w:r>
        <w:t xml:space="preserve"> 3) el Poder Judicial, que además de ejercer la administración de justicia tiene las </w:t>
      </w:r>
      <w:r w:rsidRPr="00763DB7">
        <w:t>funciones de control de constitucionalidad e interpretación y apli</w:t>
      </w:r>
      <w:r>
        <w:t>cación del derecho legislativo.</w:t>
      </w:r>
    </w:p>
  </w:footnote>
  <w:footnote w:id="5">
    <w:p w14:paraId="306D3BC9" w14:textId="77777777" w:rsidR="00284F8D" w:rsidRPr="004125CF" w:rsidRDefault="00284F8D" w:rsidP="00CF2F69">
      <w:pPr>
        <w:pStyle w:val="Textonotapie"/>
        <w:jc w:val="both"/>
        <w:rPr>
          <w:lang w:val="es-ES"/>
        </w:rPr>
      </w:pPr>
      <w:r>
        <w:rPr>
          <w:rStyle w:val="Refdenotaalpie"/>
        </w:rPr>
        <w:footnoteRef/>
      </w:r>
      <w:r>
        <w:t xml:space="preserve"> </w:t>
      </w:r>
      <w:r w:rsidRPr="004125CF">
        <w:t>Alexander Hamilton</w:t>
      </w:r>
      <w:r>
        <w:t xml:space="preserve"> lo publicó </w:t>
      </w:r>
      <w:r w:rsidRPr="004125CF">
        <w:t>bajo el pseudónimo de "</w:t>
      </w:r>
      <w:proofErr w:type="spellStart"/>
      <w:r w:rsidRPr="004125CF">
        <w:t>Publius</w:t>
      </w:r>
      <w:proofErr w:type="spellEnd"/>
      <w:r w:rsidRPr="004125CF">
        <w:t>",</w:t>
      </w:r>
      <w:r>
        <w:t xml:space="preserve"> en los conocidos “</w:t>
      </w:r>
      <w:proofErr w:type="spellStart"/>
      <w:r w:rsidRPr="004125CF">
        <w:rPr>
          <w:i/>
        </w:rPr>
        <w:t>The</w:t>
      </w:r>
      <w:proofErr w:type="spellEnd"/>
      <w:r w:rsidRPr="004125CF">
        <w:rPr>
          <w:i/>
        </w:rPr>
        <w:t xml:space="preserve"> </w:t>
      </w:r>
      <w:proofErr w:type="spellStart"/>
      <w:r w:rsidRPr="004125CF">
        <w:rPr>
          <w:i/>
        </w:rPr>
        <w:t>Federalist</w:t>
      </w:r>
      <w:proofErr w:type="spellEnd"/>
      <w:r w:rsidRPr="004125CF">
        <w:rPr>
          <w:i/>
        </w:rPr>
        <w:t xml:space="preserve"> </w:t>
      </w:r>
      <w:proofErr w:type="spellStart"/>
      <w:r w:rsidRPr="004125CF">
        <w:rPr>
          <w:i/>
        </w:rPr>
        <w:t>Papers</w:t>
      </w:r>
      <w:proofErr w:type="spellEnd"/>
      <w:r>
        <w:t>”</w:t>
      </w:r>
      <w:r w:rsidRPr="004125CF">
        <w:t xml:space="preserve"> (Los Ensayos Federalistas)</w:t>
      </w:r>
      <w:r>
        <w:t>,</w:t>
      </w:r>
      <w:r w:rsidRPr="004125CF">
        <w:t xml:space="preserve"> en tres periódicos de Nueva York: </w:t>
      </w:r>
      <w:proofErr w:type="spellStart"/>
      <w:r w:rsidRPr="004125CF">
        <w:t>The</w:t>
      </w:r>
      <w:proofErr w:type="spellEnd"/>
      <w:r w:rsidRPr="004125CF">
        <w:t xml:space="preserve"> </w:t>
      </w:r>
      <w:proofErr w:type="spellStart"/>
      <w:r w:rsidRPr="004125CF">
        <w:t>Independent</w:t>
      </w:r>
      <w:proofErr w:type="spellEnd"/>
      <w:r w:rsidRPr="004125CF">
        <w:t xml:space="preserve"> </w:t>
      </w:r>
      <w:proofErr w:type="spellStart"/>
      <w:r w:rsidRPr="004125CF">
        <w:t>Journal</w:t>
      </w:r>
      <w:proofErr w:type="spellEnd"/>
      <w:r w:rsidRPr="004125CF">
        <w:t xml:space="preserve">, el New York </w:t>
      </w:r>
      <w:proofErr w:type="spellStart"/>
      <w:r w:rsidRPr="004125CF">
        <w:t>Packet</w:t>
      </w:r>
      <w:proofErr w:type="spellEnd"/>
      <w:r>
        <w:t xml:space="preserve">, y el </w:t>
      </w:r>
      <w:proofErr w:type="spellStart"/>
      <w:r>
        <w:t>Daily</w:t>
      </w:r>
      <w:proofErr w:type="spellEnd"/>
      <w:r>
        <w:t xml:space="preserve"> </w:t>
      </w:r>
      <w:proofErr w:type="spellStart"/>
      <w:r>
        <w:t>Advertiser</w:t>
      </w:r>
      <w:proofErr w:type="spellEnd"/>
      <w:r>
        <w:t xml:space="preserve">, </w:t>
      </w:r>
      <w:r w:rsidRPr="004125CF">
        <w:t>entre octubre de 1787 y agosto de 1788</w:t>
      </w:r>
      <w:r>
        <w:t>. Los otros autores fueron James Madison y John Day.</w:t>
      </w:r>
    </w:p>
  </w:footnote>
  <w:footnote w:id="6">
    <w:p w14:paraId="699B53B3" w14:textId="77777777" w:rsidR="00284F8D" w:rsidRPr="00D94C2C" w:rsidRDefault="00284F8D" w:rsidP="00CF2F69">
      <w:pPr>
        <w:pStyle w:val="Textonotapie"/>
        <w:jc w:val="both"/>
        <w:rPr>
          <w:lang w:val="es-ES"/>
        </w:rPr>
      </w:pPr>
      <w:r>
        <w:rPr>
          <w:rStyle w:val="Refdenotaalpie"/>
        </w:rPr>
        <w:footnoteRef/>
      </w:r>
      <w:r>
        <w:t xml:space="preserve"> </w:t>
      </w:r>
      <w:r>
        <w:rPr>
          <w:lang w:val="es-ES"/>
        </w:rPr>
        <w:t>En este punto cabe indicar que el sistema político puede ser de designación por el Ejecutivo, por el Legislativo o por intervención de ambos –como en Argentina-, que se lo intenta limitar por medio de Consejos de la Magistratura que, a veces, son peores que la designación meramente política; o por el propio Poder Judicial, como es el caso de Uruguay, o por este y la colegiatura de abogados, como es en Brasil.</w:t>
      </w:r>
    </w:p>
  </w:footnote>
  <w:footnote w:id="7">
    <w:p w14:paraId="06E6F763" w14:textId="77777777" w:rsidR="00284F8D" w:rsidRPr="00491B9F" w:rsidRDefault="00284F8D" w:rsidP="00CF2F69">
      <w:pPr>
        <w:pStyle w:val="Textonotapie"/>
        <w:jc w:val="both"/>
        <w:rPr>
          <w:lang w:val="es-ES"/>
        </w:rPr>
      </w:pPr>
      <w:r>
        <w:rPr>
          <w:rStyle w:val="Refdenotaalpie"/>
        </w:rPr>
        <w:footnoteRef/>
      </w:r>
      <w:r>
        <w:t xml:space="preserve"> </w:t>
      </w:r>
      <w:r>
        <w:rPr>
          <w:lang w:val="es-ES"/>
        </w:rPr>
        <w:t xml:space="preserve">CSJN Fallos </w:t>
      </w:r>
      <w:r w:rsidRPr="00E44742">
        <w:t>314:760</w:t>
      </w:r>
      <w:r>
        <w:t>.</w:t>
      </w:r>
    </w:p>
  </w:footnote>
  <w:footnote w:id="8">
    <w:p w14:paraId="65AD4005" w14:textId="77777777" w:rsidR="00284F8D" w:rsidRPr="00491B9F" w:rsidRDefault="00284F8D" w:rsidP="00CF2F69">
      <w:pPr>
        <w:pStyle w:val="Textonotapie"/>
        <w:jc w:val="both"/>
        <w:rPr>
          <w:lang w:val="es-ES"/>
        </w:rPr>
      </w:pPr>
      <w:r>
        <w:rPr>
          <w:rStyle w:val="Refdenotaalpie"/>
        </w:rPr>
        <w:footnoteRef/>
      </w:r>
      <w:r>
        <w:t xml:space="preserve"> CSJN Fallos 313:1371</w:t>
      </w:r>
    </w:p>
  </w:footnote>
  <w:footnote w:id="9">
    <w:p w14:paraId="427DDC5A" w14:textId="77777777" w:rsidR="00284F8D" w:rsidRPr="00491B9F" w:rsidRDefault="00284F8D" w:rsidP="00CF2F69">
      <w:pPr>
        <w:pStyle w:val="Textonotapie"/>
        <w:jc w:val="both"/>
        <w:rPr>
          <w:lang w:val="es-ES"/>
        </w:rPr>
      </w:pPr>
      <w:r>
        <w:rPr>
          <w:rStyle w:val="Refdenotaalpie"/>
        </w:rPr>
        <w:footnoteRef/>
      </w:r>
      <w:r>
        <w:t xml:space="preserve"> </w:t>
      </w:r>
      <w:r>
        <w:rPr>
          <w:lang w:val="es-ES"/>
        </w:rPr>
        <w:t xml:space="preserve">CSJN Fallos </w:t>
      </w:r>
      <w:r>
        <w:t>176:73</w:t>
      </w:r>
    </w:p>
  </w:footnote>
  <w:footnote w:id="10">
    <w:p w14:paraId="717B4F0B" w14:textId="77777777" w:rsidR="00284F8D" w:rsidRPr="00491B9F" w:rsidRDefault="00284F8D" w:rsidP="00CF2F69">
      <w:pPr>
        <w:pStyle w:val="Textonotapie"/>
        <w:jc w:val="both"/>
        <w:rPr>
          <w:lang w:val="es-ES"/>
        </w:rPr>
      </w:pPr>
      <w:r>
        <w:rPr>
          <w:rStyle w:val="Refdenotaalpie"/>
        </w:rPr>
        <w:footnoteRef/>
      </w:r>
      <w:r>
        <w:t xml:space="preserve"> </w:t>
      </w:r>
      <w:r>
        <w:rPr>
          <w:lang w:val="es-ES"/>
        </w:rPr>
        <w:t xml:space="preserve">CSJN Fallos </w:t>
      </w:r>
      <w:r w:rsidRPr="00491B9F">
        <w:t xml:space="preserve"> </w:t>
      </w:r>
      <w:r>
        <w:t>311:268</w:t>
      </w:r>
    </w:p>
  </w:footnote>
  <w:footnote w:id="11">
    <w:p w14:paraId="22945DD9" w14:textId="77777777" w:rsidR="00284F8D" w:rsidRPr="00491B9F" w:rsidRDefault="00284F8D" w:rsidP="00CF2F69">
      <w:pPr>
        <w:pStyle w:val="Textonotapie"/>
        <w:jc w:val="both"/>
        <w:rPr>
          <w:lang w:val="es-ES"/>
        </w:rPr>
      </w:pPr>
      <w:r>
        <w:rPr>
          <w:rStyle w:val="Refdenotaalpie"/>
        </w:rPr>
        <w:footnoteRef/>
      </w:r>
      <w:r>
        <w:t xml:space="preserve"> </w:t>
      </w:r>
      <w:r>
        <w:rPr>
          <w:lang w:val="es-ES"/>
        </w:rPr>
        <w:t xml:space="preserve">Ver CSJN </w:t>
      </w:r>
      <w:r>
        <w:t>324:1177 ("</w:t>
      </w:r>
      <w:proofErr w:type="spellStart"/>
      <w:r>
        <w:t>Gaibisso</w:t>
      </w:r>
      <w:proofErr w:type="spellEnd"/>
      <w:r>
        <w:t>"); 329:385 ("Chiara Díaz"); 329:1092 ("Gutiérrez").</w:t>
      </w:r>
    </w:p>
  </w:footnote>
  <w:footnote w:id="12">
    <w:p w14:paraId="30E10342" w14:textId="77777777" w:rsidR="00284F8D" w:rsidRPr="00296F42" w:rsidRDefault="00284F8D" w:rsidP="00CF2F69">
      <w:pPr>
        <w:pStyle w:val="Textonotapie"/>
        <w:jc w:val="both"/>
        <w:rPr>
          <w:lang w:val="es-ES"/>
        </w:rPr>
      </w:pPr>
      <w:r>
        <w:rPr>
          <w:rStyle w:val="Refdenotaalpie"/>
        </w:rPr>
        <w:footnoteRef/>
      </w:r>
      <w:r>
        <w:t xml:space="preserve"> </w:t>
      </w:r>
      <w:r w:rsidRPr="00296F42">
        <w:rPr>
          <w:bCs/>
        </w:rPr>
        <w:t>Artículo 31</w:t>
      </w:r>
      <w:r w:rsidRPr="00296F42">
        <w:t>.- Esta Constitución, las leyes de la Nación que en su consecuencia se dicten por el Congreso y los tratados con las potencias extranjeras son la ley suprema de la Nación; y las autoridades de cada provincia están obligadas a conformarse a ella, no obstante cualquiera disposición en contrario que contengan las leyes o constituciones provinciales, salvo para la provincia de Buenos Aires, los tratados ratificados después del Pacto de 11 de noviembre de 1859.</w:t>
      </w:r>
    </w:p>
  </w:footnote>
  <w:footnote w:id="13">
    <w:p w14:paraId="4346C202" w14:textId="77777777" w:rsidR="00284F8D" w:rsidRDefault="00284F8D" w:rsidP="00CF2F69">
      <w:pPr>
        <w:pStyle w:val="Textonotapie"/>
        <w:jc w:val="both"/>
      </w:pPr>
      <w:r>
        <w:rPr>
          <w:rStyle w:val="Refdenotaalpie"/>
        </w:rPr>
        <w:footnoteRef/>
      </w:r>
      <w:r>
        <w:t xml:space="preserve"> </w:t>
      </w:r>
      <w:r w:rsidRPr="00296F42">
        <w:t>Artículo 116.- Corresponde a la Corte Suprema y a los tribunales inferiores de la Nación, el conocimiento y decisión de todas las causas que versen sobre puntos regidos por la Constitución</w:t>
      </w:r>
      <w:r>
        <w:t xml:space="preserve"> </w:t>
      </w:r>
      <w:r w:rsidRPr="00296F42">
        <w:rPr>
          <w:i/>
        </w:rPr>
        <w:t>(control de constitucionalidad)</w:t>
      </w:r>
      <w:r w:rsidRPr="00296F42">
        <w:t>, y por las leyes de la Nación</w:t>
      </w:r>
      <w:r>
        <w:t xml:space="preserve"> (</w:t>
      </w:r>
      <w:r>
        <w:rPr>
          <w:i/>
        </w:rPr>
        <w:t>función nomofiláctica</w:t>
      </w:r>
      <w:r>
        <w:t>)</w:t>
      </w:r>
      <w:r w:rsidRPr="00296F42">
        <w:t>, con la reserva hecha en el inc. 12 del Artículo 75: y por los tratados con las naciones extranjeras: de las causas concernientes a embajadores, ministros públicos y cónsules extranjeros: de las causas de almirantazgo y jurisdicción marítima: de los asuntos en que la Nación sea parte: de las causas que se susciten entre dos o más provincias; entre una provincia y los vecinos de otra; entre los vecinos de diferentes provincias; y entre una provincia o sus vecinos, contra un Estado o ciudadano extranjero.</w:t>
      </w:r>
      <w:r>
        <w:t xml:space="preserve"> </w:t>
      </w:r>
    </w:p>
    <w:p w14:paraId="0C8DA810" w14:textId="77777777" w:rsidR="00284F8D" w:rsidRPr="00296F42" w:rsidRDefault="00284F8D" w:rsidP="00CF2F69">
      <w:pPr>
        <w:pStyle w:val="Textonotapie"/>
        <w:jc w:val="both"/>
        <w:rPr>
          <w:lang w:val="es-ES"/>
        </w:rPr>
      </w:pPr>
      <w:r>
        <w:t>El agregado entre paréntesis es nuestro.</w:t>
      </w:r>
    </w:p>
  </w:footnote>
  <w:footnote w:id="14">
    <w:p w14:paraId="31751F6B" w14:textId="77777777" w:rsidR="00284F8D" w:rsidRPr="00D307CD" w:rsidRDefault="00284F8D" w:rsidP="00CF2F69">
      <w:pPr>
        <w:pStyle w:val="Textonotapie"/>
        <w:jc w:val="both"/>
        <w:rPr>
          <w:lang w:val="es-ES"/>
        </w:rPr>
      </w:pPr>
      <w:r>
        <w:rPr>
          <w:rStyle w:val="Refdenotaalpie"/>
        </w:rPr>
        <w:footnoteRef/>
      </w:r>
      <w:r>
        <w:t xml:space="preserve"> </w:t>
      </w:r>
      <w:r>
        <w:rPr>
          <w:lang w:val="es-ES"/>
        </w:rPr>
        <w:t xml:space="preserve">Si bien la Corte Suprema ha aceptado la declaración de inconstitucionalidad en los casos </w:t>
      </w:r>
      <w:r>
        <w:t xml:space="preserve">“Mill de Pereyra”, del 27/09/01 (Fallos: 324:3219)”, “Banco Comercial de Finanzas S.A. s/ Quiebra”, del 19/08/2004 (Fallos: 327:3117)” y “Rodríguez Pereyra c/Ejército Argentino”, del 27/11/2012 (Fallos: 335:2333), también ha revocado fallos que en instancias inferiores la habían declarado, por incurrirse en violación de la regla de congruencia al no haber pedido de parte y ser derechos disponibles en “Gómez, Carlos </w:t>
      </w:r>
      <w:proofErr w:type="spellStart"/>
      <w:r>
        <w:t>A.c</w:t>
      </w:r>
      <w:proofErr w:type="spellEnd"/>
      <w:r>
        <w:t xml:space="preserve">/ </w:t>
      </w:r>
      <w:proofErr w:type="spellStart"/>
      <w:r>
        <w:t>Argencard</w:t>
      </w:r>
      <w:proofErr w:type="spellEnd"/>
      <w:r>
        <w:t xml:space="preserve"> S.A.”, del 27/12/2006 (Fallos: 329:5903) y lo ha ratificado en “</w:t>
      </w:r>
      <w:proofErr w:type="spellStart"/>
      <w:r>
        <w:t>Strangio</w:t>
      </w:r>
      <w:proofErr w:type="spellEnd"/>
      <w:r>
        <w:t>, Domingo c/</w:t>
      </w:r>
      <w:proofErr w:type="spellStart"/>
      <w:r>
        <w:t>Cattorini</w:t>
      </w:r>
      <w:proofErr w:type="spellEnd"/>
      <w:r>
        <w:t xml:space="preserve"> Hnos. S.A.”, del 12/05/2009 (Fallos: 332:1078). En fin, pienso que tal declaración sólo puede hacerse de oficio cuando versa sobre cuestiones de orden público indisponible y no cuando está en juego derechos disponibles de las partes.</w:t>
      </w:r>
    </w:p>
  </w:footnote>
  <w:footnote w:id="15">
    <w:p w14:paraId="754308C9" w14:textId="77777777" w:rsidR="00284F8D" w:rsidRPr="00491B9F" w:rsidRDefault="00284F8D" w:rsidP="00CF2F69">
      <w:pPr>
        <w:pStyle w:val="Textonotapie"/>
        <w:jc w:val="both"/>
      </w:pPr>
      <w:r>
        <w:rPr>
          <w:rStyle w:val="Refdenotaalpie"/>
        </w:rPr>
        <w:footnoteRef/>
      </w:r>
      <w:r>
        <w:t xml:space="preserve"> </w:t>
      </w:r>
      <w:hyperlink r:id="rId1" w:history="1">
        <w:r w:rsidRPr="00491B9F">
          <w:rPr>
            <w:rStyle w:val="Hipervnculo"/>
          </w:rPr>
          <w:t>https://tn.com.ar/policiales/2023/01/27/la-llamativa-encuesta-que-hizo-burlando-en-twitter-sobre-el-resultado-del-juicio-que-opcion-tiene-mas-votos/</w:t>
        </w:r>
      </w:hyperlink>
      <w:r w:rsidRPr="00491B9F">
        <w:t xml:space="preserve"> </w:t>
      </w:r>
    </w:p>
    <w:p w14:paraId="27B4FAB6" w14:textId="77777777" w:rsidR="00284F8D" w:rsidRPr="00491B9F" w:rsidRDefault="00284F8D" w:rsidP="00CF2F69">
      <w:pPr>
        <w:pStyle w:val="Textonotapie"/>
        <w:jc w:val="both"/>
      </w:pPr>
      <w:r w:rsidRPr="00491B9F">
        <w:t>En esta se dijo: “Conforme a las pruebas presentadas durante el juicio y los alegatos de la fiscalía, querella y defensa, ¿cuál crees que será la sentencia de los jueces?”, preguntó Burlando en su cuenta de Twitter.</w:t>
      </w:r>
      <w:r>
        <w:t xml:space="preserve"> </w:t>
      </w:r>
      <w:r w:rsidRPr="00491B9F">
        <w:t>Luego dio cuatro opciones para que las personas seleccionen una de las posibilidades. “Absolución: libres, homicidio por riña: 2-6 años, dolo eventual: 8-25 años y alevosía y premeditación: perpetua”.</w:t>
      </w:r>
      <w:r>
        <w:t xml:space="preserve"> </w:t>
      </w:r>
      <w:r w:rsidRPr="00491B9F">
        <w:t xml:space="preserve">Hasta el momento votaron cerca de 121 mil usuarios. Si bien la encuesta aún no finalizó, se pueden visualizar los resultados parciales. En este sentido, el 58% pidieron por la alevosía y premeditación; el 32% se inclinó por el “dolo eventual”; el 7% eligió “homicidio por riña”, y tan solo el 1,7% pidió por la “absolución” a los </w:t>
      </w:r>
      <w:proofErr w:type="spellStart"/>
      <w:r w:rsidRPr="00491B9F">
        <w:t>rugbiers</w:t>
      </w:r>
      <w:proofErr w:type="spellEnd"/>
      <w:r w:rsidRPr="00491B9F">
        <w:t>”.</w:t>
      </w:r>
    </w:p>
    <w:p w14:paraId="6502DCF9" w14:textId="77777777" w:rsidR="00284F8D" w:rsidRPr="00491B9F" w:rsidRDefault="00284F8D" w:rsidP="00CF2F69">
      <w:pPr>
        <w:pStyle w:val="Textonotapie"/>
        <w:jc w:val="both"/>
        <w:rPr>
          <w:lang w:val="es-ES"/>
        </w:rPr>
      </w:pPr>
    </w:p>
  </w:footnote>
  <w:footnote w:id="16">
    <w:p w14:paraId="39E439E3" w14:textId="77777777" w:rsidR="00284F8D" w:rsidRPr="00284F8D" w:rsidRDefault="00284F8D" w:rsidP="00CF2F69">
      <w:pPr>
        <w:pStyle w:val="Textonotapie"/>
        <w:jc w:val="both"/>
        <w:rPr>
          <w:lang w:val="es-ES"/>
        </w:rPr>
      </w:pPr>
      <w:r>
        <w:rPr>
          <w:rStyle w:val="Refdenotaalpie"/>
        </w:rPr>
        <w:footnoteRef/>
      </w:r>
      <w:r>
        <w:t xml:space="preserve"> </w:t>
      </w:r>
      <w:r>
        <w:rPr>
          <w:lang w:val="es-ES"/>
        </w:rPr>
        <w:t>El art. 210 del Código Penal, en su parte pertinente, dice: “…</w:t>
      </w:r>
      <w:r w:rsidRPr="00284F8D">
        <w:rPr>
          <w:lang w:val="es-ES"/>
        </w:rPr>
        <w:t>el que tomare parte en una asociación o banda de tres o más personas destinada a cometer delitos por el solo hecho de ser miembro de la asociación</w:t>
      </w:r>
      <w:r>
        <w:rPr>
          <w:lang w:val="es-ES"/>
        </w:rPr>
        <w:t>…”.</w:t>
      </w:r>
    </w:p>
  </w:footnote>
  <w:footnote w:id="17">
    <w:p w14:paraId="038D95DB" w14:textId="77777777" w:rsidR="00284F8D" w:rsidRDefault="00284F8D" w:rsidP="00CF2F69">
      <w:pPr>
        <w:pStyle w:val="Textonotapie"/>
        <w:jc w:val="both"/>
      </w:pPr>
      <w:r>
        <w:rPr>
          <w:rStyle w:val="Refdenotaalpie"/>
        </w:rPr>
        <w:footnoteRef/>
      </w:r>
      <w:r>
        <w:t xml:space="preserve"> </w:t>
      </w:r>
      <w:hyperlink r:id="rId2" w:history="1">
        <w:r w:rsidRPr="002F14D3">
          <w:rPr>
            <w:rStyle w:val="Hipervnculo"/>
          </w:rPr>
          <w:t>https://www.diariouno.com.ar/opinion/el-jury-al-juez-sebastian-sarmiento-bala-plata-o-tubo-oxigeno-su-carrera-n1462221</w:t>
        </w:r>
      </w:hyperlink>
      <w:r>
        <w:t xml:space="preserve"> </w:t>
      </w:r>
    </w:p>
    <w:p w14:paraId="69BAA49C" w14:textId="77777777" w:rsidR="00284F8D" w:rsidRPr="00207EC1" w:rsidRDefault="00284F8D" w:rsidP="00CF2F69">
      <w:pPr>
        <w:pStyle w:val="Textonotapie"/>
        <w:jc w:val="both"/>
      </w:pPr>
      <w:r>
        <w:t>Esta nota es clara en este punto: “</w:t>
      </w:r>
      <w:r w:rsidRPr="00207EC1">
        <w:t xml:space="preserve">¿Está la clase política -pura y dura- en condiciones, a través de sus legisladores, de </w:t>
      </w:r>
      <w:proofErr w:type="spellStart"/>
      <w:r w:rsidRPr="00207EC1">
        <w:t>merituar</w:t>
      </w:r>
      <w:proofErr w:type="spellEnd"/>
      <w:r w:rsidRPr="00207EC1">
        <w:t xml:space="preserve"> las </w:t>
      </w:r>
      <w:r w:rsidRPr="00207EC1">
        <w:rPr>
          <w:b/>
          <w:bCs/>
        </w:rPr>
        <w:t>decisiones jurídicas </w:t>
      </w:r>
      <w:r w:rsidRPr="00207EC1">
        <w:t>de magistrados como Sebastián Sarmiento y de poner en justa valoración si hizo bien o mal cuando liberó anticipadamente a delincuentes, dando cumplimiento al régimen progresivo del cumplimiento de la pena de prisión?</w:t>
      </w:r>
    </w:p>
    <w:p w14:paraId="3849DB66" w14:textId="77777777" w:rsidR="00284F8D" w:rsidRPr="00207EC1" w:rsidRDefault="00284F8D" w:rsidP="00CF2F69">
      <w:pPr>
        <w:pStyle w:val="Textonotapie"/>
        <w:jc w:val="both"/>
        <w:rPr>
          <w:i/>
        </w:rPr>
      </w:pPr>
      <w:r w:rsidRPr="00207EC1">
        <w:rPr>
          <w:i/>
        </w:rPr>
        <w:t>Estimamos que sí, aunque no tanto. Pero de lo que no hay dudas es de que la política decide según diversos factores no necesariamente jurídicos, a saber: mandatos partidarios, políticas de gobierno, cronogramas electorales e impacto en la sociedad y el votante</w:t>
      </w:r>
      <w:r>
        <w:t xml:space="preserve">” y se agrega, en manifestaciones de quienes votaron a favor de proseguir el </w:t>
      </w:r>
      <w:proofErr w:type="spellStart"/>
      <w:r>
        <w:t>Jury</w:t>
      </w:r>
      <w:proofErr w:type="spellEnd"/>
      <w:r>
        <w:t>: “</w:t>
      </w:r>
      <w:r w:rsidRPr="00207EC1">
        <w:rPr>
          <w:i/>
        </w:rPr>
        <w:t>Otros dijeron que la actuación de Sarmiento va a contramano de la política de persecución penal que promueve el gobierno de Alfredo Cornejo, quien ha requerido pública y privadamente compromiso judicial para no liberar a los delincuentes cuyos patrones psicológicos de conducta los revelen como peligrosos fuera de la cárcel.</w:t>
      </w:r>
    </w:p>
    <w:p w14:paraId="0472B306" w14:textId="77777777" w:rsidR="00284F8D" w:rsidRPr="00207EC1" w:rsidRDefault="00284F8D" w:rsidP="00CF2F69">
      <w:pPr>
        <w:pStyle w:val="Textonotapie"/>
        <w:jc w:val="both"/>
        <w:rPr>
          <w:lang w:val="es-ES"/>
        </w:rPr>
      </w:pPr>
      <w:r w:rsidRPr="00207EC1">
        <w:rPr>
          <w:i/>
        </w:rPr>
        <w:t xml:space="preserve">Otros hablaron de la necesaria y clara señal </w:t>
      </w:r>
      <w:proofErr w:type="spellStart"/>
      <w:r w:rsidRPr="00207EC1">
        <w:rPr>
          <w:i/>
        </w:rPr>
        <w:t>antidelito</w:t>
      </w:r>
      <w:proofErr w:type="spellEnd"/>
      <w:r w:rsidRPr="00207EC1">
        <w:rPr>
          <w:i/>
        </w:rPr>
        <w:t xml:space="preserve"> que la sociedad espera del fuero penal Poder Judicial, algo que también Cornejo declama y reclama periódicamente en vivo y en directo o a través de su ministra de Seguridad, Mercedes Rus</w:t>
      </w:r>
      <w:r>
        <w:t>”</w:t>
      </w:r>
      <w:r>
        <w:rPr>
          <w:i/>
        </w:rPr>
        <w:t xml:space="preserve">. </w:t>
      </w:r>
      <w:r>
        <w:t>Esto muestra claramente la pérdida de independencia del juez, ya que su estabilidad quedará a merced del dictado de resoluciones afines a la política de turno.</w:t>
      </w:r>
    </w:p>
  </w:footnote>
  <w:footnote w:id="18">
    <w:p w14:paraId="3F4A8DEC" w14:textId="77777777" w:rsidR="00284F8D" w:rsidRPr="0044774B" w:rsidRDefault="00284F8D" w:rsidP="00CF2F69">
      <w:pPr>
        <w:pStyle w:val="Textonotapie"/>
        <w:jc w:val="both"/>
        <w:rPr>
          <w:lang w:val="es-ES"/>
        </w:rPr>
      </w:pPr>
      <w:r>
        <w:rPr>
          <w:rStyle w:val="Refdenotaalpie"/>
        </w:rPr>
        <w:footnoteRef/>
      </w:r>
      <w:r>
        <w:t xml:space="preserve"> </w:t>
      </w:r>
      <w:r>
        <w:rPr>
          <w:lang w:val="es-ES"/>
        </w:rPr>
        <w:t xml:space="preserve">GIORDANO, Aldo, </w:t>
      </w:r>
      <w:r>
        <w:rPr>
          <w:i/>
          <w:lang w:val="es-ES"/>
        </w:rPr>
        <w:t>El control de los poderes y el poder de los controles</w:t>
      </w:r>
      <w:r>
        <w:rPr>
          <w:lang w:val="es-ES"/>
        </w:rPr>
        <w:t>, Revista Voces Jurídicas n° 2 1997, Mendoza, pp. 11-26.</w:t>
      </w:r>
    </w:p>
  </w:footnote>
  <w:footnote w:id="19">
    <w:p w14:paraId="2A337F09" w14:textId="77777777" w:rsidR="00284F8D" w:rsidRPr="00DF31C2" w:rsidRDefault="00284F8D" w:rsidP="00CF2F69">
      <w:pPr>
        <w:pStyle w:val="Textonotapie"/>
        <w:jc w:val="both"/>
        <w:rPr>
          <w:lang w:val="es-ES"/>
        </w:rPr>
      </w:pPr>
      <w:r>
        <w:rPr>
          <w:rStyle w:val="Refdenotaalpie"/>
        </w:rPr>
        <w:footnoteRef/>
      </w:r>
      <w:r>
        <w:t xml:space="preserve"> </w:t>
      </w:r>
      <w:r w:rsidRPr="00DF31C2">
        <w:t>CAPITULO III. DERECHOS ECONOMICOS, SOCIALES Y CULTURALES</w:t>
      </w:r>
      <w:r>
        <w:t xml:space="preserve"> </w:t>
      </w:r>
      <w:r w:rsidRPr="00DF31C2">
        <w:rPr>
          <w:bCs/>
        </w:rPr>
        <w:t>Artículo 26. Desarrollo Progresivo.</w:t>
      </w:r>
      <w:r w:rsidRPr="00DF31C2">
        <w:br/>
        <w:t>Los Estados Partes se comprometen a adoptar providencias, tanto a nivel interno como mediante la cooperación internacional, especialmente económica y técnica, para lograr progresivamente la plena efectividad de los derechos que se derivan de las normas económicas, sociales y sobre educación, ciencia y cultura, contenidas en la Carta de la Organización de los Estados Americanos, reformada por el Protocolo de Buenos Aires, en la medida de los recursos disponibles, por vía legislativa u otros medios apropiados.</w:t>
      </w:r>
    </w:p>
  </w:footnote>
  <w:footnote w:id="20">
    <w:p w14:paraId="149D501E" w14:textId="77777777" w:rsidR="00284F8D" w:rsidRPr="00DF31C2" w:rsidRDefault="00284F8D" w:rsidP="00CF2F69">
      <w:pPr>
        <w:pStyle w:val="Textonotapie"/>
        <w:jc w:val="both"/>
        <w:rPr>
          <w:lang w:val="es-ES"/>
        </w:rPr>
      </w:pPr>
      <w:r>
        <w:rPr>
          <w:rStyle w:val="Refdenotaalpie"/>
        </w:rPr>
        <w:footnoteRef/>
      </w:r>
      <w:r>
        <w:t xml:space="preserve"> Artículo 2 1. Cada uno de los Estados Partes en el presente Pacto se compromete a adoptar medidas, tanto por separado como mediante la asistencia y la cooperación internacionales, especialmente económicas y técnicas, hasta el máximo de los recursos de que disponga, para lograr progresivamente, por todos los medios apropiados, inclusive en particular la adopción de medidas legislativas, la plena efectividad de los derechos aquí reconocidos</w:t>
      </w:r>
    </w:p>
  </w:footnote>
  <w:footnote w:id="21">
    <w:p w14:paraId="72174C30" w14:textId="77777777" w:rsidR="00677642" w:rsidRDefault="00677642" w:rsidP="00CF2F69">
      <w:pPr>
        <w:pStyle w:val="Textonotapie"/>
        <w:jc w:val="both"/>
        <w:rPr>
          <w:lang w:val="es-ES"/>
        </w:rPr>
      </w:pPr>
      <w:r>
        <w:rPr>
          <w:rStyle w:val="Refdenotaalpie"/>
        </w:rPr>
        <w:footnoteRef/>
      </w:r>
      <w:r>
        <w:t xml:space="preserve"> </w:t>
      </w:r>
      <w:r>
        <w:rPr>
          <w:lang w:val="es-ES"/>
        </w:rPr>
        <w:t xml:space="preserve">En Mendoza, que en breve será la única provincia argentina que no contemplará la reelección del Gobernador, tiene órganos de control constitucionalmente previstos. El Fiscal de Estado, figura diferente a la del Asesor de Gobierno, es un órgano de control que debe intervenir en el control de legalidad de la actividad administrativa y es defensor del Fisco. </w:t>
      </w:r>
    </w:p>
    <w:p w14:paraId="02D2BD9C" w14:textId="77777777" w:rsidR="00677642" w:rsidRPr="00677642" w:rsidRDefault="00677642" w:rsidP="00CF2F69">
      <w:pPr>
        <w:pStyle w:val="Textonotapie"/>
        <w:jc w:val="both"/>
        <w:rPr>
          <w:lang w:val="es-ES"/>
        </w:rPr>
      </w:pPr>
      <w:r>
        <w:rPr>
          <w:lang w:val="es-ES"/>
        </w:rPr>
        <w:t>Así, el art. 177 de la Constitución de Mendoza dice: “</w:t>
      </w:r>
      <w:r w:rsidRPr="00677642">
        <w:rPr>
          <w:lang w:val="es-ES"/>
        </w:rPr>
        <w:t xml:space="preserve">Habrá un fiscal de Estado encargado de defender el patrimonio del fisco, que será parte legítima en los juicios </w:t>
      </w:r>
      <w:proofErr w:type="spellStart"/>
      <w:r w:rsidRPr="00677642">
        <w:rPr>
          <w:lang w:val="es-ES"/>
        </w:rPr>
        <w:t>contenciosoadministrativos</w:t>
      </w:r>
      <w:proofErr w:type="spellEnd"/>
      <w:r w:rsidRPr="00677642">
        <w:rPr>
          <w:lang w:val="es-ES"/>
        </w:rPr>
        <w:t xml:space="preserve"> y en todos aquellos en que se afecten intereses del Estado.</w:t>
      </w:r>
    </w:p>
    <w:p w14:paraId="69C0BA00" w14:textId="77777777" w:rsidR="00677642" w:rsidRPr="00677642" w:rsidRDefault="00677642" w:rsidP="00CF2F69">
      <w:pPr>
        <w:pStyle w:val="Textonotapie"/>
        <w:jc w:val="both"/>
        <w:rPr>
          <w:lang w:val="es-ES"/>
        </w:rPr>
      </w:pPr>
      <w:r w:rsidRPr="00677642">
        <w:rPr>
          <w:lang w:val="es-ES"/>
        </w:rPr>
        <w:t>Tendrá también personería para demandar ante la Suprema Corte y demás tribunales de la Provincia, la nulidad de toda ley, decreto, contrato o resolución, contrarios a las prescripciones de esta Constitución o que en cualquier forma perjudiquen los intereses fiscales de la Provincia.</w:t>
      </w:r>
    </w:p>
    <w:p w14:paraId="21AC71EA" w14:textId="77777777" w:rsidR="00677642" w:rsidRPr="00677642" w:rsidRDefault="00677642" w:rsidP="00CF2F69">
      <w:pPr>
        <w:pStyle w:val="Textonotapie"/>
        <w:jc w:val="both"/>
        <w:rPr>
          <w:lang w:val="es-ES"/>
        </w:rPr>
      </w:pPr>
      <w:r w:rsidRPr="00677642">
        <w:rPr>
          <w:lang w:val="es-ES"/>
        </w:rPr>
        <w:t>Será también parte en los procesos que se formen ante el Tribunal de Cuentas de la administración pública, al cual servirá de asesor.</w:t>
      </w:r>
    </w:p>
    <w:p w14:paraId="6F9AD54D" w14:textId="77777777" w:rsidR="00677642" w:rsidRDefault="00677642" w:rsidP="00CF2F69">
      <w:pPr>
        <w:pStyle w:val="Textonotapie"/>
        <w:jc w:val="both"/>
        <w:rPr>
          <w:lang w:val="es-ES"/>
        </w:rPr>
      </w:pPr>
      <w:r w:rsidRPr="00677642">
        <w:rPr>
          <w:lang w:val="es-ES"/>
        </w:rPr>
        <w:t>Gestionará el cumplimiento de las sentencias en los asuntos en que haya intervenido como parte</w:t>
      </w:r>
      <w:r>
        <w:rPr>
          <w:lang w:val="es-ES"/>
        </w:rPr>
        <w:t>”</w:t>
      </w:r>
      <w:r w:rsidRPr="00677642">
        <w:rPr>
          <w:lang w:val="es-ES"/>
        </w:rPr>
        <w:t>.</w:t>
      </w:r>
    </w:p>
    <w:p w14:paraId="21F5ED20" w14:textId="77777777" w:rsidR="00677642" w:rsidRDefault="00677642" w:rsidP="00CF2F69">
      <w:pPr>
        <w:pStyle w:val="Textonotapie"/>
        <w:jc w:val="both"/>
        <w:rPr>
          <w:lang w:val="es-ES"/>
        </w:rPr>
      </w:pPr>
      <w:r>
        <w:rPr>
          <w:lang w:val="es-ES"/>
        </w:rPr>
        <w:t xml:space="preserve">También se prevé un Tribunal de Cuentas, que </w:t>
      </w:r>
      <w:r w:rsidRPr="00677642">
        <w:rPr>
          <w:lang w:val="es-ES"/>
        </w:rPr>
        <w:t>juzga la legalidad de uso de fondos públicos por los funcionarios</w:t>
      </w:r>
      <w:r>
        <w:rPr>
          <w:lang w:val="es-ES"/>
        </w:rPr>
        <w:t>. El art. 181 dice: “</w:t>
      </w:r>
      <w:r w:rsidRPr="00677642">
        <w:rPr>
          <w:lang w:val="es-ES"/>
        </w:rPr>
        <w:t>Habrá un Tribunal de Cuentas con jurisdicción en toda la Provincia y con poder bastante para aprobar o desaprobar la percepción e inversión de caudales públicos hechas por todos los funcionarios, empleados y administradores de la Provincia</w:t>
      </w:r>
      <w:r>
        <w:rPr>
          <w:lang w:val="es-ES"/>
        </w:rPr>
        <w:t>”.</w:t>
      </w:r>
    </w:p>
    <w:p w14:paraId="7296ABBB" w14:textId="77777777" w:rsidR="00677642" w:rsidRPr="00677642" w:rsidRDefault="00677642" w:rsidP="00CF2F69">
      <w:pPr>
        <w:pStyle w:val="Textonotapie"/>
        <w:jc w:val="both"/>
        <w:rPr>
          <w:lang w:val="es-ES"/>
        </w:rPr>
      </w:pPr>
      <w:r>
        <w:rPr>
          <w:lang w:val="es-ES"/>
        </w:rPr>
        <w:t>La</w:t>
      </w:r>
      <w:r w:rsidRPr="00677642">
        <w:rPr>
          <w:lang w:val="es-ES"/>
        </w:rPr>
        <w:t xml:space="preserve"> Inspección de Justicia </w:t>
      </w:r>
      <w:r>
        <w:rPr>
          <w:lang w:val="es-ES"/>
        </w:rPr>
        <w:t>no fue aprobada, pero así como el Fiscal de Estado controlaba la legalidad de los actos que afecten intereses del Estado y el Tribunal de Cuentas la percepción e inversión de los fondos públicos, debía tal órgano controlar la actuación del Poder Judicial.</w:t>
      </w:r>
    </w:p>
  </w:footnote>
  <w:footnote w:id="22">
    <w:p w14:paraId="19470D3D" w14:textId="77777777" w:rsidR="00284F8D" w:rsidRPr="00397F19" w:rsidRDefault="00284F8D" w:rsidP="00CF2F69">
      <w:pPr>
        <w:pStyle w:val="Textonotapie"/>
        <w:jc w:val="both"/>
        <w:rPr>
          <w:lang w:val="es-ES"/>
        </w:rPr>
      </w:pPr>
      <w:r>
        <w:rPr>
          <w:rStyle w:val="Refdenotaalpie"/>
        </w:rPr>
        <w:footnoteRef/>
      </w:r>
      <w:r>
        <w:t xml:space="preserve"> CSJN </w:t>
      </w:r>
      <w:r>
        <w:rPr>
          <w:i/>
        </w:rPr>
        <w:t xml:space="preserve">in re </w:t>
      </w:r>
      <w:r>
        <w:t xml:space="preserve">“Fiscal de Estado G. H. de S. y otro c. Titular del Juzgado en lo Civil y Comercial de Minería de la 5ta. </w:t>
      </w:r>
      <w:proofErr w:type="spellStart"/>
      <w:r>
        <w:t>Nom</w:t>
      </w:r>
      <w:proofErr w:type="spellEnd"/>
      <w:r>
        <w:t>. de San Juan s/ denuncia”, 09/08/2016, LA LEY 24/10/2016.</w:t>
      </w:r>
    </w:p>
  </w:footnote>
  <w:footnote w:id="23">
    <w:p w14:paraId="55D38AA4" w14:textId="77777777" w:rsidR="00284F8D" w:rsidRPr="00B779D5" w:rsidRDefault="00284F8D" w:rsidP="00CF2F69">
      <w:pPr>
        <w:pStyle w:val="Textonotapie"/>
        <w:jc w:val="both"/>
        <w:rPr>
          <w:lang w:val="es-ES"/>
        </w:rPr>
      </w:pPr>
      <w:r>
        <w:rPr>
          <w:rStyle w:val="Refdenotaalpie"/>
        </w:rPr>
        <w:footnoteRef/>
      </w:r>
      <w:r>
        <w:t xml:space="preserve"> </w:t>
      </w:r>
      <w:r>
        <w:rPr>
          <w:lang w:val="es-ES"/>
        </w:rPr>
        <w:t xml:space="preserve">Citado por Ricardo Ramírez Calvo, </w:t>
      </w:r>
      <w:hyperlink r:id="rId3" w:history="1">
        <w:r w:rsidRPr="002F14D3">
          <w:rPr>
            <w:rStyle w:val="Hipervnculo"/>
            <w:lang w:val="es-ES"/>
          </w:rPr>
          <w:t>https://endisidencia.com/2021/08/la-inamovilidad-de-los-jueces-federales/</w:t>
        </w:r>
      </w:hyperlink>
      <w:r>
        <w:rPr>
          <w:lang w:val="es-E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515F1C"/>
    <w:multiLevelType w:val="hybridMultilevel"/>
    <w:tmpl w:val="0896C796"/>
    <w:lvl w:ilvl="0" w:tplc="D90092B0">
      <w:start w:val="1"/>
      <w:numFmt w:val="lowerLetter"/>
      <w:lvlText w:val="%1)"/>
      <w:lvlJc w:val="left"/>
      <w:pPr>
        <w:ind w:left="420" w:hanging="360"/>
      </w:pPr>
      <w:rPr>
        <w:rFonts w:hint="default"/>
      </w:rPr>
    </w:lvl>
    <w:lvl w:ilvl="1" w:tplc="2C0A0019" w:tentative="1">
      <w:start w:val="1"/>
      <w:numFmt w:val="lowerLetter"/>
      <w:lvlText w:val="%2."/>
      <w:lvlJc w:val="left"/>
      <w:pPr>
        <w:ind w:left="1140" w:hanging="360"/>
      </w:pPr>
    </w:lvl>
    <w:lvl w:ilvl="2" w:tplc="2C0A001B" w:tentative="1">
      <w:start w:val="1"/>
      <w:numFmt w:val="lowerRoman"/>
      <w:lvlText w:val="%3."/>
      <w:lvlJc w:val="right"/>
      <w:pPr>
        <w:ind w:left="1860" w:hanging="180"/>
      </w:pPr>
    </w:lvl>
    <w:lvl w:ilvl="3" w:tplc="2C0A000F" w:tentative="1">
      <w:start w:val="1"/>
      <w:numFmt w:val="decimal"/>
      <w:lvlText w:val="%4."/>
      <w:lvlJc w:val="left"/>
      <w:pPr>
        <w:ind w:left="2580" w:hanging="360"/>
      </w:pPr>
    </w:lvl>
    <w:lvl w:ilvl="4" w:tplc="2C0A0019" w:tentative="1">
      <w:start w:val="1"/>
      <w:numFmt w:val="lowerLetter"/>
      <w:lvlText w:val="%5."/>
      <w:lvlJc w:val="left"/>
      <w:pPr>
        <w:ind w:left="3300" w:hanging="360"/>
      </w:pPr>
    </w:lvl>
    <w:lvl w:ilvl="5" w:tplc="2C0A001B" w:tentative="1">
      <w:start w:val="1"/>
      <w:numFmt w:val="lowerRoman"/>
      <w:lvlText w:val="%6."/>
      <w:lvlJc w:val="right"/>
      <w:pPr>
        <w:ind w:left="4020" w:hanging="180"/>
      </w:pPr>
    </w:lvl>
    <w:lvl w:ilvl="6" w:tplc="2C0A000F" w:tentative="1">
      <w:start w:val="1"/>
      <w:numFmt w:val="decimal"/>
      <w:lvlText w:val="%7."/>
      <w:lvlJc w:val="left"/>
      <w:pPr>
        <w:ind w:left="4740" w:hanging="360"/>
      </w:pPr>
    </w:lvl>
    <w:lvl w:ilvl="7" w:tplc="2C0A0019" w:tentative="1">
      <w:start w:val="1"/>
      <w:numFmt w:val="lowerLetter"/>
      <w:lvlText w:val="%8."/>
      <w:lvlJc w:val="left"/>
      <w:pPr>
        <w:ind w:left="5460" w:hanging="360"/>
      </w:pPr>
    </w:lvl>
    <w:lvl w:ilvl="8" w:tplc="2C0A001B" w:tentative="1">
      <w:start w:val="1"/>
      <w:numFmt w:val="lowerRoman"/>
      <w:lvlText w:val="%9."/>
      <w:lvlJc w:val="right"/>
      <w:pPr>
        <w:ind w:left="6180" w:hanging="180"/>
      </w:pPr>
    </w:lvl>
  </w:abstractNum>
  <w:num w:numId="1" w16cid:durableId="1864320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60C"/>
    <w:rsid w:val="000313AD"/>
    <w:rsid w:val="00031B29"/>
    <w:rsid w:val="00195111"/>
    <w:rsid w:val="001D2734"/>
    <w:rsid w:val="001E7E60"/>
    <w:rsid w:val="00207EC1"/>
    <w:rsid w:val="00284C55"/>
    <w:rsid w:val="00284F8D"/>
    <w:rsid w:val="00296F42"/>
    <w:rsid w:val="002C1008"/>
    <w:rsid w:val="002D5505"/>
    <w:rsid w:val="00335015"/>
    <w:rsid w:val="00397AEC"/>
    <w:rsid w:val="00397F19"/>
    <w:rsid w:val="003B0AED"/>
    <w:rsid w:val="003B2619"/>
    <w:rsid w:val="003C1341"/>
    <w:rsid w:val="004125CF"/>
    <w:rsid w:val="0044774B"/>
    <w:rsid w:val="00491B9F"/>
    <w:rsid w:val="004921F9"/>
    <w:rsid w:val="004A2CC5"/>
    <w:rsid w:val="00571F58"/>
    <w:rsid w:val="005E01D4"/>
    <w:rsid w:val="00677642"/>
    <w:rsid w:val="00697C1E"/>
    <w:rsid w:val="007179AB"/>
    <w:rsid w:val="007474DC"/>
    <w:rsid w:val="00763DB7"/>
    <w:rsid w:val="007B0CB2"/>
    <w:rsid w:val="00874356"/>
    <w:rsid w:val="008B36CC"/>
    <w:rsid w:val="00984C13"/>
    <w:rsid w:val="009C6079"/>
    <w:rsid w:val="00B0446C"/>
    <w:rsid w:val="00B3060C"/>
    <w:rsid w:val="00B5064D"/>
    <w:rsid w:val="00B779D5"/>
    <w:rsid w:val="00BF27C1"/>
    <w:rsid w:val="00C00952"/>
    <w:rsid w:val="00CF2F69"/>
    <w:rsid w:val="00D307CD"/>
    <w:rsid w:val="00D563B3"/>
    <w:rsid w:val="00D62049"/>
    <w:rsid w:val="00D94C2C"/>
    <w:rsid w:val="00DC7DC4"/>
    <w:rsid w:val="00DF31C2"/>
    <w:rsid w:val="00E44742"/>
    <w:rsid w:val="00E839A8"/>
    <w:rsid w:val="00FA1822"/>
    <w:rsid w:val="00FF06D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E5691"/>
  <w15:chartTrackingRefBased/>
  <w15:docId w15:val="{0B58D7A2-7B7A-49F6-BCFC-FA81C5790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alfinal">
    <w:name w:val="endnote text"/>
    <w:basedOn w:val="Normal"/>
    <w:link w:val="TextonotaalfinalCar"/>
    <w:uiPriority w:val="99"/>
    <w:unhideWhenUsed/>
    <w:rsid w:val="000313AD"/>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0313AD"/>
    <w:rPr>
      <w:sz w:val="20"/>
      <w:szCs w:val="20"/>
    </w:rPr>
  </w:style>
  <w:style w:type="character" w:styleId="Refdenotaalfinal">
    <w:name w:val="endnote reference"/>
    <w:basedOn w:val="Fuentedeprrafopredeter"/>
    <w:uiPriority w:val="99"/>
    <w:semiHidden/>
    <w:unhideWhenUsed/>
    <w:rsid w:val="000313AD"/>
    <w:rPr>
      <w:vertAlign w:val="superscript"/>
    </w:rPr>
  </w:style>
  <w:style w:type="paragraph" w:styleId="NormalWeb">
    <w:name w:val="Normal (Web)"/>
    <w:basedOn w:val="Normal"/>
    <w:uiPriority w:val="99"/>
    <w:semiHidden/>
    <w:unhideWhenUsed/>
    <w:rsid w:val="00031B29"/>
    <w:rPr>
      <w:rFonts w:ascii="Times New Roman" w:hAnsi="Times New Roman" w:cs="Times New Roman"/>
      <w:sz w:val="24"/>
      <w:szCs w:val="24"/>
    </w:rPr>
  </w:style>
  <w:style w:type="paragraph" w:styleId="Prrafodelista">
    <w:name w:val="List Paragraph"/>
    <w:basedOn w:val="Normal"/>
    <w:uiPriority w:val="34"/>
    <w:qFormat/>
    <w:rsid w:val="00C00952"/>
    <w:pPr>
      <w:ind w:left="720"/>
      <w:contextualSpacing/>
    </w:pPr>
  </w:style>
  <w:style w:type="character" w:styleId="Hipervnculo">
    <w:name w:val="Hyperlink"/>
    <w:basedOn w:val="Fuentedeprrafopredeter"/>
    <w:uiPriority w:val="99"/>
    <w:unhideWhenUsed/>
    <w:rsid w:val="00E44742"/>
    <w:rPr>
      <w:color w:val="0563C1" w:themeColor="hyperlink"/>
      <w:u w:val="single"/>
    </w:rPr>
  </w:style>
  <w:style w:type="paragraph" w:customStyle="1" w:styleId="paragraph">
    <w:name w:val="paragraph"/>
    <w:basedOn w:val="Normal"/>
    <w:rsid w:val="00E44742"/>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notapie">
    <w:name w:val="footnote text"/>
    <w:basedOn w:val="Normal"/>
    <w:link w:val="TextonotapieCar"/>
    <w:uiPriority w:val="99"/>
    <w:semiHidden/>
    <w:unhideWhenUsed/>
    <w:rsid w:val="00E4474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44742"/>
    <w:rPr>
      <w:sz w:val="20"/>
      <w:szCs w:val="20"/>
    </w:rPr>
  </w:style>
  <w:style w:type="character" w:styleId="Refdenotaalpie">
    <w:name w:val="footnote reference"/>
    <w:basedOn w:val="Fuentedeprrafopredeter"/>
    <w:uiPriority w:val="99"/>
    <w:semiHidden/>
    <w:unhideWhenUsed/>
    <w:rsid w:val="00E447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634560">
      <w:bodyDiv w:val="1"/>
      <w:marLeft w:val="0"/>
      <w:marRight w:val="0"/>
      <w:marTop w:val="0"/>
      <w:marBottom w:val="0"/>
      <w:divBdr>
        <w:top w:val="none" w:sz="0" w:space="0" w:color="auto"/>
        <w:left w:val="none" w:sz="0" w:space="0" w:color="auto"/>
        <w:bottom w:val="none" w:sz="0" w:space="0" w:color="auto"/>
        <w:right w:val="none" w:sz="0" w:space="0" w:color="auto"/>
      </w:divBdr>
    </w:div>
    <w:div w:id="220750909">
      <w:bodyDiv w:val="1"/>
      <w:marLeft w:val="0"/>
      <w:marRight w:val="0"/>
      <w:marTop w:val="0"/>
      <w:marBottom w:val="0"/>
      <w:divBdr>
        <w:top w:val="none" w:sz="0" w:space="0" w:color="auto"/>
        <w:left w:val="none" w:sz="0" w:space="0" w:color="auto"/>
        <w:bottom w:val="none" w:sz="0" w:space="0" w:color="auto"/>
        <w:right w:val="none" w:sz="0" w:space="0" w:color="auto"/>
      </w:divBdr>
    </w:div>
    <w:div w:id="501702493">
      <w:bodyDiv w:val="1"/>
      <w:marLeft w:val="0"/>
      <w:marRight w:val="0"/>
      <w:marTop w:val="0"/>
      <w:marBottom w:val="0"/>
      <w:divBdr>
        <w:top w:val="none" w:sz="0" w:space="0" w:color="auto"/>
        <w:left w:val="none" w:sz="0" w:space="0" w:color="auto"/>
        <w:bottom w:val="none" w:sz="0" w:space="0" w:color="auto"/>
        <w:right w:val="none" w:sz="0" w:space="0" w:color="auto"/>
      </w:divBdr>
    </w:div>
    <w:div w:id="591620501">
      <w:bodyDiv w:val="1"/>
      <w:marLeft w:val="0"/>
      <w:marRight w:val="0"/>
      <w:marTop w:val="0"/>
      <w:marBottom w:val="0"/>
      <w:divBdr>
        <w:top w:val="none" w:sz="0" w:space="0" w:color="auto"/>
        <w:left w:val="none" w:sz="0" w:space="0" w:color="auto"/>
        <w:bottom w:val="none" w:sz="0" w:space="0" w:color="auto"/>
        <w:right w:val="none" w:sz="0" w:space="0" w:color="auto"/>
      </w:divBdr>
    </w:div>
    <w:div w:id="1237864312">
      <w:bodyDiv w:val="1"/>
      <w:marLeft w:val="0"/>
      <w:marRight w:val="0"/>
      <w:marTop w:val="0"/>
      <w:marBottom w:val="0"/>
      <w:divBdr>
        <w:top w:val="none" w:sz="0" w:space="0" w:color="auto"/>
        <w:left w:val="none" w:sz="0" w:space="0" w:color="auto"/>
        <w:bottom w:val="none" w:sz="0" w:space="0" w:color="auto"/>
        <w:right w:val="none" w:sz="0" w:space="0" w:color="auto"/>
      </w:divBdr>
    </w:div>
    <w:div w:id="1247887236">
      <w:bodyDiv w:val="1"/>
      <w:marLeft w:val="0"/>
      <w:marRight w:val="0"/>
      <w:marTop w:val="0"/>
      <w:marBottom w:val="0"/>
      <w:divBdr>
        <w:top w:val="none" w:sz="0" w:space="0" w:color="auto"/>
        <w:left w:val="none" w:sz="0" w:space="0" w:color="auto"/>
        <w:bottom w:val="none" w:sz="0" w:space="0" w:color="auto"/>
        <w:right w:val="none" w:sz="0" w:space="0" w:color="auto"/>
      </w:divBdr>
    </w:div>
    <w:div w:id="1264993001">
      <w:bodyDiv w:val="1"/>
      <w:marLeft w:val="0"/>
      <w:marRight w:val="0"/>
      <w:marTop w:val="0"/>
      <w:marBottom w:val="0"/>
      <w:divBdr>
        <w:top w:val="none" w:sz="0" w:space="0" w:color="auto"/>
        <w:left w:val="none" w:sz="0" w:space="0" w:color="auto"/>
        <w:bottom w:val="none" w:sz="0" w:space="0" w:color="auto"/>
        <w:right w:val="none" w:sz="0" w:space="0" w:color="auto"/>
      </w:divBdr>
    </w:div>
    <w:div w:id="1281912085">
      <w:bodyDiv w:val="1"/>
      <w:marLeft w:val="0"/>
      <w:marRight w:val="0"/>
      <w:marTop w:val="0"/>
      <w:marBottom w:val="0"/>
      <w:divBdr>
        <w:top w:val="none" w:sz="0" w:space="0" w:color="auto"/>
        <w:left w:val="none" w:sz="0" w:space="0" w:color="auto"/>
        <w:bottom w:val="none" w:sz="0" w:space="0" w:color="auto"/>
        <w:right w:val="none" w:sz="0" w:space="0" w:color="auto"/>
      </w:divBdr>
    </w:div>
    <w:div w:id="1364289005">
      <w:bodyDiv w:val="1"/>
      <w:marLeft w:val="0"/>
      <w:marRight w:val="0"/>
      <w:marTop w:val="0"/>
      <w:marBottom w:val="0"/>
      <w:divBdr>
        <w:top w:val="none" w:sz="0" w:space="0" w:color="auto"/>
        <w:left w:val="none" w:sz="0" w:space="0" w:color="auto"/>
        <w:bottom w:val="none" w:sz="0" w:space="0" w:color="auto"/>
        <w:right w:val="none" w:sz="0" w:space="0" w:color="auto"/>
      </w:divBdr>
    </w:div>
    <w:div w:id="1621641182">
      <w:bodyDiv w:val="1"/>
      <w:marLeft w:val="0"/>
      <w:marRight w:val="0"/>
      <w:marTop w:val="0"/>
      <w:marBottom w:val="0"/>
      <w:divBdr>
        <w:top w:val="none" w:sz="0" w:space="0" w:color="auto"/>
        <w:left w:val="none" w:sz="0" w:space="0" w:color="auto"/>
        <w:bottom w:val="none" w:sz="0" w:space="0" w:color="auto"/>
        <w:right w:val="none" w:sz="0" w:space="0" w:color="auto"/>
      </w:divBdr>
    </w:div>
    <w:div w:id="1684240224">
      <w:bodyDiv w:val="1"/>
      <w:marLeft w:val="0"/>
      <w:marRight w:val="0"/>
      <w:marTop w:val="0"/>
      <w:marBottom w:val="0"/>
      <w:divBdr>
        <w:top w:val="none" w:sz="0" w:space="0" w:color="auto"/>
        <w:left w:val="none" w:sz="0" w:space="0" w:color="auto"/>
        <w:bottom w:val="none" w:sz="0" w:space="0" w:color="auto"/>
        <w:right w:val="none" w:sz="0" w:space="0" w:color="auto"/>
      </w:divBdr>
    </w:div>
    <w:div w:id="1823887896">
      <w:bodyDiv w:val="1"/>
      <w:marLeft w:val="0"/>
      <w:marRight w:val="0"/>
      <w:marTop w:val="0"/>
      <w:marBottom w:val="0"/>
      <w:divBdr>
        <w:top w:val="none" w:sz="0" w:space="0" w:color="auto"/>
        <w:left w:val="none" w:sz="0" w:space="0" w:color="auto"/>
        <w:bottom w:val="none" w:sz="0" w:space="0" w:color="auto"/>
        <w:right w:val="none" w:sz="0" w:space="0" w:color="auto"/>
      </w:divBdr>
    </w:div>
    <w:div w:id="1893610044">
      <w:bodyDiv w:val="1"/>
      <w:marLeft w:val="0"/>
      <w:marRight w:val="0"/>
      <w:marTop w:val="0"/>
      <w:marBottom w:val="0"/>
      <w:divBdr>
        <w:top w:val="none" w:sz="0" w:space="0" w:color="auto"/>
        <w:left w:val="none" w:sz="0" w:space="0" w:color="auto"/>
        <w:bottom w:val="none" w:sz="0" w:space="0" w:color="auto"/>
        <w:right w:val="none" w:sz="0" w:space="0" w:color="auto"/>
      </w:divBdr>
    </w:div>
    <w:div w:id="2139255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ndisidencia.com/2021/08/la-inamovilidad-de-los-jueces-federales/" TargetMode="External"/><Relationship Id="rId2" Type="http://schemas.openxmlformats.org/officeDocument/2006/relationships/hyperlink" Target="https://www.diariouno.com.ar/opinion/el-jury-al-juez-sebastian-sarmiento-bala-plata-o-tubo-oxigeno-su-carrera-n1462221" TargetMode="External"/><Relationship Id="rId1" Type="http://schemas.openxmlformats.org/officeDocument/2006/relationships/hyperlink" Target="https://tn.com.ar/policiales/2023/01/27/la-llamativa-encuesta-que-hizo-burlando-en-twitter-sobre-el-resultado-del-juicio-que-opcion-tiene-mas-voto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63DA3-2090-4514-B6EF-A22AA06C6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7435</TotalTime>
  <Pages>14</Pages>
  <Words>3513</Words>
  <Characters>19322</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dc:creator>
  <cp:keywords/>
  <dc:description/>
  <cp:lastModifiedBy>Omar Fornetti</cp:lastModifiedBy>
  <cp:revision>12</cp:revision>
  <dcterms:created xsi:type="dcterms:W3CDTF">2025-09-04T23:33:00Z</dcterms:created>
  <dcterms:modified xsi:type="dcterms:W3CDTF">2025-09-10T22:45:00Z</dcterms:modified>
</cp:coreProperties>
</file>