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5BB4" w14:textId="02E32597" w:rsidR="003D30AC" w:rsidRPr="003D30AC" w:rsidRDefault="003D30AC" w:rsidP="003D30AC">
      <w:pPr>
        <w:widowControl w:val="0"/>
        <w:spacing w:line="360" w:lineRule="auto"/>
        <w:jc w:val="center"/>
        <w:rPr>
          <w:rFonts w:ascii="Arial" w:hAnsi="Arial" w:cs="Arial"/>
          <w:b/>
          <w:bCs/>
          <w:sz w:val="32"/>
          <w:szCs w:val="32"/>
          <w:u w:val="single"/>
        </w:rPr>
      </w:pPr>
      <w:r w:rsidRPr="003D30AC">
        <w:rPr>
          <w:rFonts w:ascii="Arial" w:hAnsi="Arial" w:cs="Arial"/>
          <w:b/>
          <w:bCs/>
          <w:sz w:val="32"/>
          <w:szCs w:val="32"/>
          <w:u w:val="single"/>
        </w:rPr>
        <w:t>LA REGLA DE LA PUBLICIDAD</w:t>
      </w:r>
    </w:p>
    <w:p w14:paraId="42D65E3C" w14:textId="5A282D02" w:rsidR="00887B9B" w:rsidRPr="00887B9B" w:rsidRDefault="003D30AC" w:rsidP="00887B9B">
      <w:pPr>
        <w:widowControl w:val="0"/>
        <w:spacing w:line="360" w:lineRule="auto"/>
        <w:jc w:val="center"/>
        <w:rPr>
          <w:rFonts w:ascii="Arial" w:hAnsi="Arial" w:cs="Arial"/>
          <w:b/>
          <w:bCs/>
          <w:sz w:val="32"/>
          <w:szCs w:val="32"/>
        </w:rPr>
      </w:pPr>
      <w:r>
        <w:rPr>
          <w:rFonts w:ascii="Arial" w:hAnsi="Arial" w:cs="Arial"/>
          <w:b/>
          <w:bCs/>
          <w:sz w:val="32"/>
          <w:szCs w:val="32"/>
          <w:lang w:val="es-ES"/>
        </w:rPr>
        <w:t>Una mirada crítica de su aplicación en la Justicia de la Nación y la Provincia de Córdoba</w:t>
      </w:r>
    </w:p>
    <w:p w14:paraId="2E36FC97" w14:textId="77777777" w:rsidR="00D004A8" w:rsidRDefault="00D004A8" w:rsidP="0011009A">
      <w:pPr>
        <w:widowControl w:val="0"/>
        <w:spacing w:line="360" w:lineRule="auto"/>
        <w:jc w:val="center"/>
        <w:rPr>
          <w:rFonts w:ascii="Arial" w:hAnsi="Arial" w:cs="Arial"/>
          <w:b/>
          <w:bCs/>
          <w:sz w:val="32"/>
          <w:szCs w:val="32"/>
        </w:rPr>
      </w:pPr>
    </w:p>
    <w:p w14:paraId="0E850BA5" w14:textId="5568706C" w:rsidR="00D004A8" w:rsidRPr="0082018E" w:rsidRDefault="00087A71" w:rsidP="0011009A">
      <w:pPr>
        <w:widowControl w:val="0"/>
        <w:spacing w:line="360" w:lineRule="auto"/>
        <w:jc w:val="right"/>
        <w:rPr>
          <w:rFonts w:ascii="Arial" w:hAnsi="Arial" w:cs="Arial"/>
          <w:b/>
          <w:smallCaps/>
          <w:sz w:val="28"/>
          <w:szCs w:val="28"/>
        </w:rPr>
      </w:pPr>
      <w:r>
        <w:rPr>
          <w:rFonts w:ascii="Arial" w:hAnsi="Arial" w:cs="Arial"/>
          <w:b/>
          <w:smallCaps/>
          <w:sz w:val="28"/>
          <w:szCs w:val="28"/>
        </w:rPr>
        <w:t>Juan Pablo Gaido</w:t>
      </w:r>
    </w:p>
    <w:p w14:paraId="42641A76" w14:textId="77777777" w:rsidR="00D004A8" w:rsidRDefault="00D004A8" w:rsidP="0011009A">
      <w:pPr>
        <w:widowControl w:val="0"/>
        <w:spacing w:line="360" w:lineRule="auto"/>
        <w:rPr>
          <w:rFonts w:ascii="Arial" w:hAnsi="Arial" w:cs="Arial"/>
        </w:rPr>
      </w:pPr>
    </w:p>
    <w:p w14:paraId="422A6CF2" w14:textId="77777777" w:rsidR="00635F10" w:rsidRDefault="00635F10" w:rsidP="0011009A">
      <w:pPr>
        <w:widowControl w:val="0"/>
        <w:spacing w:line="360" w:lineRule="auto"/>
        <w:rPr>
          <w:rFonts w:ascii="Arial" w:hAnsi="Arial" w:cs="Arial"/>
        </w:rPr>
      </w:pPr>
    </w:p>
    <w:p w14:paraId="5545BF14" w14:textId="06D44523" w:rsidR="00164A41" w:rsidRPr="006B6706" w:rsidRDefault="00D004A8" w:rsidP="00246174">
      <w:pPr>
        <w:widowControl w:val="0"/>
        <w:spacing w:line="360" w:lineRule="auto"/>
        <w:jc w:val="both"/>
        <w:rPr>
          <w:rFonts w:ascii="Arial" w:hAnsi="Arial" w:cs="Arial"/>
        </w:rPr>
      </w:pPr>
      <w:r w:rsidRPr="006B6706">
        <w:rPr>
          <w:rFonts w:ascii="Arial" w:hAnsi="Arial" w:cs="Arial"/>
          <w:b/>
          <w:bCs/>
          <w:u w:val="single"/>
        </w:rPr>
        <w:t>ABSTRACT:</w:t>
      </w:r>
      <w:r w:rsidR="00246174" w:rsidRPr="00246174">
        <w:t xml:space="preserve"> </w:t>
      </w:r>
      <w:r w:rsidR="00246174" w:rsidRPr="00246174">
        <w:rPr>
          <w:rFonts w:ascii="Arial" w:hAnsi="Arial" w:cs="Arial"/>
        </w:rPr>
        <w:t>El trabajo analiza la publicidad de expedientes, audiencias y sentencias como condición de la república, la deliberación representativa y el derecho de defensa. Delimita l</w:t>
      </w:r>
      <w:r w:rsidR="00066320">
        <w:rPr>
          <w:rFonts w:ascii="Arial" w:hAnsi="Arial" w:cs="Arial"/>
        </w:rPr>
        <w:t xml:space="preserve">o </w:t>
      </w:r>
      <w:r w:rsidR="00066320" w:rsidRPr="00246174">
        <w:rPr>
          <w:rFonts w:ascii="Arial" w:hAnsi="Arial" w:cs="Arial"/>
        </w:rPr>
        <w:t>públic</w:t>
      </w:r>
      <w:r w:rsidR="00513F32">
        <w:rPr>
          <w:rFonts w:ascii="Arial" w:hAnsi="Arial" w:cs="Arial"/>
        </w:rPr>
        <w:t>o</w:t>
      </w:r>
      <w:r w:rsidR="00246174" w:rsidRPr="00246174">
        <w:rPr>
          <w:rFonts w:ascii="Arial" w:hAnsi="Arial" w:cs="Arial"/>
        </w:rPr>
        <w:t>/secreto y propone once parámetros para evaluar la publicidad procesal. Contrasta el régimen nacional/federal —con avances como la Ley 26.856 y portales— con Córdoba, donde el acceso de terceros sigue restringido y la jurisprudencia se difunde segmentadamente. Examina el rol de la tecnología y la IA como oportunidad o riesgo de opacidad.</w:t>
      </w:r>
    </w:p>
    <w:p w14:paraId="4CF53CEF" w14:textId="77777777" w:rsidR="00D004A8" w:rsidRDefault="00D004A8" w:rsidP="00246174">
      <w:pPr>
        <w:widowControl w:val="0"/>
        <w:spacing w:line="360" w:lineRule="auto"/>
        <w:jc w:val="both"/>
        <w:rPr>
          <w:rFonts w:ascii="Arial" w:hAnsi="Arial" w:cs="Arial"/>
        </w:rPr>
      </w:pPr>
    </w:p>
    <w:p w14:paraId="7007D474" w14:textId="25616889" w:rsidR="006B6706" w:rsidRDefault="00D004A8" w:rsidP="00246174">
      <w:pPr>
        <w:widowControl w:val="0"/>
        <w:spacing w:line="360" w:lineRule="auto"/>
        <w:jc w:val="both"/>
        <w:rPr>
          <w:rFonts w:ascii="Arial" w:hAnsi="Arial" w:cs="Arial"/>
        </w:rPr>
      </w:pPr>
      <w:r w:rsidRPr="0011009A">
        <w:rPr>
          <w:rFonts w:ascii="Arial" w:hAnsi="Arial" w:cs="Arial"/>
          <w:b/>
          <w:bCs/>
          <w:u w:val="single"/>
        </w:rPr>
        <w:t>ÍNDICE</w:t>
      </w:r>
      <w:r w:rsidRPr="0008658D">
        <w:rPr>
          <w:rFonts w:ascii="Arial" w:hAnsi="Arial" w:cs="Arial"/>
          <w:b/>
          <w:bCs/>
        </w:rPr>
        <w:t>:</w:t>
      </w:r>
      <w:r>
        <w:rPr>
          <w:rFonts w:ascii="Arial" w:hAnsi="Arial" w:cs="Arial"/>
          <w:b/>
          <w:bCs/>
        </w:rPr>
        <w:t xml:space="preserve"> </w:t>
      </w:r>
      <w:r w:rsidRPr="00087A71">
        <w:rPr>
          <w:rFonts w:ascii="Arial" w:hAnsi="Arial" w:cs="Arial"/>
        </w:rPr>
        <w:t>1. Introducción</w:t>
      </w:r>
      <w:r w:rsidR="00D91AA5">
        <w:rPr>
          <w:rFonts w:ascii="Arial" w:hAnsi="Arial" w:cs="Arial"/>
        </w:rPr>
        <w:t>.</w:t>
      </w:r>
      <w:r w:rsidRPr="002F0FB0">
        <w:rPr>
          <w:rFonts w:ascii="Arial" w:hAnsi="Arial" w:cs="Arial"/>
        </w:rPr>
        <w:t xml:space="preserve">– 2. </w:t>
      </w:r>
      <w:r w:rsidR="00F52819">
        <w:rPr>
          <w:rFonts w:ascii="Arial" w:hAnsi="Arial" w:cs="Arial"/>
        </w:rPr>
        <w:t xml:space="preserve">La gran dicotomía: Lo público y lo </w:t>
      </w:r>
      <w:r w:rsidR="00D91AA5">
        <w:rPr>
          <w:rFonts w:ascii="Arial" w:hAnsi="Arial" w:cs="Arial"/>
        </w:rPr>
        <w:t>secreto</w:t>
      </w:r>
      <w:r w:rsidRPr="002F0FB0">
        <w:rPr>
          <w:rFonts w:ascii="Arial" w:hAnsi="Arial" w:cs="Arial"/>
        </w:rPr>
        <w:t>.</w:t>
      </w:r>
      <w:r w:rsidRPr="00696D34">
        <w:rPr>
          <w:rFonts w:ascii="Arial" w:hAnsi="Arial" w:cs="Arial"/>
        </w:rPr>
        <w:t xml:space="preserve">– </w:t>
      </w:r>
      <w:r w:rsidR="00901A04">
        <w:rPr>
          <w:rFonts w:ascii="Arial" w:hAnsi="Arial" w:cs="Arial"/>
        </w:rPr>
        <w:t xml:space="preserve"> </w:t>
      </w:r>
      <w:r w:rsidR="00901A04" w:rsidRPr="00901A04">
        <w:rPr>
          <w:rFonts w:ascii="Arial" w:hAnsi="Arial" w:cs="Arial"/>
        </w:rPr>
        <w:t>3. La tecnología y la publicidad procesal</w:t>
      </w:r>
      <w:r w:rsidR="005B0C16">
        <w:rPr>
          <w:rFonts w:ascii="Arial" w:hAnsi="Arial" w:cs="Arial"/>
        </w:rPr>
        <w:t>.</w:t>
      </w:r>
      <w:r w:rsidR="005B0C16" w:rsidRPr="002F0FB0">
        <w:rPr>
          <w:rFonts w:ascii="Arial" w:hAnsi="Arial" w:cs="Arial"/>
        </w:rPr>
        <w:t>–</w:t>
      </w:r>
      <w:r w:rsidR="005B0C16" w:rsidRPr="005B0C16">
        <w:t xml:space="preserve"> </w:t>
      </w:r>
      <w:r w:rsidR="005B0C16" w:rsidRPr="005B0C16">
        <w:rPr>
          <w:rFonts w:ascii="Arial" w:hAnsi="Arial" w:cs="Arial"/>
        </w:rPr>
        <w:t>4.</w:t>
      </w:r>
      <w:r w:rsidR="005B0C16">
        <w:rPr>
          <w:rFonts w:ascii="Arial" w:hAnsi="Arial" w:cs="Arial"/>
        </w:rPr>
        <w:t xml:space="preserve"> </w:t>
      </w:r>
      <w:r w:rsidR="005B0C16" w:rsidRPr="005B0C16">
        <w:rPr>
          <w:rFonts w:ascii="Arial" w:hAnsi="Arial" w:cs="Arial"/>
        </w:rPr>
        <w:t>Diseño y evaluación de la publicidad procesal: parámetros y beneficios</w:t>
      </w:r>
      <w:r w:rsidR="005B0C16">
        <w:rPr>
          <w:rFonts w:ascii="Arial" w:hAnsi="Arial" w:cs="Arial"/>
        </w:rPr>
        <w:t>.</w:t>
      </w:r>
      <w:r w:rsidR="005B0C16" w:rsidRPr="002F0FB0">
        <w:rPr>
          <w:rFonts w:ascii="Arial" w:hAnsi="Arial" w:cs="Arial"/>
        </w:rPr>
        <w:t>–</w:t>
      </w:r>
      <w:r w:rsidR="005B0C16" w:rsidRPr="005B0C16">
        <w:t xml:space="preserve"> </w:t>
      </w:r>
      <w:r w:rsidR="005B0C16">
        <w:rPr>
          <w:rFonts w:ascii="Arial" w:hAnsi="Arial" w:cs="Arial"/>
        </w:rPr>
        <w:t>5</w:t>
      </w:r>
      <w:r w:rsidR="005B0C16" w:rsidRPr="005B0C16">
        <w:rPr>
          <w:rFonts w:ascii="Arial" w:hAnsi="Arial" w:cs="Arial"/>
        </w:rPr>
        <w:t>.</w:t>
      </w:r>
      <w:r w:rsidR="005B0C16" w:rsidRPr="005B0C16">
        <w:t xml:space="preserve"> </w:t>
      </w:r>
      <w:r w:rsidR="005B0C16" w:rsidRPr="005B0C16">
        <w:rPr>
          <w:rFonts w:ascii="Arial" w:hAnsi="Arial" w:cs="Arial"/>
        </w:rPr>
        <w:t>Marco normativo. Aplicación en la Justicia de la Nación y la Provincia de Córdoba</w:t>
      </w:r>
      <w:r w:rsidR="005B0C16">
        <w:rPr>
          <w:rFonts w:ascii="Arial" w:hAnsi="Arial" w:cs="Arial"/>
        </w:rPr>
        <w:t>.</w:t>
      </w:r>
      <w:r w:rsidR="005B0C16" w:rsidRPr="002F0FB0">
        <w:rPr>
          <w:rFonts w:ascii="Arial" w:hAnsi="Arial" w:cs="Arial"/>
        </w:rPr>
        <w:t>–</w:t>
      </w:r>
      <w:r w:rsidR="005B0C16" w:rsidRPr="005B0C16">
        <w:t xml:space="preserve"> </w:t>
      </w:r>
      <w:r w:rsidR="005B0C16">
        <w:t xml:space="preserve"> </w:t>
      </w:r>
      <w:r w:rsidR="005B0C16" w:rsidRPr="005B0C16">
        <w:rPr>
          <w:rFonts w:ascii="Arial" w:hAnsi="Arial" w:cs="Arial"/>
        </w:rPr>
        <w:t>6.</w:t>
      </w:r>
      <w:r w:rsidR="005B0C16">
        <w:rPr>
          <w:rFonts w:ascii="Arial" w:hAnsi="Arial" w:cs="Arial"/>
        </w:rPr>
        <w:t xml:space="preserve"> </w:t>
      </w:r>
      <w:r w:rsidR="005B0C16" w:rsidRPr="005B0C16">
        <w:rPr>
          <w:rFonts w:ascii="Arial" w:hAnsi="Arial" w:cs="Arial"/>
        </w:rPr>
        <w:t>Conclusiones</w:t>
      </w:r>
      <w:r w:rsidR="005B0C16">
        <w:rPr>
          <w:rFonts w:ascii="Arial" w:hAnsi="Arial" w:cs="Arial"/>
        </w:rPr>
        <w:t>.</w:t>
      </w:r>
      <w:r w:rsidR="005B0C16" w:rsidRPr="002F0FB0">
        <w:rPr>
          <w:rFonts w:ascii="Arial" w:hAnsi="Arial" w:cs="Arial"/>
        </w:rPr>
        <w:t>–</w:t>
      </w:r>
      <w:r w:rsidR="005B0C16">
        <w:rPr>
          <w:rFonts w:ascii="Arial" w:hAnsi="Arial" w:cs="Arial"/>
        </w:rPr>
        <w:t xml:space="preserve"> 7. Reflexión final.</w:t>
      </w:r>
    </w:p>
    <w:p w14:paraId="366DC591" w14:textId="77777777" w:rsidR="006B6706" w:rsidRDefault="006B6706" w:rsidP="00246174">
      <w:pPr>
        <w:widowControl w:val="0"/>
        <w:spacing w:line="360" w:lineRule="auto"/>
        <w:jc w:val="both"/>
        <w:rPr>
          <w:rFonts w:ascii="Arial" w:hAnsi="Arial" w:cs="Arial"/>
        </w:rPr>
      </w:pPr>
    </w:p>
    <w:p w14:paraId="697AF23F" w14:textId="237F8438" w:rsidR="00D004A8" w:rsidRDefault="00D004A8" w:rsidP="00246174">
      <w:pPr>
        <w:widowControl w:val="0"/>
        <w:spacing w:line="360" w:lineRule="auto"/>
        <w:jc w:val="both"/>
        <w:rPr>
          <w:rFonts w:ascii="Arial" w:hAnsi="Arial" w:cs="Arial"/>
        </w:rPr>
      </w:pPr>
      <w:r w:rsidRPr="006B6706">
        <w:rPr>
          <w:rFonts w:ascii="Arial" w:hAnsi="Arial" w:cs="Arial"/>
          <w:b/>
          <w:bCs/>
          <w:u w:val="single"/>
        </w:rPr>
        <w:t>PALABRAS CLAVE</w:t>
      </w:r>
      <w:r w:rsidRPr="006B6706">
        <w:rPr>
          <w:rFonts w:ascii="Arial" w:hAnsi="Arial" w:cs="Arial"/>
          <w:b/>
          <w:bCs/>
        </w:rPr>
        <w:t xml:space="preserve">: </w:t>
      </w:r>
      <w:r w:rsidR="00246174" w:rsidRPr="00246174">
        <w:rPr>
          <w:rFonts w:ascii="Arial" w:hAnsi="Arial" w:cs="Arial"/>
        </w:rPr>
        <w:t xml:space="preserve">Publicidad procesal; acceso a la información pública; expedientes; audiencias; sentencias; </w:t>
      </w:r>
      <w:r w:rsidR="00246174">
        <w:rPr>
          <w:rFonts w:ascii="Arial" w:hAnsi="Arial" w:cs="Arial"/>
        </w:rPr>
        <w:t>legitimación del poder</w:t>
      </w:r>
      <w:r w:rsidR="00246174" w:rsidRPr="00246174">
        <w:rPr>
          <w:rFonts w:ascii="Arial" w:hAnsi="Arial" w:cs="Arial"/>
        </w:rPr>
        <w:t xml:space="preserve"> judicial; apertura tecnológica; transparencia algorítmica; Ley 26.856; Justicia.ar; </w:t>
      </w:r>
      <w:r w:rsidR="00D91AA5">
        <w:rPr>
          <w:rFonts w:ascii="Arial" w:hAnsi="Arial" w:cs="Arial"/>
        </w:rPr>
        <w:t>J</w:t>
      </w:r>
      <w:r w:rsidR="00246174">
        <w:rPr>
          <w:rFonts w:ascii="Arial" w:hAnsi="Arial" w:cs="Arial"/>
        </w:rPr>
        <w:t>urisemia</w:t>
      </w:r>
      <w:r w:rsidRPr="006B6706">
        <w:rPr>
          <w:rFonts w:ascii="Arial" w:hAnsi="Arial" w:cs="Arial"/>
        </w:rPr>
        <w:t>.</w:t>
      </w:r>
    </w:p>
    <w:p w14:paraId="7C27B2EE" w14:textId="77777777" w:rsidR="005007B0" w:rsidRDefault="005007B0" w:rsidP="00246174">
      <w:pPr>
        <w:widowControl w:val="0"/>
        <w:spacing w:line="360" w:lineRule="auto"/>
        <w:jc w:val="both"/>
        <w:rPr>
          <w:rFonts w:ascii="Arial" w:hAnsi="Arial" w:cs="Arial"/>
        </w:rPr>
      </w:pPr>
    </w:p>
    <w:p w14:paraId="453CE8E3" w14:textId="62ECBC0B" w:rsidR="005B0C16" w:rsidRDefault="005B0C16" w:rsidP="00246174">
      <w:pPr>
        <w:spacing w:line="360" w:lineRule="auto"/>
        <w:rPr>
          <w:rFonts w:ascii="Arial" w:hAnsi="Arial" w:cs="Arial"/>
        </w:rPr>
      </w:pPr>
      <w:r>
        <w:rPr>
          <w:rFonts w:ascii="Arial" w:hAnsi="Arial" w:cs="Arial"/>
        </w:rPr>
        <w:br w:type="page"/>
      </w:r>
    </w:p>
    <w:p w14:paraId="5062B9D6" w14:textId="6D9EA383" w:rsidR="00F52819" w:rsidRDefault="001B2182" w:rsidP="00F52819">
      <w:pPr>
        <w:pStyle w:val="Prrafodelista"/>
        <w:numPr>
          <w:ilvl w:val="0"/>
          <w:numId w:val="11"/>
        </w:numPr>
        <w:spacing w:after="0" w:line="360" w:lineRule="auto"/>
        <w:jc w:val="both"/>
        <w:rPr>
          <w:rFonts w:ascii="Arial" w:hAnsi="Arial" w:cs="Arial"/>
          <w:b/>
          <w:bCs/>
          <w:sz w:val="24"/>
          <w:szCs w:val="24"/>
          <w:u w:val="single"/>
        </w:rPr>
      </w:pPr>
      <w:r>
        <w:rPr>
          <w:rFonts w:ascii="Arial" w:hAnsi="Arial" w:cs="Arial"/>
          <w:b/>
          <w:bCs/>
          <w:sz w:val="24"/>
          <w:szCs w:val="24"/>
          <w:u w:val="single"/>
        </w:rPr>
        <w:lastRenderedPageBreak/>
        <w:t>Introducción</w:t>
      </w:r>
    </w:p>
    <w:p w14:paraId="709F9D2A" w14:textId="77777777" w:rsidR="009B402B" w:rsidRDefault="009B402B" w:rsidP="009B402B">
      <w:pPr>
        <w:spacing w:line="360" w:lineRule="auto"/>
        <w:jc w:val="both"/>
        <w:rPr>
          <w:rFonts w:ascii="Arial" w:hAnsi="Arial" w:cs="Arial"/>
          <w:b/>
          <w:bCs/>
          <w:u w:val="single"/>
        </w:rPr>
      </w:pPr>
    </w:p>
    <w:p w14:paraId="626F21B5" w14:textId="3F77B9E0" w:rsidR="009B402B" w:rsidRPr="009B402B" w:rsidRDefault="009B402B" w:rsidP="009B402B">
      <w:pPr>
        <w:spacing w:line="360" w:lineRule="auto"/>
        <w:ind w:firstLine="1134"/>
        <w:jc w:val="both"/>
        <w:rPr>
          <w:rFonts w:ascii="Arial" w:hAnsi="Arial" w:cs="Arial"/>
        </w:rPr>
      </w:pPr>
      <w:r w:rsidRPr="009B402B">
        <w:rPr>
          <w:rFonts w:ascii="Arial" w:hAnsi="Arial" w:cs="Arial"/>
        </w:rPr>
        <w:t xml:space="preserve">Esta ponencia examina la publicidad de los expedientes, las audiencias y las sentencias. En el primer capítulo se delimita la </w:t>
      </w:r>
      <w:r>
        <w:rPr>
          <w:rFonts w:ascii="Arial" w:hAnsi="Arial" w:cs="Arial"/>
        </w:rPr>
        <w:t xml:space="preserve">lo público y lo </w:t>
      </w:r>
      <w:r w:rsidRPr="009B402B">
        <w:rPr>
          <w:rFonts w:ascii="Arial" w:hAnsi="Arial" w:cs="Arial"/>
        </w:rPr>
        <w:t>secreto</w:t>
      </w:r>
      <w:r>
        <w:rPr>
          <w:rFonts w:ascii="Arial" w:hAnsi="Arial" w:cs="Arial"/>
        </w:rPr>
        <w:t>, con proyección</w:t>
      </w:r>
      <w:r w:rsidRPr="009B402B">
        <w:rPr>
          <w:rFonts w:ascii="Arial" w:hAnsi="Arial" w:cs="Arial"/>
        </w:rPr>
        <w:t xml:space="preserve"> en </w:t>
      </w:r>
      <w:r>
        <w:rPr>
          <w:rFonts w:ascii="Arial" w:hAnsi="Arial" w:cs="Arial"/>
        </w:rPr>
        <w:t xml:space="preserve">relación </w:t>
      </w:r>
      <w:r w:rsidR="00513F32">
        <w:rPr>
          <w:rFonts w:ascii="Arial" w:hAnsi="Arial" w:cs="Arial"/>
        </w:rPr>
        <w:t>con</w:t>
      </w:r>
      <w:r>
        <w:rPr>
          <w:rFonts w:ascii="Arial" w:hAnsi="Arial" w:cs="Arial"/>
        </w:rPr>
        <w:t xml:space="preserve"> los </w:t>
      </w:r>
      <w:r w:rsidRPr="009B402B">
        <w:rPr>
          <w:rFonts w:ascii="Arial" w:hAnsi="Arial" w:cs="Arial"/>
        </w:rPr>
        <w:t>sujetos de derecho público y derecho privado. En el segundo, se analiza el papel de la tecnología en la publicidad de los actos estatales —en particular, del proceso. A continuación, se proponen parámetros de evaluación de la publicidad procesal y se identifican sus beneficios. Finalmente, se describen y ponderan los distintos regímenes a la luz de esas pautas.</w:t>
      </w:r>
    </w:p>
    <w:p w14:paraId="09903E88" w14:textId="77777777" w:rsidR="009B402B" w:rsidRPr="009B402B" w:rsidRDefault="009B402B" w:rsidP="009B402B">
      <w:pPr>
        <w:spacing w:line="360" w:lineRule="auto"/>
        <w:ind w:firstLine="1134"/>
        <w:jc w:val="both"/>
        <w:rPr>
          <w:rFonts w:ascii="Arial" w:hAnsi="Arial" w:cs="Arial"/>
          <w:b/>
          <w:bCs/>
          <w:u w:val="single"/>
        </w:rPr>
      </w:pPr>
    </w:p>
    <w:p w14:paraId="4A015EF4" w14:textId="77777777" w:rsidR="001B2182" w:rsidRPr="007A015F" w:rsidRDefault="001B2182" w:rsidP="001B2182">
      <w:pPr>
        <w:pStyle w:val="Prrafodelista"/>
        <w:numPr>
          <w:ilvl w:val="0"/>
          <w:numId w:val="11"/>
        </w:numPr>
        <w:spacing w:after="0" w:line="360" w:lineRule="auto"/>
        <w:jc w:val="both"/>
        <w:rPr>
          <w:rFonts w:ascii="Arial" w:hAnsi="Arial" w:cs="Arial"/>
          <w:b/>
          <w:bCs/>
          <w:sz w:val="24"/>
          <w:szCs w:val="24"/>
          <w:u w:val="single"/>
        </w:rPr>
      </w:pPr>
      <w:r w:rsidRPr="007A015F">
        <w:rPr>
          <w:rFonts w:ascii="Arial" w:hAnsi="Arial" w:cs="Arial"/>
          <w:b/>
          <w:bCs/>
          <w:sz w:val="24"/>
          <w:szCs w:val="24"/>
          <w:u w:val="single"/>
        </w:rPr>
        <w:t>La gran dicotomía: Lo público y lo secreto</w:t>
      </w:r>
    </w:p>
    <w:p w14:paraId="3E5F4203" w14:textId="77777777" w:rsidR="00286EC9" w:rsidRDefault="00286EC9" w:rsidP="00286EC9">
      <w:pPr>
        <w:spacing w:line="360" w:lineRule="auto"/>
        <w:ind w:firstLine="1134"/>
        <w:jc w:val="both"/>
        <w:rPr>
          <w:color w:val="FF0000"/>
        </w:rPr>
      </w:pPr>
    </w:p>
    <w:p w14:paraId="54E3ADB9" w14:textId="4422E2A9" w:rsidR="00F52819" w:rsidRPr="00933C3B" w:rsidRDefault="00F52819" w:rsidP="0080239F">
      <w:pPr>
        <w:tabs>
          <w:tab w:val="left" w:pos="3261"/>
        </w:tabs>
        <w:spacing w:line="360" w:lineRule="auto"/>
        <w:ind w:left="4536"/>
        <w:jc w:val="both"/>
        <w:rPr>
          <w:rFonts w:ascii="Arial" w:hAnsi="Arial" w:cs="Arial"/>
          <w:color w:val="000000" w:themeColor="text1"/>
          <w:lang w:val="en-US"/>
        </w:rPr>
      </w:pPr>
      <w:r w:rsidRPr="00933C3B">
        <w:rPr>
          <w:rFonts w:ascii="Arial" w:hAnsi="Arial" w:cs="Arial"/>
          <w:color w:val="000000" w:themeColor="text1"/>
          <w:lang w:val="en-US"/>
        </w:rPr>
        <w:t>“</w:t>
      </w:r>
      <w:r w:rsidRPr="00933C3B">
        <w:rPr>
          <w:rFonts w:ascii="Arial" w:hAnsi="Arial" w:cs="Arial"/>
          <w:i/>
          <w:iCs/>
          <w:color w:val="000000" w:themeColor="text1"/>
          <w:lang w:val="en-US"/>
        </w:rPr>
        <w:t>Sunlight is said to be the best of disinfectants</w:t>
      </w:r>
      <w:r w:rsidRPr="00933C3B">
        <w:rPr>
          <w:rFonts w:ascii="Arial" w:hAnsi="Arial" w:cs="Arial"/>
          <w:color w:val="000000" w:themeColor="text1"/>
          <w:lang w:val="en-US"/>
        </w:rPr>
        <w:t>”</w:t>
      </w:r>
      <w:r w:rsidRPr="007A015F">
        <w:rPr>
          <w:rStyle w:val="Refdenotaalpie"/>
          <w:rFonts w:ascii="Arial" w:hAnsi="Arial" w:cs="Arial"/>
          <w:color w:val="000000" w:themeColor="text1"/>
        </w:rPr>
        <w:footnoteReference w:id="1"/>
      </w:r>
    </w:p>
    <w:p w14:paraId="3FD9D98E" w14:textId="45FD7D48" w:rsidR="001B2182" w:rsidRPr="001B2182" w:rsidRDefault="00F52819" w:rsidP="001B2182">
      <w:pPr>
        <w:spacing w:line="360" w:lineRule="auto"/>
        <w:ind w:firstLine="1134"/>
        <w:jc w:val="both"/>
        <w:rPr>
          <w:rFonts w:ascii="Arial" w:hAnsi="Arial" w:cs="Arial"/>
          <w:color w:val="FF0000"/>
          <w:lang w:val="es-ES"/>
        </w:rPr>
      </w:pPr>
      <w:r w:rsidRPr="007A015F">
        <w:rPr>
          <w:rFonts w:ascii="Arial" w:hAnsi="Arial" w:cs="Arial"/>
          <w:lang w:val="es-ES"/>
        </w:rPr>
        <w:t xml:space="preserve">Enseña </w:t>
      </w:r>
      <w:r w:rsidRPr="0026270D">
        <w:rPr>
          <w:rFonts w:ascii="Arial" w:hAnsi="Arial" w:cs="Arial"/>
          <w:smallCaps/>
          <w:lang w:val="es-ES"/>
        </w:rPr>
        <w:t>B</w:t>
      </w:r>
      <w:r w:rsidR="0026270D" w:rsidRPr="0026270D">
        <w:rPr>
          <w:rFonts w:ascii="Arial" w:hAnsi="Arial" w:cs="Arial"/>
          <w:smallCaps/>
          <w:lang w:val="es-ES"/>
        </w:rPr>
        <w:t>obbio</w:t>
      </w:r>
      <w:r w:rsidR="0026270D">
        <w:rPr>
          <w:rFonts w:ascii="Arial" w:hAnsi="Arial" w:cs="Arial"/>
          <w:lang w:val="es-ES"/>
        </w:rPr>
        <w:t xml:space="preserve"> </w:t>
      </w:r>
      <w:r w:rsidRPr="007A015F">
        <w:rPr>
          <w:rFonts w:ascii="Arial" w:hAnsi="Arial" w:cs="Arial"/>
          <w:lang w:val="es-ES"/>
        </w:rPr>
        <w:t>que una distinción merece el rango de “gran dicotomía” cuando es capaz de dividir un universo de referencia en dos esferas conjuntamente exhaustivas y recíprocamente exclusivas: todo lo que hay en ese universo cae en una u otra esfera, y nada puede pertenecer simultáneamente a ambas. Además, la división no sólo es total, sino principal: tiende a hacer coincidir en su eje las demás dicotomías relevantes, que se vuelven secundarias con respecto a ella. Bobbio añade un matiz semántico decisivo para pensar cómo operan estas oposiciones. Los términos de una dicotomía pueden definirse de modo independiente o de manera asimétrica, cuando uno se ofrece en positivo y el otro por vía negativa. En este último caso hay un término fuerte, cuyo contenido es primario, y un término débil, que se define por privación o residuo, como la paz entendida como no-guerra. Esa asimetría no es un adorno del lenguaje: desplaza cargas de argumentación y establece presunciones prácticas en favor del término fuerte.</w:t>
      </w:r>
      <w:r w:rsidR="001B2182">
        <w:rPr>
          <w:rStyle w:val="Refdenotaalpie"/>
          <w:rFonts w:ascii="Arial" w:hAnsi="Arial"/>
          <w:lang w:val="es-ES"/>
        </w:rPr>
        <w:footnoteReference w:id="2"/>
      </w:r>
      <w:r w:rsidRPr="007A015F">
        <w:rPr>
          <w:rFonts w:ascii="Arial" w:hAnsi="Arial" w:cs="Arial"/>
          <w:lang w:val="es-ES"/>
        </w:rPr>
        <w:t xml:space="preserve"> </w:t>
      </w:r>
    </w:p>
    <w:p w14:paraId="72AE958F" w14:textId="77777777" w:rsidR="00F52819" w:rsidRPr="007A015F" w:rsidRDefault="00F52819" w:rsidP="00F52819">
      <w:pPr>
        <w:spacing w:line="360" w:lineRule="auto"/>
        <w:ind w:firstLine="1134"/>
        <w:jc w:val="both"/>
        <w:rPr>
          <w:rFonts w:ascii="Arial" w:hAnsi="Arial" w:cs="Arial"/>
          <w:lang w:val="es-ES"/>
        </w:rPr>
      </w:pPr>
      <w:r w:rsidRPr="007A015F">
        <w:rPr>
          <w:rFonts w:ascii="Arial" w:hAnsi="Arial" w:cs="Arial"/>
          <w:lang w:val="es-ES"/>
        </w:rPr>
        <w:lastRenderedPageBreak/>
        <w:t>Siguiendo al autor y con ánimo de mayor precisión terminológica, en este trabajo se empleará “carácter privado” para calificar la naturaleza de la relación sustancial (para distinguirlo de derecho público), en tanto que se reservará el término “</w:t>
      </w:r>
      <w:r w:rsidRPr="007A015F">
        <w:rPr>
          <w:rFonts w:ascii="Arial" w:hAnsi="Arial" w:cs="Arial"/>
          <w:u w:val="single"/>
          <w:lang w:val="es-ES"/>
        </w:rPr>
        <w:t>secreto</w:t>
      </w:r>
      <w:r w:rsidRPr="007A015F">
        <w:rPr>
          <w:rFonts w:ascii="Arial" w:hAnsi="Arial" w:cs="Arial"/>
          <w:lang w:val="es-ES"/>
        </w:rPr>
        <w:t>” para referirse a “</w:t>
      </w:r>
      <w:r w:rsidRPr="007A015F">
        <w:rPr>
          <w:rFonts w:ascii="Arial" w:hAnsi="Arial" w:cs="Arial"/>
          <w:i/>
          <w:iCs/>
          <w:lang w:val="es-ES"/>
        </w:rPr>
        <w:t>aquello que se hace en un círculo restringido de personas</w:t>
      </w:r>
      <w:r w:rsidRPr="007A015F">
        <w:rPr>
          <w:rFonts w:ascii="Arial" w:hAnsi="Arial" w:cs="Arial"/>
          <w:lang w:val="es-ES"/>
        </w:rPr>
        <w:t>” en contraposición a “</w:t>
      </w:r>
      <w:r w:rsidRPr="007A015F">
        <w:rPr>
          <w:rFonts w:ascii="Arial" w:hAnsi="Arial" w:cs="Arial"/>
          <w:u w:val="single"/>
          <w:lang w:val="es-ES"/>
        </w:rPr>
        <w:t>público</w:t>
      </w:r>
      <w:r w:rsidRPr="007A015F">
        <w:rPr>
          <w:rFonts w:ascii="Arial" w:hAnsi="Arial" w:cs="Arial"/>
          <w:lang w:val="es-ES"/>
        </w:rPr>
        <w:t>”, como aquello que se hace “</w:t>
      </w:r>
      <w:r w:rsidRPr="007A015F">
        <w:rPr>
          <w:rFonts w:ascii="Arial" w:hAnsi="Arial" w:cs="Arial"/>
          <w:i/>
          <w:iCs/>
          <w:lang w:val="es-ES"/>
        </w:rPr>
        <w:t>abierto al público, realizado frente a espectadores</w:t>
      </w:r>
      <w:r w:rsidRPr="007A015F">
        <w:rPr>
          <w:rFonts w:ascii="Arial" w:hAnsi="Arial" w:cs="Arial"/>
          <w:lang w:val="es-ES"/>
        </w:rPr>
        <w:t>”.</w:t>
      </w:r>
    </w:p>
    <w:p w14:paraId="2EAC8CE8" w14:textId="4EADA271" w:rsidR="00F52819" w:rsidRDefault="00F52819" w:rsidP="00CF1800">
      <w:pPr>
        <w:widowControl w:val="0"/>
        <w:spacing w:line="360" w:lineRule="auto"/>
        <w:ind w:firstLine="1134"/>
        <w:jc w:val="both"/>
        <w:rPr>
          <w:rFonts w:ascii="Arial" w:hAnsi="Arial" w:cs="Arial"/>
          <w:color w:val="000000" w:themeColor="text1"/>
        </w:rPr>
      </w:pPr>
      <w:r w:rsidRPr="007A015F">
        <w:rPr>
          <w:rFonts w:ascii="Arial" w:hAnsi="Arial" w:cs="Arial"/>
          <w:lang w:val="es-ES"/>
        </w:rPr>
        <w:t>En el ámbito de las relaciones jurídicas conmutativas, propias del derecho privado, cada persona conserva el derecho a mantener en reserva la información que decide no exteriorizar y a autodeterminar sus comunicaciones —cuándo, cómo y a quién— respecto de los contenidos de su conciencia (conocimientos, pensamientos, ideas, etc.). En palabras de Santiago Nino, la intimidad constituye “</w:t>
      </w:r>
      <w:r w:rsidRPr="007A015F">
        <w:rPr>
          <w:rFonts w:ascii="Arial" w:hAnsi="Arial" w:cs="Arial"/>
          <w:i/>
          <w:iCs/>
          <w:lang w:val="es-ES"/>
        </w:rPr>
        <w:t>una esfera de la persona que está exenta del conocimiento generalizado por parte de los demás</w:t>
      </w:r>
      <w:r w:rsidRPr="007A015F">
        <w:rPr>
          <w:rFonts w:ascii="Arial" w:hAnsi="Arial" w:cs="Arial"/>
          <w:lang w:val="es-ES"/>
        </w:rPr>
        <w:t xml:space="preserve">” </w:t>
      </w:r>
      <w:r w:rsidRPr="001B2182">
        <w:rPr>
          <w:rFonts w:ascii="Arial" w:hAnsi="Arial" w:cs="Arial"/>
          <w:color w:val="000000" w:themeColor="text1"/>
          <w:lang w:val="es-ES"/>
        </w:rPr>
        <w:t>(</w:t>
      </w:r>
      <w:r w:rsidR="001B2182" w:rsidRPr="001B2182">
        <w:rPr>
          <w:rFonts w:ascii="Arial" w:hAnsi="Arial" w:cs="Arial"/>
          <w:smallCaps/>
          <w:color w:val="000000" w:themeColor="text1"/>
          <w:lang w:val="es-ES"/>
        </w:rPr>
        <w:t>Nino,</w:t>
      </w:r>
      <w:r w:rsidR="001B2182" w:rsidRPr="001B2182">
        <w:rPr>
          <w:rFonts w:ascii="Arial" w:hAnsi="Arial" w:cs="Arial"/>
          <w:color w:val="000000" w:themeColor="text1"/>
          <w:lang w:val="es-ES"/>
        </w:rPr>
        <w:t xml:space="preserve"> Carlos S., “</w:t>
      </w:r>
      <w:r w:rsidR="001B2182" w:rsidRPr="001B2182">
        <w:rPr>
          <w:rFonts w:ascii="Arial" w:hAnsi="Arial" w:cs="Arial"/>
          <w:i/>
          <w:iCs/>
          <w:color w:val="000000" w:themeColor="text1"/>
          <w:lang w:val="es-ES"/>
        </w:rPr>
        <w:t>Fundamentos de derecho constitucional</w:t>
      </w:r>
      <w:r w:rsidR="001B2182" w:rsidRPr="001B2182">
        <w:rPr>
          <w:rFonts w:ascii="Arial" w:hAnsi="Arial" w:cs="Arial"/>
          <w:color w:val="000000" w:themeColor="text1"/>
          <w:lang w:val="es-ES"/>
        </w:rPr>
        <w:t>”, ASTREA, Buenos Aires, 2017</w:t>
      </w:r>
      <w:r w:rsidRPr="001B2182">
        <w:rPr>
          <w:rFonts w:ascii="Arial" w:hAnsi="Arial" w:cs="Arial"/>
          <w:color w:val="000000" w:themeColor="text1"/>
          <w:lang w:val="es-ES"/>
        </w:rPr>
        <w:t>, p. 327)</w:t>
      </w:r>
      <w:r w:rsidR="001B2182">
        <w:rPr>
          <w:rFonts w:ascii="Arial" w:hAnsi="Arial" w:cs="Arial"/>
          <w:color w:val="000000" w:themeColor="text1"/>
          <w:lang w:val="es-ES"/>
        </w:rPr>
        <w:t>.</w:t>
      </w:r>
      <w:r w:rsidRPr="007A015F">
        <w:rPr>
          <w:rFonts w:ascii="Arial" w:hAnsi="Arial" w:cs="Arial"/>
          <w:color w:val="FF0000"/>
          <w:lang w:val="es-ES"/>
        </w:rPr>
        <w:t xml:space="preserve"> </w:t>
      </w:r>
      <w:r w:rsidRPr="007A015F">
        <w:rPr>
          <w:rFonts w:ascii="Arial" w:hAnsi="Arial" w:cs="Arial"/>
          <w:color w:val="000000" w:themeColor="text1"/>
        </w:rPr>
        <w:t>Así entendido, el secreto deviene en un derecho legítimo, fundante del Estado liberal de Derecho, y sirve de sustento a institutos como el secreto profesional, el secreto bancario, el secreto fiscal y las cláusulas de confidencialidad, entre otros. Esto no implica necesariamente que exista un derecho que las otras personas no conozcan la intimidad, más aún cuando esta intimidad ha sido puesta en conocimiento de terceras personas; más bien implica la protección jurídica ante “</w:t>
      </w:r>
      <w:r w:rsidRPr="007A015F">
        <w:rPr>
          <w:rFonts w:ascii="Arial" w:hAnsi="Arial" w:cs="Arial"/>
          <w:i/>
          <w:iCs/>
          <w:color w:val="000000" w:themeColor="text1"/>
        </w:rPr>
        <w:t>la adquisición ilegítima de conocimiento sobre un acto o un rasgo propio que uno no quiere que los demás tengan</w:t>
      </w:r>
      <w:r w:rsidRPr="007A015F">
        <w:rPr>
          <w:rFonts w:ascii="Arial" w:hAnsi="Arial" w:cs="Arial"/>
          <w:color w:val="000000" w:themeColor="text1"/>
        </w:rPr>
        <w:t xml:space="preserve">” </w:t>
      </w:r>
      <w:r w:rsidRPr="001B2182">
        <w:rPr>
          <w:rFonts w:ascii="Arial" w:hAnsi="Arial" w:cs="Arial"/>
          <w:color w:val="000000" w:themeColor="text1"/>
        </w:rPr>
        <w:t>(</w:t>
      </w:r>
      <w:r w:rsidR="001B2182" w:rsidRPr="001B2182">
        <w:rPr>
          <w:rFonts w:ascii="Arial" w:hAnsi="Arial" w:cs="Arial"/>
          <w:smallCaps/>
          <w:color w:val="000000" w:themeColor="text1"/>
          <w:lang w:val="es-ES"/>
        </w:rPr>
        <w:t>Nino,</w:t>
      </w:r>
      <w:r w:rsidR="001B2182" w:rsidRPr="001B2182">
        <w:rPr>
          <w:rFonts w:ascii="Arial" w:hAnsi="Arial" w:cs="Arial"/>
          <w:color w:val="000000" w:themeColor="text1"/>
          <w:lang w:val="es-ES"/>
        </w:rPr>
        <w:t xml:space="preserve"> Carlos S., “</w:t>
      </w:r>
      <w:r w:rsidR="001B2182" w:rsidRPr="001B2182">
        <w:rPr>
          <w:rFonts w:ascii="Arial" w:hAnsi="Arial" w:cs="Arial"/>
          <w:i/>
          <w:iCs/>
          <w:color w:val="000000" w:themeColor="text1"/>
          <w:lang w:val="es-ES"/>
        </w:rPr>
        <w:t>Fundamentos de derecho constitucional</w:t>
      </w:r>
      <w:r w:rsidR="001B2182" w:rsidRPr="001B2182">
        <w:rPr>
          <w:rFonts w:ascii="Arial" w:hAnsi="Arial" w:cs="Arial"/>
          <w:color w:val="000000" w:themeColor="text1"/>
          <w:lang w:val="es-ES"/>
        </w:rPr>
        <w:t>”, ASTREA, Buenos Aires</w:t>
      </w:r>
      <w:r w:rsidRPr="001B2182">
        <w:rPr>
          <w:rFonts w:ascii="Arial" w:hAnsi="Arial" w:cs="Arial"/>
          <w:color w:val="000000" w:themeColor="text1"/>
        </w:rPr>
        <w:t xml:space="preserve">, 2017, p. 328). </w:t>
      </w:r>
      <w:r w:rsidRPr="007A015F">
        <w:rPr>
          <w:rFonts w:ascii="Arial" w:hAnsi="Arial" w:cs="Arial"/>
          <w:color w:val="000000" w:themeColor="text1"/>
        </w:rPr>
        <w:t>En tal conceptualización, la privacidad de una persona pública será sustancialmente menos a una persona reservada, lo que obedece a una cuestión de libre determinación de su voluntad. Cada cual elige su política sobre que exponer al público y que mantener en privado.</w:t>
      </w:r>
    </w:p>
    <w:p w14:paraId="1A1D3EE0" w14:textId="1DDE96A2" w:rsidR="00CF1800" w:rsidRPr="007A015F" w:rsidRDefault="00CF1800" w:rsidP="00CF1800">
      <w:pPr>
        <w:spacing w:line="360" w:lineRule="auto"/>
        <w:ind w:firstLine="1134"/>
        <w:jc w:val="both"/>
        <w:rPr>
          <w:rFonts w:ascii="Arial" w:hAnsi="Arial" w:cs="Arial"/>
          <w:lang w:val="es-ES"/>
        </w:rPr>
      </w:pPr>
      <w:r w:rsidRPr="007A015F">
        <w:rPr>
          <w:rFonts w:ascii="Arial" w:hAnsi="Arial" w:cs="Arial"/>
          <w:lang w:val="es-ES"/>
        </w:rPr>
        <w:t>E</w:t>
      </w:r>
      <w:r>
        <w:rPr>
          <w:rFonts w:ascii="Arial" w:hAnsi="Arial" w:cs="Arial"/>
          <w:lang w:val="es-ES"/>
        </w:rPr>
        <w:t>s por ello que el</w:t>
      </w:r>
      <w:r w:rsidRPr="007A015F">
        <w:rPr>
          <w:rFonts w:ascii="Arial" w:hAnsi="Arial" w:cs="Arial"/>
          <w:lang w:val="es-ES"/>
        </w:rPr>
        <w:t xml:space="preserve"> secreto no es, por sí, un vicio: es condición de la libertad y la dignidad personales —ámbito amparado por el art. 19 de la Constitución— y presupuesto de relaciones de confianza (secreto profesional, confidencias familiares, datos sensibles, entre otros), así como de ciertos intereses públicos legítimos (protección de niñas, niños y adolescentes; seguridad y defensa en supuestos estrictos, entre otros). Pero ese valor no habilita la opacidad del poder: en un Estado constitucional, los </w:t>
      </w:r>
      <w:r w:rsidRPr="007A015F">
        <w:rPr>
          <w:rFonts w:ascii="Arial" w:hAnsi="Arial" w:cs="Arial"/>
          <w:i/>
          <w:iCs/>
          <w:lang w:val="es-ES"/>
        </w:rPr>
        <w:t>arcana imperii</w:t>
      </w:r>
      <w:r w:rsidRPr="007A015F">
        <w:rPr>
          <w:rFonts w:ascii="Arial" w:hAnsi="Arial" w:cs="Arial"/>
          <w:lang w:val="es-ES"/>
        </w:rPr>
        <w:t xml:space="preserve"> carecen de justificación democrática y la regla que gobierna la actuación estatal es la transparencia, con restricciones sólo necesarias, razonables y temporales.</w:t>
      </w:r>
    </w:p>
    <w:p w14:paraId="2CA660CC" w14:textId="2A057D85" w:rsidR="00F52819" w:rsidRDefault="00F52819" w:rsidP="00F52819">
      <w:pPr>
        <w:spacing w:line="360" w:lineRule="auto"/>
        <w:ind w:firstLine="1134"/>
        <w:jc w:val="both"/>
        <w:rPr>
          <w:rFonts w:ascii="Arial" w:hAnsi="Arial" w:cs="Arial"/>
          <w:color w:val="000000" w:themeColor="text1"/>
        </w:rPr>
      </w:pPr>
      <w:r w:rsidRPr="007A015F">
        <w:rPr>
          <w:rFonts w:ascii="Arial" w:hAnsi="Arial" w:cs="Arial"/>
          <w:color w:val="000000" w:themeColor="text1"/>
          <w:lang w:val="es-ES"/>
        </w:rPr>
        <w:t xml:space="preserve">En el ámbito de las relaciones de derecho público, </w:t>
      </w:r>
      <w:r w:rsidR="00CF1800">
        <w:rPr>
          <w:rFonts w:ascii="Arial" w:hAnsi="Arial" w:cs="Arial"/>
          <w:color w:val="000000" w:themeColor="text1"/>
          <w:lang w:val="es-ES"/>
        </w:rPr>
        <w:t>l</w:t>
      </w:r>
      <w:r w:rsidRPr="007A015F">
        <w:rPr>
          <w:rFonts w:ascii="Arial" w:hAnsi="Arial" w:cs="Arial"/>
          <w:color w:val="000000" w:themeColor="text1"/>
          <w:lang w:val="es-ES"/>
        </w:rPr>
        <w:t>as personas de derecho público deben, por regla, hacer públicos sus actos. En efecto, l</w:t>
      </w:r>
      <w:r w:rsidRPr="007A015F">
        <w:rPr>
          <w:rFonts w:ascii="Arial" w:hAnsi="Arial" w:cs="Arial"/>
          <w:color w:val="000000" w:themeColor="text1"/>
        </w:rPr>
        <w:t xml:space="preserve">a publicidad de los actos de gobierno está íntimamente ligada a un componente esencial del régimen republicano </w:t>
      </w:r>
      <w:r w:rsidRPr="007A015F">
        <w:rPr>
          <w:rFonts w:ascii="Arial" w:hAnsi="Arial" w:cs="Arial"/>
          <w:color w:val="000000" w:themeColor="text1"/>
        </w:rPr>
        <w:lastRenderedPageBreak/>
        <w:t xml:space="preserve">consagrado por nuestra Constitución. Esto tiene un fundamento: Etimológicamente, </w:t>
      </w:r>
      <w:r w:rsidRPr="007A015F">
        <w:rPr>
          <w:rFonts w:ascii="Arial" w:hAnsi="Arial" w:cs="Arial"/>
          <w:i/>
          <w:iCs/>
          <w:color w:val="000000" w:themeColor="text1"/>
        </w:rPr>
        <w:t>república</w:t>
      </w:r>
      <w:r w:rsidRPr="007A015F">
        <w:rPr>
          <w:rFonts w:ascii="Arial" w:hAnsi="Arial" w:cs="Arial"/>
          <w:color w:val="000000" w:themeColor="text1"/>
        </w:rPr>
        <w:t xml:space="preserve"> proviene del latín </w:t>
      </w:r>
      <w:r w:rsidRPr="007A015F">
        <w:rPr>
          <w:rFonts w:ascii="Arial" w:hAnsi="Arial" w:cs="Arial"/>
          <w:i/>
          <w:iCs/>
          <w:color w:val="000000" w:themeColor="text1"/>
        </w:rPr>
        <w:t>res publica</w:t>
      </w:r>
      <w:r w:rsidRPr="007A015F">
        <w:rPr>
          <w:rFonts w:ascii="Arial" w:hAnsi="Arial" w:cs="Arial"/>
          <w:color w:val="000000" w:themeColor="text1"/>
        </w:rPr>
        <w:t xml:space="preserve"> (“cosa pública”). Cicerón, en </w:t>
      </w:r>
      <w:r w:rsidRPr="007A015F">
        <w:rPr>
          <w:rFonts w:ascii="Arial" w:hAnsi="Arial" w:cs="Arial"/>
          <w:i/>
          <w:iCs/>
          <w:color w:val="000000" w:themeColor="text1"/>
        </w:rPr>
        <w:t>De re publica</w:t>
      </w:r>
      <w:r w:rsidRPr="007A015F">
        <w:rPr>
          <w:rFonts w:ascii="Arial" w:hAnsi="Arial" w:cs="Arial"/>
          <w:color w:val="000000" w:themeColor="text1"/>
        </w:rPr>
        <w:t xml:space="preserve"> (54 a. C.), la identifica con la “cosa del pueblo” (</w:t>
      </w:r>
      <w:r w:rsidRPr="007A015F">
        <w:rPr>
          <w:rFonts w:ascii="Arial" w:hAnsi="Arial" w:cs="Arial"/>
          <w:i/>
          <w:iCs/>
          <w:color w:val="000000" w:themeColor="text1"/>
        </w:rPr>
        <w:t>res publica res populi</w:t>
      </w:r>
      <w:r w:rsidRPr="007A015F">
        <w:rPr>
          <w:rFonts w:ascii="Arial" w:hAnsi="Arial" w:cs="Arial"/>
          <w:color w:val="000000" w:themeColor="text1"/>
        </w:rPr>
        <w:t>) y precisa que “</w:t>
      </w:r>
      <w:r w:rsidRPr="007A015F">
        <w:rPr>
          <w:rFonts w:ascii="Arial" w:hAnsi="Arial" w:cs="Arial"/>
          <w:i/>
          <w:iCs/>
          <w:color w:val="000000" w:themeColor="text1"/>
        </w:rPr>
        <w:t>pueblo no es todo conjunto de hombres reunido de cualquier manera, sino la congregación de una multitud asociada por un mismo derecho y por la utilidad común</w:t>
      </w:r>
      <w:r w:rsidR="00390B30">
        <w:rPr>
          <w:rFonts w:ascii="Arial" w:hAnsi="Arial" w:cs="Arial"/>
          <w:i/>
          <w:iCs/>
          <w:color w:val="000000" w:themeColor="text1"/>
        </w:rPr>
        <w:t>.</w:t>
      </w:r>
      <w:r w:rsidRPr="007A015F">
        <w:rPr>
          <w:rFonts w:ascii="Arial" w:hAnsi="Arial" w:cs="Arial"/>
          <w:color w:val="000000" w:themeColor="text1"/>
        </w:rPr>
        <w:t>”</w:t>
      </w:r>
      <w:r w:rsidR="00390B30">
        <w:rPr>
          <w:rStyle w:val="Refdenotaalpie"/>
          <w:rFonts w:ascii="Arial" w:hAnsi="Arial"/>
          <w:color w:val="000000" w:themeColor="text1"/>
        </w:rPr>
        <w:footnoteReference w:id="3"/>
      </w:r>
      <w:r w:rsidR="00390B30">
        <w:rPr>
          <w:rFonts w:ascii="Arial" w:hAnsi="Arial" w:cs="Arial"/>
          <w:color w:val="000000" w:themeColor="text1"/>
        </w:rPr>
        <w:t>.</w:t>
      </w:r>
    </w:p>
    <w:p w14:paraId="05DC34A6" w14:textId="658FC91C" w:rsidR="00F52819" w:rsidRDefault="00F52819" w:rsidP="00F52819">
      <w:pPr>
        <w:spacing w:line="360" w:lineRule="auto"/>
        <w:ind w:firstLine="1134"/>
        <w:jc w:val="both"/>
        <w:rPr>
          <w:rFonts w:ascii="Arial" w:hAnsi="Arial" w:cs="Arial"/>
          <w:color w:val="FF0000"/>
          <w:lang w:val="es-ES"/>
        </w:rPr>
      </w:pPr>
      <w:r w:rsidRPr="00924964">
        <w:rPr>
          <w:rFonts w:ascii="Arial" w:hAnsi="Arial" w:cs="Arial"/>
          <w:color w:val="000000" w:themeColor="text1"/>
          <w:lang w:val="es-ES"/>
        </w:rPr>
        <w:t xml:space="preserve">Sobre esa base —la </w:t>
      </w:r>
      <w:r w:rsidRPr="00924964">
        <w:rPr>
          <w:rFonts w:ascii="Arial" w:hAnsi="Arial" w:cs="Arial"/>
          <w:i/>
          <w:iCs/>
          <w:color w:val="000000" w:themeColor="text1"/>
          <w:lang w:val="es-ES"/>
        </w:rPr>
        <w:t>res publica</w:t>
      </w:r>
      <w:r w:rsidRPr="00924964">
        <w:rPr>
          <w:rFonts w:ascii="Arial" w:hAnsi="Arial" w:cs="Arial"/>
          <w:color w:val="000000" w:themeColor="text1"/>
          <w:lang w:val="es-ES"/>
        </w:rPr>
        <w:t xml:space="preserve"> como “cosa pública”—, Montesquieu concibe la república como una arquitectura de frenos y contrapesos en la que “el poder detiene al poder”, de modo que ninguna función decide sin control. A esa ingeniería institucional, Luigi Einaudi añade la condición epistémica de toda deliberación: </w:t>
      </w:r>
      <w:r w:rsidRPr="00924964">
        <w:rPr>
          <w:rFonts w:ascii="Arial" w:hAnsi="Arial" w:cs="Arial"/>
          <w:i/>
          <w:iCs/>
          <w:color w:val="000000" w:themeColor="text1"/>
          <w:lang w:val="es-ES"/>
        </w:rPr>
        <w:t>prima conoscere, poi discutere, poi deliberare</w:t>
      </w:r>
      <w:r w:rsidRPr="00924964">
        <w:rPr>
          <w:rFonts w:ascii="Arial" w:hAnsi="Arial" w:cs="Arial"/>
          <w:color w:val="000000" w:themeColor="text1"/>
          <w:lang w:val="es-ES"/>
        </w:rPr>
        <w:t xml:space="preserve"> —“¿cómo se puede deliberar sin conocer?”—. Ello exige un conocimiento suficiente y accesible de las actividades de los funcionarios en ejercicio de funciones públicas, de los actos que emiten (decretos, leyes y sentencias) y de los procedimientos seguidos para su formación. Así, los contrapesos en el ejercicio del poder presuponen un régimen de publicidad material —no meramente formal—: sin conocimiento público bastante no hay discusión racional ni decisión legítima, y la transparencia de los actos y de sus procedimientos opera como resguardo frente a la arbitrariedad. Este presupuesto no sólo habilita el control entre poderes: también faculta el control social del poder, conforme a la forma representativa y republicana que la Constitución Nacional adopta en su artículo 1º.</w:t>
      </w:r>
      <w:r w:rsidR="0026270D">
        <w:rPr>
          <w:rStyle w:val="Refdenotaalpie"/>
          <w:rFonts w:ascii="Arial" w:hAnsi="Arial"/>
          <w:color w:val="000000" w:themeColor="text1"/>
          <w:lang w:val="es-ES"/>
        </w:rPr>
        <w:footnoteReference w:id="4"/>
      </w:r>
      <w:r w:rsidR="0025521F">
        <w:rPr>
          <w:rFonts w:ascii="Arial" w:hAnsi="Arial" w:cs="Arial"/>
          <w:color w:val="000000" w:themeColor="text1"/>
          <w:lang w:val="es-ES"/>
        </w:rPr>
        <w:t xml:space="preserve"> </w:t>
      </w:r>
    </w:p>
    <w:p w14:paraId="27C6B775" w14:textId="1D5895DA" w:rsidR="00B52005" w:rsidRDefault="00CF1800" w:rsidP="00BB7762">
      <w:pPr>
        <w:spacing w:line="360" w:lineRule="auto"/>
        <w:ind w:firstLine="1134"/>
        <w:jc w:val="both"/>
        <w:rPr>
          <w:rFonts w:ascii="Arial" w:hAnsi="Arial" w:cs="Arial"/>
          <w:lang w:val="es-ES"/>
        </w:rPr>
      </w:pPr>
      <w:r w:rsidRPr="007A015F">
        <w:rPr>
          <w:rFonts w:ascii="Arial" w:hAnsi="Arial" w:cs="Arial"/>
        </w:rPr>
        <w:t xml:space="preserve">Desde esta distinción —lo secreto, donde prima la reserva, y lo público, donde rige la publicidad— se entiende que el derecho procesal, por su naturaleza de derecho público, participa del principio republicano de publicidad de los actos de gobierno. En consecuencia, la problemática </w:t>
      </w:r>
      <w:r w:rsidRPr="007A015F">
        <w:rPr>
          <w:rFonts w:ascii="Arial" w:hAnsi="Arial" w:cs="Arial"/>
          <w:lang w:val="es-ES"/>
        </w:rPr>
        <w:t xml:space="preserve">no puede ser tratado de forma sectorial y aislada en cuanto a las funciones del estado —administrativa, legislativa o jurisdiccional— ni, con mayor razón, escindirse </w:t>
      </w:r>
      <w:r w:rsidR="00390B30" w:rsidRPr="007A015F">
        <w:rPr>
          <w:rFonts w:ascii="Arial" w:hAnsi="Arial" w:cs="Arial"/>
          <w:lang w:val="es-ES"/>
        </w:rPr>
        <w:t>entre los</w:t>
      </w:r>
      <w:r w:rsidRPr="007A015F">
        <w:rPr>
          <w:rFonts w:ascii="Arial" w:hAnsi="Arial" w:cs="Arial"/>
          <w:lang w:val="es-ES"/>
        </w:rPr>
        <w:t xml:space="preserve"> poderes Ejecutivo, el Legislativo y el Judicial. Se impone, en cambio, un enfoque horizontal y armónico que fije estándares comunes de apertura, acceso a la información, motivación y rendición de cuentas para toda la función estatal, sin desconocer las especificidades de cada ámbito. Ello supone afirmar la publicidad como regla general —con excepciones sólo taxativas, fundadas y eventualmente temporales—. De allí que un análisis adecuado de la cuestión requiera, antes que ingresar directamente </w:t>
      </w:r>
      <w:r w:rsidRPr="007A015F">
        <w:rPr>
          <w:rFonts w:ascii="Arial" w:hAnsi="Arial" w:cs="Arial"/>
          <w:lang w:val="es-ES"/>
        </w:rPr>
        <w:lastRenderedPageBreak/>
        <w:t>en la publicidad del proceso, situarla en la noción más amplia de publicidad de los actos de gobierno.</w:t>
      </w:r>
    </w:p>
    <w:p w14:paraId="45CF46F4" w14:textId="4A9774D2" w:rsidR="00B52005" w:rsidRPr="007A015F" w:rsidRDefault="00BB7762" w:rsidP="00B52005">
      <w:pPr>
        <w:spacing w:line="360" w:lineRule="auto"/>
        <w:ind w:firstLine="1134"/>
        <w:jc w:val="both"/>
        <w:rPr>
          <w:rFonts w:ascii="Arial" w:hAnsi="Arial" w:cs="Arial"/>
          <w:lang w:val="es-ES"/>
        </w:rPr>
      </w:pPr>
      <w:r>
        <w:rPr>
          <w:rFonts w:ascii="Arial" w:hAnsi="Arial" w:cs="Arial"/>
          <w:lang w:val="es-ES"/>
        </w:rPr>
        <w:t>Ahora bien, en este trabajo no podemos dejar de destacar las características propias que tiene la publicidad en el proceso. Para enfrentar esta problemática,</w:t>
      </w:r>
      <w:r w:rsidR="00B52005" w:rsidRPr="007A015F">
        <w:rPr>
          <w:rFonts w:ascii="Arial" w:hAnsi="Arial" w:cs="Arial"/>
          <w:lang w:val="es-ES"/>
        </w:rPr>
        <w:t xml:space="preserve"> </w:t>
      </w:r>
      <w:r w:rsidR="00B52005" w:rsidRPr="00BB7762">
        <w:rPr>
          <w:rFonts w:ascii="Arial" w:hAnsi="Arial" w:cs="Arial"/>
          <w:smallCaps/>
          <w:lang w:val="es-ES"/>
        </w:rPr>
        <w:t>Alvarado Velloso</w:t>
      </w:r>
      <w:r w:rsidR="00B52005" w:rsidRPr="007A015F">
        <w:rPr>
          <w:rFonts w:ascii="Arial" w:hAnsi="Arial" w:cs="Arial"/>
          <w:lang w:val="es-ES"/>
        </w:rPr>
        <w:t xml:space="preserve"> parte de una depuración conceptual que no es meramente terminológica, sino constitutiva del modo en que se comprende el fenómeno procesal. El autor denuncia la tendencia doctrinal a llamar “principios” a objetos que no lo son. En su arquitectura del proceso, el principio posee un carácter unitario y no admite antinomias internas: es condición de existencia del proceso y, en su ausencia, el proceso deja de ser tal. Esa naturaleza no se comparte con otras directrices que, aun siendo relevantes, operan en un nivel técnico u operativo y se manifiestan como pares opuestos. El error de confundir planos —elevar reglas técnicas al estatuto de principios— desordena la dogmática y oscurece los criterios de validez y de corrección de las decisiones judiciales.</w:t>
      </w:r>
    </w:p>
    <w:p w14:paraId="3BE1E511" w14:textId="6950571F" w:rsidR="00B52005" w:rsidRPr="007A015F" w:rsidRDefault="00B52005" w:rsidP="00B52005">
      <w:pPr>
        <w:spacing w:line="360" w:lineRule="auto"/>
        <w:ind w:firstLine="1134"/>
        <w:jc w:val="both"/>
        <w:rPr>
          <w:rFonts w:ascii="Arial" w:hAnsi="Arial" w:cs="Arial"/>
          <w:lang w:val="es-ES"/>
        </w:rPr>
      </w:pPr>
      <w:r w:rsidRPr="007A015F">
        <w:rPr>
          <w:rFonts w:ascii="Arial" w:hAnsi="Arial" w:cs="Arial"/>
          <w:lang w:val="es-ES"/>
        </w:rPr>
        <w:t xml:space="preserve">Desde esa premisa, </w:t>
      </w:r>
      <w:r w:rsidRPr="00E14B83">
        <w:rPr>
          <w:rFonts w:ascii="Arial" w:hAnsi="Arial" w:cs="Arial"/>
          <w:smallCaps/>
          <w:lang w:val="es-ES"/>
        </w:rPr>
        <w:t>Alvarado Velloso</w:t>
      </w:r>
      <w:r w:rsidR="00E14B83">
        <w:rPr>
          <w:rStyle w:val="Refdenotaalpie"/>
          <w:rFonts w:ascii="Arial" w:hAnsi="Arial"/>
          <w:smallCaps/>
          <w:lang w:val="es-ES"/>
        </w:rPr>
        <w:footnoteReference w:id="5"/>
      </w:r>
      <w:r w:rsidRPr="007A015F">
        <w:rPr>
          <w:rFonts w:ascii="Arial" w:hAnsi="Arial" w:cs="Arial"/>
          <w:lang w:val="es-ES"/>
        </w:rPr>
        <w:t xml:space="preserve"> distingue el ámbito de los principios —que sostienen ontológicamente el proceso— del ámbito de las reglas técnicas de debate, que estructuran el procedimiento. Estas últimas aparecen siempre en forma binaria y mutuamente excluyente: oralidad o escritura, inmediación o mediación, publicidad o secreto. No pueden coexistir en el mismo acto, porque sería contradictorio hacer y no hacer simultáneamente; sí pueden sucederse en etapas distintas, sin alterar por ello la esencia del proceso. En ese marco, la publicidad es una regla técnica de debate, no un principio. Contribuye a perfilar cómo se desarrolla el trámite y cómo se expone a la comunidad, pero no integra el núcleo ontológico sin el cual no hay proceso.</w:t>
      </w:r>
    </w:p>
    <w:p w14:paraId="2373FE9E" w14:textId="25DABFC5" w:rsidR="006220F2" w:rsidRPr="006220F2" w:rsidRDefault="00B3531C" w:rsidP="006220F2">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Por su parte, e</w:t>
      </w:r>
      <w:r w:rsidR="006220F2" w:rsidRPr="006220F2">
        <w:rPr>
          <w:rFonts w:ascii="Arial" w:hAnsi="Arial" w:cs="Arial"/>
          <w:color w:val="000000" w:themeColor="text1"/>
          <w:lang w:val="es-ES"/>
        </w:rPr>
        <w:t>xiste una relación estrecha entre la publicidad y los sistemas procesales. El modelo dispositivo o acusatorio ha privilegiado históricamente la publicidad; el inquisitivo, en cambio, se ha apoyado en el secreto. Así, la publicidad opera como regla característica del dispositivo y como exigencia republicana de apertura, sin que ello baste, por sí solo, para elevarla a la categoría de principio.</w:t>
      </w:r>
      <w:r w:rsidR="00E14B83">
        <w:rPr>
          <w:rStyle w:val="Refdenotaalpie"/>
          <w:rFonts w:ascii="Arial" w:hAnsi="Arial"/>
          <w:color w:val="000000" w:themeColor="text1"/>
          <w:lang w:val="es-ES"/>
        </w:rPr>
        <w:footnoteReference w:id="6"/>
      </w:r>
    </w:p>
    <w:p w14:paraId="5FF4D214" w14:textId="6DBF91FC" w:rsidR="00B52005" w:rsidRDefault="00B52005" w:rsidP="00B52005">
      <w:pPr>
        <w:spacing w:line="360" w:lineRule="auto"/>
        <w:ind w:firstLine="1134"/>
        <w:jc w:val="both"/>
        <w:rPr>
          <w:rFonts w:ascii="Arial" w:hAnsi="Arial" w:cs="Arial"/>
          <w:lang w:val="es-ES"/>
        </w:rPr>
      </w:pPr>
      <w:r w:rsidRPr="007A015F">
        <w:rPr>
          <w:rFonts w:ascii="Arial" w:hAnsi="Arial" w:cs="Arial"/>
          <w:lang w:val="es-ES"/>
        </w:rPr>
        <w:t xml:space="preserve">La regla de publicidad, significa que el desarrollo del debate debe ocurrir a la vista de quienes estén interesados en seguirlo. Se trata de una apertura efectiva, no simbólica, que habilita el control social del curso procedimental. El secreto constituye la </w:t>
      </w:r>
      <w:r w:rsidRPr="007A015F">
        <w:rPr>
          <w:rFonts w:ascii="Arial" w:hAnsi="Arial" w:cs="Arial"/>
          <w:lang w:val="es-ES"/>
        </w:rPr>
        <w:lastRenderedPageBreak/>
        <w:t>excepción y requiere una decisión fundada que lo justifique por razones superiores</w:t>
      </w:r>
      <w:r w:rsidR="00BB7762">
        <w:rPr>
          <w:rFonts w:ascii="Arial" w:hAnsi="Arial" w:cs="Arial"/>
          <w:lang w:val="es-ES"/>
        </w:rPr>
        <w:t xml:space="preserve"> de ley</w:t>
      </w:r>
      <w:r w:rsidRPr="007A015F">
        <w:rPr>
          <w:rFonts w:ascii="Arial" w:hAnsi="Arial" w:cs="Arial"/>
          <w:lang w:val="es-ES"/>
        </w:rPr>
        <w:t>. El cierre, cuando procede, debe ser acotado y proporcional, con alcance y duración definidos; no puede convertirse en velo general ni operar en perjuicio de las partes. Respecto de estas, el secreto es inadmisible, porque generaría indefensión: nadie puede litigar a ciegas frente a un adversario que sí conoce el expediente.</w:t>
      </w:r>
    </w:p>
    <w:p w14:paraId="439DA7E6" w14:textId="3AB7E2E1" w:rsidR="0037455D" w:rsidRDefault="0037455D" w:rsidP="0037455D">
      <w:pPr>
        <w:spacing w:line="360" w:lineRule="auto"/>
        <w:ind w:firstLine="1134"/>
        <w:jc w:val="both"/>
        <w:rPr>
          <w:rFonts w:ascii="Arial" w:hAnsi="Arial" w:cs="Arial"/>
          <w:lang w:val="es-ES"/>
        </w:rPr>
      </w:pPr>
      <w:r>
        <w:rPr>
          <w:rFonts w:ascii="Arial" w:hAnsi="Arial" w:cs="Arial"/>
          <w:lang w:val="es-ES"/>
        </w:rPr>
        <w:t>Remarcando la relación directa entre la publicidad del proceso y el sistema republicano, h</w:t>
      </w:r>
      <w:r w:rsidRPr="007A015F">
        <w:rPr>
          <w:rFonts w:ascii="Arial" w:hAnsi="Arial" w:cs="Arial"/>
          <w:lang w:val="es-ES"/>
        </w:rPr>
        <w:t xml:space="preserve">a dicho </w:t>
      </w:r>
      <w:r w:rsidRPr="001D6668">
        <w:rPr>
          <w:rFonts w:ascii="Arial" w:hAnsi="Arial" w:cs="Arial"/>
          <w:smallCaps/>
          <w:lang w:val="es-ES"/>
        </w:rPr>
        <w:t>Gelli</w:t>
      </w:r>
      <w:r w:rsidRPr="007A015F">
        <w:rPr>
          <w:rFonts w:ascii="Arial" w:hAnsi="Arial" w:cs="Arial"/>
          <w:lang w:val="es-ES"/>
        </w:rPr>
        <w:t xml:space="preserve"> que “</w:t>
      </w:r>
      <w:r w:rsidRPr="007A015F">
        <w:rPr>
          <w:rFonts w:ascii="Arial" w:hAnsi="Arial" w:cs="Arial"/>
          <w:i/>
          <w:iCs/>
          <w:lang w:val="es-ES"/>
        </w:rPr>
        <w:t>Dado que la Corte Suprema es cabeza de uno de los poderes del Estado y tribunal de resolución de conflictos, sus decisiones influyen de manera directa o indirecta en los intereses públicos y en el afianzamiento o debilidad de la república democrática. Por eso, uno de los modos necesarios —pero no suficientes— de garantizar la independencia y ecuanimidad en lo que resuelve el tribunal está vinculado a la publicidad de su funcionamiento y de las sentencias y resoluciones que emite, y al conocimiento por parte de la opinión pública de los actores, representantes y asesores legales que intervienen en los conflictos que se suscitan ante sus estrados</w:t>
      </w:r>
      <w:r w:rsidRPr="007A015F">
        <w:rPr>
          <w:rFonts w:ascii="Arial" w:hAnsi="Arial" w:cs="Arial"/>
          <w:lang w:val="es-ES"/>
        </w:rPr>
        <w:t>.”</w:t>
      </w:r>
      <w:r>
        <w:rPr>
          <w:rStyle w:val="Refdenotaalpie"/>
          <w:rFonts w:ascii="Arial" w:hAnsi="Arial"/>
          <w:lang w:val="es-ES"/>
        </w:rPr>
        <w:footnoteReference w:id="7"/>
      </w:r>
      <w:r w:rsidRPr="007A015F">
        <w:rPr>
          <w:rFonts w:ascii="Arial" w:hAnsi="Arial" w:cs="Arial"/>
          <w:lang w:val="es-ES"/>
        </w:rPr>
        <w:t>.</w:t>
      </w:r>
    </w:p>
    <w:p w14:paraId="7AF93766" w14:textId="1E2CEB95" w:rsidR="00B52005" w:rsidRDefault="00B3531C" w:rsidP="00B3531C">
      <w:pPr>
        <w:spacing w:line="360" w:lineRule="auto"/>
        <w:ind w:firstLine="1134"/>
        <w:jc w:val="both"/>
        <w:rPr>
          <w:rFonts w:ascii="Arial" w:hAnsi="Arial" w:cs="Arial"/>
          <w:lang w:val="es-ES"/>
        </w:rPr>
      </w:pPr>
      <w:r w:rsidRPr="00B3531C">
        <w:rPr>
          <w:rFonts w:ascii="Arial" w:hAnsi="Arial" w:cs="Arial"/>
          <w:lang w:val="es-ES"/>
        </w:rPr>
        <w:t>Concluyo, entonces, que “lo público” y “lo secreto”</w:t>
      </w:r>
      <w:r>
        <w:rPr>
          <w:rFonts w:ascii="Arial" w:hAnsi="Arial" w:cs="Arial"/>
          <w:lang w:val="es-ES"/>
        </w:rPr>
        <w:t xml:space="preserve"> </w:t>
      </w:r>
      <w:r w:rsidRPr="007A015F">
        <w:rPr>
          <w:rFonts w:ascii="Arial" w:hAnsi="Arial" w:cs="Arial"/>
          <w:lang w:val="es-ES"/>
        </w:rPr>
        <w:t>—</w:t>
      </w:r>
      <w:r>
        <w:rPr>
          <w:rFonts w:ascii="Arial" w:hAnsi="Arial" w:cs="Arial"/>
          <w:lang w:val="es-ES"/>
        </w:rPr>
        <w:t>pares antinómicos, gran dicotomía</w:t>
      </w:r>
      <w:r w:rsidRPr="007A015F">
        <w:rPr>
          <w:rFonts w:ascii="Arial" w:hAnsi="Arial" w:cs="Arial"/>
          <w:lang w:val="es-ES"/>
        </w:rPr>
        <w:t>—</w:t>
      </w:r>
      <w:r w:rsidRPr="00B3531C">
        <w:rPr>
          <w:rFonts w:ascii="Arial" w:hAnsi="Arial" w:cs="Arial"/>
          <w:lang w:val="es-ES"/>
        </w:rPr>
        <w:t xml:space="preserve"> operan como polos que ordenan el derecho. El proceso,</w:t>
      </w:r>
      <w:r>
        <w:rPr>
          <w:rFonts w:ascii="Arial" w:hAnsi="Arial" w:cs="Arial"/>
          <w:lang w:val="es-ES"/>
        </w:rPr>
        <w:t xml:space="preserve"> requiere ser público para ser dispositivo, lo cual constituye garantía de libertad de los ciudadanos</w:t>
      </w:r>
      <w:r w:rsidRPr="00B3531C">
        <w:rPr>
          <w:rFonts w:ascii="Arial" w:hAnsi="Arial" w:cs="Arial"/>
          <w:lang w:val="es-ES"/>
        </w:rPr>
        <w:t xml:space="preserve"> </w:t>
      </w:r>
      <w:r>
        <w:rPr>
          <w:rFonts w:ascii="Arial" w:hAnsi="Arial" w:cs="Arial"/>
          <w:lang w:val="es-ES"/>
        </w:rPr>
        <w:t>en un sistema republicano.</w:t>
      </w:r>
    </w:p>
    <w:p w14:paraId="68ABC9A1" w14:textId="77777777" w:rsidR="0037455D" w:rsidRPr="00B3531C" w:rsidRDefault="0037455D" w:rsidP="0037455D">
      <w:pPr>
        <w:spacing w:line="360" w:lineRule="auto"/>
        <w:jc w:val="both"/>
        <w:rPr>
          <w:rFonts w:ascii="Arial" w:hAnsi="Arial" w:cs="Arial"/>
          <w:lang w:val="es-ES"/>
        </w:rPr>
      </w:pPr>
    </w:p>
    <w:p w14:paraId="6BDC832B" w14:textId="47562EC2" w:rsidR="00F52819" w:rsidRPr="00EA6A65" w:rsidRDefault="00352786" w:rsidP="00EA6A65">
      <w:pPr>
        <w:pStyle w:val="Prrafodelista"/>
        <w:numPr>
          <w:ilvl w:val="0"/>
          <w:numId w:val="11"/>
        </w:numPr>
        <w:spacing w:after="0" w:line="360" w:lineRule="auto"/>
        <w:jc w:val="both"/>
        <w:rPr>
          <w:rFonts w:ascii="Arial" w:hAnsi="Arial" w:cs="Arial"/>
          <w:b/>
          <w:bCs/>
          <w:sz w:val="24"/>
          <w:szCs w:val="24"/>
          <w:u w:val="single"/>
        </w:rPr>
      </w:pPr>
      <w:r w:rsidRPr="007A015F">
        <w:rPr>
          <w:rFonts w:ascii="Arial" w:hAnsi="Arial" w:cs="Arial"/>
          <w:b/>
          <w:bCs/>
          <w:sz w:val="24"/>
          <w:szCs w:val="24"/>
          <w:u w:val="single"/>
        </w:rPr>
        <w:t xml:space="preserve">La </w:t>
      </w:r>
      <w:r>
        <w:rPr>
          <w:rFonts w:ascii="Arial" w:hAnsi="Arial" w:cs="Arial"/>
          <w:b/>
          <w:bCs/>
          <w:sz w:val="24"/>
          <w:szCs w:val="24"/>
          <w:u w:val="single"/>
        </w:rPr>
        <w:t>tecnología y la publicidad procesal</w:t>
      </w:r>
    </w:p>
    <w:p w14:paraId="05A0F1AD" w14:textId="77777777" w:rsidR="00F52819" w:rsidRDefault="00F52819" w:rsidP="00F52819">
      <w:pPr>
        <w:spacing w:line="360" w:lineRule="auto"/>
        <w:ind w:firstLine="1134"/>
        <w:jc w:val="both"/>
        <w:rPr>
          <w:rFonts w:ascii="Arial" w:hAnsi="Arial" w:cs="Arial"/>
          <w:color w:val="FF0000"/>
          <w:lang w:val="es-ES"/>
        </w:rPr>
      </w:pPr>
    </w:p>
    <w:p w14:paraId="56D6435A" w14:textId="7D694ABD" w:rsidR="00352786" w:rsidRPr="00352786" w:rsidRDefault="00352786" w:rsidP="00352786">
      <w:pPr>
        <w:tabs>
          <w:tab w:val="left" w:pos="3261"/>
        </w:tabs>
        <w:spacing w:line="360" w:lineRule="auto"/>
        <w:ind w:left="4536"/>
        <w:jc w:val="both"/>
        <w:rPr>
          <w:rFonts w:ascii="Arial" w:hAnsi="Arial" w:cs="Arial"/>
          <w:color w:val="000000" w:themeColor="text1"/>
          <w:lang w:val="es-ES"/>
        </w:rPr>
      </w:pPr>
      <w:r w:rsidRPr="00352786">
        <w:rPr>
          <w:rFonts w:ascii="Arial" w:hAnsi="Arial" w:cs="Arial"/>
          <w:color w:val="000000" w:themeColor="text1"/>
          <w:lang w:val="es-ES"/>
        </w:rPr>
        <w:t>“</w:t>
      </w:r>
      <w:r w:rsidRPr="00352786">
        <w:rPr>
          <w:rFonts w:ascii="Arial" w:hAnsi="Arial" w:cs="Arial"/>
          <w:i/>
          <w:iCs/>
          <w:color w:val="000000" w:themeColor="text1"/>
          <w:lang w:val="es-ES"/>
        </w:rPr>
        <w:t>Coincide con la noticia de que lo único que progresa con el paso del tiempo es la tecno</w:t>
      </w:r>
      <w:r>
        <w:rPr>
          <w:rFonts w:ascii="Arial" w:hAnsi="Arial" w:cs="Arial"/>
          <w:i/>
          <w:iCs/>
          <w:color w:val="000000" w:themeColor="text1"/>
          <w:lang w:val="es-ES"/>
        </w:rPr>
        <w:t>logía, el hombre no, siempre es el mismo.</w:t>
      </w:r>
      <w:r w:rsidRPr="00352786">
        <w:rPr>
          <w:rFonts w:ascii="Arial" w:hAnsi="Arial" w:cs="Arial"/>
          <w:color w:val="000000" w:themeColor="text1"/>
          <w:lang w:val="es-ES"/>
        </w:rPr>
        <w:t>”</w:t>
      </w:r>
      <w:r w:rsidRPr="007A015F">
        <w:rPr>
          <w:rStyle w:val="Refdenotaalpie"/>
          <w:rFonts w:ascii="Arial" w:hAnsi="Arial" w:cs="Arial"/>
          <w:color w:val="000000" w:themeColor="text1"/>
        </w:rPr>
        <w:footnoteReference w:id="8"/>
      </w:r>
    </w:p>
    <w:p w14:paraId="0A64204A" w14:textId="77777777" w:rsidR="00F52819" w:rsidRPr="00352786" w:rsidRDefault="00F52819" w:rsidP="00F52819">
      <w:pPr>
        <w:spacing w:line="360" w:lineRule="auto"/>
        <w:ind w:firstLine="1134"/>
        <w:jc w:val="both"/>
        <w:rPr>
          <w:rFonts w:ascii="Arial" w:hAnsi="Arial" w:cs="Arial"/>
          <w:color w:val="FF0000"/>
          <w:lang w:val="es-ES"/>
        </w:rPr>
      </w:pPr>
    </w:p>
    <w:p w14:paraId="632DC9B4" w14:textId="77777777" w:rsidR="0002451A" w:rsidRDefault="0002451A" w:rsidP="0037455D">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Así como señalamos en el apartado precedente un paralelismo entre el sistema republicano (de gobierno), el sistema dispositivo (de proceso) y la regla de la publicidad, desde la antigüedad existió una analogía entre esta última y la regla de debate oral. </w:t>
      </w:r>
      <w:r w:rsidR="0037455D" w:rsidRPr="0002451A">
        <w:rPr>
          <w:rFonts w:ascii="Arial" w:hAnsi="Arial" w:cs="Arial"/>
          <w:smallCaps/>
          <w:color w:val="000000" w:themeColor="text1"/>
          <w:lang w:val="es-ES"/>
        </w:rPr>
        <w:t>Montesquieu</w:t>
      </w:r>
      <w:r w:rsidR="0037455D" w:rsidRPr="0037455D">
        <w:rPr>
          <w:rFonts w:ascii="Arial" w:hAnsi="Arial" w:cs="Arial"/>
          <w:color w:val="000000" w:themeColor="text1"/>
          <w:lang w:val="es-ES"/>
        </w:rPr>
        <w:t xml:space="preserve"> señala </w:t>
      </w:r>
      <w:r>
        <w:rPr>
          <w:rFonts w:ascii="Arial" w:hAnsi="Arial" w:cs="Arial"/>
          <w:color w:val="000000" w:themeColor="text1"/>
          <w:lang w:val="es-ES"/>
        </w:rPr>
        <w:t xml:space="preserve">en este sentido </w:t>
      </w:r>
      <w:r w:rsidR="0037455D" w:rsidRPr="0037455D">
        <w:rPr>
          <w:rFonts w:ascii="Arial" w:hAnsi="Arial" w:cs="Arial"/>
          <w:color w:val="000000" w:themeColor="text1"/>
          <w:lang w:val="es-ES"/>
        </w:rPr>
        <w:t xml:space="preserve">que en la Francia antigua los procesos criminales se tramitaban con fuerte impronta de oralidad a los fines de asegurar la publicidad. Recurriendo a Boutillier y a “antiguos prácticos” y manuscritos, observa que antaño los </w:t>
      </w:r>
      <w:r w:rsidR="0037455D" w:rsidRPr="0037455D">
        <w:rPr>
          <w:rFonts w:ascii="Arial" w:hAnsi="Arial" w:cs="Arial"/>
          <w:color w:val="000000" w:themeColor="text1"/>
          <w:lang w:val="es-ES"/>
        </w:rPr>
        <w:lastRenderedPageBreak/>
        <w:t xml:space="preserve">juicios </w:t>
      </w:r>
      <w:r w:rsidR="0037455D" w:rsidRPr="0002451A">
        <w:rPr>
          <w:rFonts w:ascii="Arial" w:hAnsi="Arial" w:cs="Arial"/>
          <w:i/>
          <w:iCs/>
          <w:color w:val="000000" w:themeColor="text1"/>
          <w:lang w:val="es-ES"/>
        </w:rPr>
        <w:t>“(…) se formaban públicamente en Francia, y de un modo poco diferente del de los juicios públicos de los romanos. Esto guardaba relación con la ignorancia de la escritura que era común en aquellos tiempos. El uso de la escritura detiene las ideas y puede hacer que se establezca el secreto; pero cuando no se conoce, la publicidad del procedimiento puede fijar nuestras ideas únicamente.”</w:t>
      </w:r>
      <w:r w:rsidRPr="0002451A">
        <w:rPr>
          <w:rStyle w:val="Refdenotaalpie"/>
          <w:rFonts w:ascii="Arial" w:hAnsi="Arial"/>
          <w:color w:val="000000" w:themeColor="text1"/>
          <w:lang w:val="es-ES"/>
        </w:rPr>
        <w:footnoteReference w:id="9"/>
      </w:r>
      <w:r w:rsidR="0037455D" w:rsidRPr="0002451A">
        <w:rPr>
          <w:rFonts w:ascii="Arial" w:hAnsi="Arial" w:cs="Arial"/>
          <w:color w:val="000000" w:themeColor="text1"/>
          <w:lang w:val="es-ES"/>
        </w:rPr>
        <w:t>.</w:t>
      </w:r>
      <w:r w:rsidR="0037455D" w:rsidRPr="0037455D">
        <w:rPr>
          <w:rFonts w:ascii="Arial" w:hAnsi="Arial" w:cs="Arial"/>
          <w:color w:val="000000" w:themeColor="text1"/>
          <w:lang w:val="es-ES"/>
        </w:rPr>
        <w:t xml:space="preserve"> </w:t>
      </w:r>
    </w:p>
    <w:p w14:paraId="034E4823" w14:textId="2ED9B209" w:rsidR="0037455D" w:rsidRPr="0037455D" w:rsidRDefault="0037455D" w:rsidP="0037455D">
      <w:pPr>
        <w:spacing w:line="360" w:lineRule="auto"/>
        <w:ind w:firstLine="1134"/>
        <w:jc w:val="both"/>
        <w:rPr>
          <w:rFonts w:ascii="Arial" w:hAnsi="Arial" w:cs="Arial"/>
          <w:color w:val="000000" w:themeColor="text1"/>
          <w:lang w:val="es-ES"/>
        </w:rPr>
      </w:pPr>
      <w:r w:rsidRPr="0037455D">
        <w:rPr>
          <w:rFonts w:ascii="Arial" w:hAnsi="Arial" w:cs="Arial"/>
          <w:color w:val="000000" w:themeColor="text1"/>
          <w:lang w:val="es-ES"/>
        </w:rPr>
        <w:t xml:space="preserve">Esta preferencia histórica por la oralidad se comprende en un contexto pre-tipográfico y de baja alfabetización. Con la invención de la imprenta (mediados del siglo XV), la publicidad dejó de depender sólo de la audiencia abierta, cuestión que terminó por expandirse con la difusión digital de los registros escrito. Es por ello </w:t>
      </w:r>
      <w:r w:rsidR="0002451A" w:rsidRPr="0037455D">
        <w:rPr>
          <w:rFonts w:ascii="Arial" w:hAnsi="Arial" w:cs="Arial"/>
          <w:color w:val="000000" w:themeColor="text1"/>
          <w:lang w:val="es-ES"/>
        </w:rPr>
        <w:t>que,</w:t>
      </w:r>
      <w:r w:rsidRPr="0037455D">
        <w:rPr>
          <w:rFonts w:ascii="Arial" w:hAnsi="Arial" w:cs="Arial"/>
          <w:color w:val="000000" w:themeColor="text1"/>
          <w:lang w:val="es-ES"/>
        </w:rPr>
        <w:t xml:space="preserve"> si bien la oralidad sigue siendo un instrumento valioso, los cambios tecnológicos han contrarrestado los inconvenientes que poseía la escritura</w:t>
      </w:r>
      <w:r w:rsidR="004B09BD">
        <w:rPr>
          <w:rFonts w:ascii="Arial" w:hAnsi="Arial" w:cs="Arial"/>
          <w:color w:val="000000" w:themeColor="text1"/>
          <w:lang w:val="es-ES"/>
        </w:rPr>
        <w:t>, reinante en los procesos inquisitivos</w:t>
      </w:r>
      <w:r w:rsidRPr="0037455D">
        <w:rPr>
          <w:rFonts w:ascii="Arial" w:hAnsi="Arial" w:cs="Arial"/>
          <w:color w:val="000000" w:themeColor="text1"/>
          <w:lang w:val="es-ES"/>
        </w:rPr>
        <w:t>.</w:t>
      </w:r>
    </w:p>
    <w:p w14:paraId="127EC27F" w14:textId="271185B4" w:rsidR="00B52005" w:rsidRDefault="00901A04" w:rsidP="000F3BDF">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Continuando</w:t>
      </w:r>
      <w:r w:rsidR="0037455D" w:rsidRPr="004B09BD">
        <w:rPr>
          <w:rFonts w:ascii="Arial" w:hAnsi="Arial" w:cs="Arial"/>
          <w:color w:val="000000" w:themeColor="text1"/>
          <w:lang w:val="es-ES"/>
        </w:rPr>
        <w:t xml:space="preserve"> con </w:t>
      </w:r>
      <w:r w:rsidR="004B09BD" w:rsidRPr="00B52005">
        <w:rPr>
          <w:rFonts w:ascii="Arial" w:hAnsi="Arial" w:cs="Arial"/>
          <w:smallCaps/>
        </w:rPr>
        <w:t>Montesquieu</w:t>
      </w:r>
      <w:r w:rsidR="0037455D" w:rsidRPr="004B09BD">
        <w:rPr>
          <w:rFonts w:ascii="Arial" w:hAnsi="Arial" w:cs="Arial"/>
          <w:color w:val="000000" w:themeColor="text1"/>
          <w:lang w:val="es-ES"/>
        </w:rPr>
        <w:t>, “</w:t>
      </w:r>
      <w:r w:rsidR="0037455D" w:rsidRPr="004B09BD">
        <w:rPr>
          <w:rFonts w:ascii="Arial" w:hAnsi="Arial" w:cs="Arial"/>
          <w:i/>
          <w:iCs/>
          <w:color w:val="000000" w:themeColor="text1"/>
          <w:lang w:val="es-ES"/>
        </w:rPr>
        <w:t>Luego después se introdujo una forma de procedimientos secreta. Todo había sido público, y todo se hizo oculto; los interrogatorios, las informaciones, las pesquisas, las confrontaciones y las conclusiones del ministerio público: esta es la práctica del día. La primera forma de procedimientos convenía a los gobiernos de aquella época, así como la nueva es acomodada a los posteriores</w:t>
      </w:r>
      <w:r w:rsidR="0037455D" w:rsidRPr="004B09BD">
        <w:rPr>
          <w:rFonts w:ascii="Arial" w:hAnsi="Arial" w:cs="Arial"/>
          <w:color w:val="000000" w:themeColor="text1"/>
          <w:lang w:val="es-ES"/>
        </w:rPr>
        <w:t>.”</w:t>
      </w:r>
      <w:r w:rsidR="004B09BD">
        <w:rPr>
          <w:rStyle w:val="Refdenotaalpie"/>
          <w:rFonts w:ascii="Arial" w:hAnsi="Arial"/>
          <w:color w:val="000000" w:themeColor="text1"/>
          <w:lang w:val="es-ES"/>
        </w:rPr>
        <w:footnoteReference w:id="10"/>
      </w:r>
      <w:r w:rsidR="0037455D" w:rsidRPr="004B09BD">
        <w:rPr>
          <w:rFonts w:ascii="Arial" w:hAnsi="Arial" w:cs="Arial"/>
          <w:color w:val="000000" w:themeColor="text1"/>
          <w:lang w:val="es-ES"/>
        </w:rPr>
        <w:t>.</w:t>
      </w:r>
      <w:r w:rsidR="000F3BDF">
        <w:rPr>
          <w:rFonts w:ascii="Arial" w:hAnsi="Arial" w:cs="Arial"/>
          <w:color w:val="000000" w:themeColor="text1"/>
          <w:lang w:val="es-ES"/>
        </w:rPr>
        <w:t xml:space="preserve"> Es por ello que el sistema secreto es inquisitivo: porque privilegia la investigación y la autoridad frente </w:t>
      </w:r>
      <w:r w:rsidR="00716AA8">
        <w:rPr>
          <w:rFonts w:ascii="Arial" w:hAnsi="Arial" w:cs="Arial"/>
          <w:color w:val="000000" w:themeColor="text1"/>
          <w:lang w:val="es-ES"/>
        </w:rPr>
        <w:t xml:space="preserve">al </w:t>
      </w:r>
      <w:r w:rsidR="008F3E2E">
        <w:rPr>
          <w:rFonts w:ascii="Arial" w:hAnsi="Arial" w:cs="Arial"/>
          <w:color w:val="000000" w:themeColor="text1"/>
          <w:lang w:val="es-ES"/>
        </w:rPr>
        <w:t>justiciable</w:t>
      </w:r>
      <w:r w:rsidR="00716AA8">
        <w:rPr>
          <w:rFonts w:ascii="Arial" w:hAnsi="Arial" w:cs="Arial"/>
          <w:color w:val="000000" w:themeColor="text1"/>
          <w:lang w:val="es-ES"/>
        </w:rPr>
        <w:t xml:space="preserve"> y el ejercicio de su </w:t>
      </w:r>
      <w:r w:rsidR="000F3BDF">
        <w:rPr>
          <w:rFonts w:ascii="Arial" w:hAnsi="Arial" w:cs="Arial"/>
          <w:color w:val="000000" w:themeColor="text1"/>
          <w:lang w:val="es-ES"/>
        </w:rPr>
        <w:t>derecho de defensa.</w:t>
      </w:r>
    </w:p>
    <w:p w14:paraId="7E356E30" w14:textId="7DE25F53" w:rsidR="008F3E2E" w:rsidRDefault="00901A04" w:rsidP="000F3BDF">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Con todo</w:t>
      </w:r>
      <w:r w:rsidR="008F3E2E">
        <w:rPr>
          <w:rFonts w:ascii="Arial" w:hAnsi="Arial" w:cs="Arial"/>
          <w:color w:val="000000" w:themeColor="text1"/>
          <w:lang w:val="es-ES"/>
        </w:rPr>
        <w:t xml:space="preserve">, </w:t>
      </w:r>
      <w:r w:rsidRPr="00901A04">
        <w:rPr>
          <w:rFonts w:ascii="Arial" w:hAnsi="Arial" w:cs="Arial"/>
          <w:color w:val="000000" w:themeColor="text1"/>
        </w:rPr>
        <w:t>la tradicional ecuación “oralidad = publicidad” ya no se sostiene sin matices</w:t>
      </w:r>
      <w:r w:rsidR="008F3E2E">
        <w:rPr>
          <w:rFonts w:ascii="Arial" w:hAnsi="Arial" w:cs="Arial"/>
          <w:color w:val="000000" w:themeColor="text1"/>
          <w:lang w:val="es-ES"/>
        </w:rPr>
        <w:t xml:space="preserve">. La tecnología </w:t>
      </w:r>
      <w:r w:rsidR="00AB2FF4">
        <w:rPr>
          <w:rFonts w:ascii="Arial" w:hAnsi="Arial" w:cs="Arial"/>
          <w:color w:val="000000" w:themeColor="text1"/>
          <w:lang w:val="es-ES"/>
        </w:rPr>
        <w:t>actual</w:t>
      </w:r>
      <w:r w:rsidR="008F3E2E">
        <w:rPr>
          <w:rFonts w:ascii="Arial" w:hAnsi="Arial" w:cs="Arial"/>
          <w:color w:val="000000" w:themeColor="text1"/>
          <w:lang w:val="es-ES"/>
        </w:rPr>
        <w:t xml:space="preserve"> permite la difusión tanto en formato </w:t>
      </w:r>
      <w:r w:rsidR="00AB2FF4">
        <w:rPr>
          <w:rFonts w:ascii="Arial" w:hAnsi="Arial" w:cs="Arial"/>
          <w:color w:val="000000" w:themeColor="text1"/>
          <w:lang w:val="es-ES"/>
        </w:rPr>
        <w:t>audiovisual</w:t>
      </w:r>
      <w:r w:rsidR="008F3E2E">
        <w:rPr>
          <w:rFonts w:ascii="Arial" w:hAnsi="Arial" w:cs="Arial"/>
          <w:color w:val="000000" w:themeColor="text1"/>
          <w:lang w:val="es-ES"/>
        </w:rPr>
        <w:t xml:space="preserve"> como en </w:t>
      </w:r>
      <w:r w:rsidR="00AB2FF4">
        <w:rPr>
          <w:rFonts w:ascii="Arial" w:hAnsi="Arial" w:cs="Arial"/>
          <w:color w:val="000000" w:themeColor="text1"/>
          <w:lang w:val="es-ES"/>
        </w:rPr>
        <w:t>texto</w:t>
      </w:r>
      <w:r w:rsidR="008F3E2E">
        <w:rPr>
          <w:rFonts w:ascii="Arial" w:hAnsi="Arial" w:cs="Arial"/>
          <w:color w:val="000000" w:themeColor="text1"/>
          <w:lang w:val="es-ES"/>
        </w:rPr>
        <w:t xml:space="preserve"> escrito, y </w:t>
      </w:r>
      <w:r w:rsidR="00AB2FF4">
        <w:rPr>
          <w:rFonts w:ascii="Arial" w:hAnsi="Arial" w:cs="Arial"/>
          <w:color w:val="000000" w:themeColor="text1"/>
          <w:lang w:val="es-ES"/>
        </w:rPr>
        <w:t>en muchos casos el primero</w:t>
      </w:r>
      <w:r w:rsidR="008F3E2E">
        <w:rPr>
          <w:rFonts w:ascii="Arial" w:hAnsi="Arial" w:cs="Arial"/>
          <w:color w:val="000000" w:themeColor="text1"/>
          <w:lang w:val="es-ES"/>
        </w:rPr>
        <w:t xml:space="preserve"> sería contraproducente por cuanto en cuestión de megabytes es </w:t>
      </w:r>
      <w:r w:rsidR="00AB2FF4">
        <w:rPr>
          <w:rFonts w:ascii="Arial" w:hAnsi="Arial" w:cs="Arial"/>
          <w:color w:val="000000" w:themeColor="text1"/>
          <w:lang w:val="es-ES"/>
        </w:rPr>
        <w:t>considerablemente</w:t>
      </w:r>
      <w:r w:rsidR="008F3E2E">
        <w:rPr>
          <w:rFonts w:ascii="Arial" w:hAnsi="Arial" w:cs="Arial"/>
          <w:color w:val="000000" w:themeColor="text1"/>
          <w:lang w:val="es-ES"/>
        </w:rPr>
        <w:t xml:space="preserve"> más pesado que la letra, </w:t>
      </w:r>
      <w:r w:rsidR="00AB2FF4">
        <w:rPr>
          <w:rFonts w:ascii="Arial" w:hAnsi="Arial" w:cs="Arial"/>
          <w:color w:val="000000" w:themeColor="text1"/>
          <w:lang w:val="es-ES"/>
        </w:rPr>
        <w:t xml:space="preserve">y </w:t>
      </w:r>
      <w:r w:rsidR="008F3E2E">
        <w:rPr>
          <w:rFonts w:ascii="Arial" w:hAnsi="Arial" w:cs="Arial"/>
          <w:color w:val="000000" w:themeColor="text1"/>
          <w:lang w:val="es-ES"/>
        </w:rPr>
        <w:t xml:space="preserve">más aún cuando las posibilidades de </w:t>
      </w:r>
      <w:r w:rsidR="00862CA9">
        <w:rPr>
          <w:rFonts w:ascii="Arial" w:hAnsi="Arial" w:cs="Arial"/>
          <w:color w:val="000000" w:themeColor="text1"/>
          <w:lang w:val="es-ES"/>
        </w:rPr>
        <w:t>adulteración</w:t>
      </w:r>
      <w:r w:rsidR="008F3E2E">
        <w:rPr>
          <w:rFonts w:ascii="Arial" w:hAnsi="Arial" w:cs="Arial"/>
          <w:color w:val="000000" w:themeColor="text1"/>
          <w:lang w:val="es-ES"/>
        </w:rPr>
        <w:t xml:space="preserve"> son cada vez mayores.</w:t>
      </w:r>
    </w:p>
    <w:p w14:paraId="66C774D3" w14:textId="785D4451" w:rsidR="008F3E2E" w:rsidRPr="008F3E2E" w:rsidRDefault="008F3E2E" w:rsidP="000F3BDF">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Ello no ha implicado que la doctrina, de la más importante, siga sosteniendo que hay una correlación entre oralidad y publicidad, y como consecuencia, entre oralidad y sistema dispositivo. Así </w:t>
      </w:r>
      <w:r w:rsidRPr="008F3E2E">
        <w:rPr>
          <w:rFonts w:ascii="Arial" w:hAnsi="Arial" w:cs="Arial"/>
          <w:smallCaps/>
          <w:color w:val="000000" w:themeColor="text1"/>
          <w:lang w:val="es-ES"/>
        </w:rPr>
        <w:t>Ferrajoli</w:t>
      </w:r>
      <w:r>
        <w:rPr>
          <w:rFonts w:ascii="Arial" w:hAnsi="Arial" w:cs="Arial"/>
          <w:smallCaps/>
          <w:color w:val="000000" w:themeColor="text1"/>
          <w:lang w:val="es-ES"/>
        </w:rPr>
        <w:t xml:space="preserve"> </w:t>
      </w:r>
      <w:r>
        <w:rPr>
          <w:rFonts w:ascii="Arial" w:hAnsi="Arial" w:cs="Arial"/>
          <w:color w:val="000000" w:themeColor="text1"/>
          <w:lang w:val="es-ES"/>
        </w:rPr>
        <w:t>sostiene</w:t>
      </w:r>
      <w:r w:rsidR="003C63FE">
        <w:rPr>
          <w:rFonts w:ascii="Arial" w:hAnsi="Arial" w:cs="Arial"/>
          <w:color w:val="000000" w:themeColor="text1"/>
          <w:lang w:val="es-ES"/>
        </w:rPr>
        <w:t xml:space="preserve"> que </w:t>
      </w:r>
      <w:r w:rsidR="00862CA9">
        <w:rPr>
          <w:rFonts w:ascii="Arial" w:hAnsi="Arial" w:cs="Arial"/>
          <w:color w:val="000000" w:themeColor="text1"/>
          <w:lang w:val="es-ES"/>
        </w:rPr>
        <w:t>“</w:t>
      </w:r>
      <w:r w:rsidR="00862CA9" w:rsidRPr="00862CA9">
        <w:rPr>
          <w:rFonts w:ascii="Arial" w:hAnsi="Arial" w:cs="Arial"/>
          <w:i/>
          <w:iCs/>
          <w:color w:val="000000" w:themeColor="text1"/>
          <w:lang w:val="es-ES"/>
        </w:rPr>
        <w:t xml:space="preserve">La oralidad del juicio está estrechamente vinculada a la publicidad, de la que representa la principal garantía. La forma hablada, en efecto, implica necesariamente la publicidad, en cuya ausencia las declaraciones, tanto del imputado como de los testigos, deben ser puestas por escrito; y el secreto, si quiere ser conservado, implica la forma escrita, no pudiendo asociarse a la oralidad, sino que requiere la formación de pruebas con anterioridad al juicio público. Por eso Montesquieu relacionó históricamente con la difusión de la escritura el paso de la forma pública a la secreta en el </w:t>
      </w:r>
      <w:r w:rsidR="00862CA9" w:rsidRPr="00862CA9">
        <w:rPr>
          <w:rFonts w:ascii="Arial" w:hAnsi="Arial" w:cs="Arial"/>
          <w:i/>
          <w:iCs/>
          <w:color w:val="000000" w:themeColor="text1"/>
          <w:lang w:val="es-ES"/>
        </w:rPr>
        <w:lastRenderedPageBreak/>
        <w:t>proceso</w:t>
      </w:r>
      <w:r w:rsidR="00862CA9">
        <w:rPr>
          <w:rFonts w:ascii="Arial" w:hAnsi="Arial" w:cs="Arial"/>
          <w:color w:val="000000" w:themeColor="text1"/>
          <w:lang w:val="es-ES"/>
        </w:rPr>
        <w:t>.”</w:t>
      </w:r>
      <w:r w:rsidR="00862CA9">
        <w:rPr>
          <w:rStyle w:val="Refdenotaalpie"/>
          <w:rFonts w:ascii="Arial" w:hAnsi="Arial"/>
          <w:color w:val="000000" w:themeColor="text1"/>
          <w:lang w:val="es-ES"/>
        </w:rPr>
        <w:footnoteReference w:id="11"/>
      </w:r>
      <w:r w:rsidR="003C63FE">
        <w:rPr>
          <w:rFonts w:ascii="Arial" w:hAnsi="Arial" w:cs="Arial"/>
          <w:color w:val="000000" w:themeColor="text1"/>
          <w:lang w:val="es-ES"/>
        </w:rPr>
        <w:t>.</w:t>
      </w:r>
      <w:r w:rsidR="00AB2FF4">
        <w:rPr>
          <w:rFonts w:ascii="Arial" w:hAnsi="Arial" w:cs="Arial"/>
          <w:color w:val="000000" w:themeColor="text1"/>
          <w:lang w:val="es-ES"/>
        </w:rPr>
        <w:t xml:space="preserve"> El autor del presente trabajo no está de acuerdo con esta tesitura, la cual pudo ser válida en otros tiempos.</w:t>
      </w:r>
    </w:p>
    <w:p w14:paraId="7780CE47" w14:textId="0AC7B039" w:rsidR="00EA6A65" w:rsidRDefault="00EA6A65" w:rsidP="00AD3BB3">
      <w:pPr>
        <w:spacing w:line="360" w:lineRule="auto"/>
        <w:ind w:firstLine="1134"/>
        <w:jc w:val="both"/>
        <w:rPr>
          <w:rFonts w:ascii="Arial" w:hAnsi="Arial" w:cs="Arial"/>
          <w:lang w:val="es-ES"/>
        </w:rPr>
      </w:pPr>
      <w:r w:rsidRPr="00EA6A65">
        <w:rPr>
          <w:rFonts w:ascii="Arial" w:hAnsi="Arial" w:cs="Arial"/>
          <w:color w:val="000000" w:themeColor="text1"/>
          <w:lang w:val="es-ES"/>
        </w:rPr>
        <w:t xml:space="preserve">Ahora bien, que la tecnología habilite una difusión potencialmente masiva no garantiza, </w:t>
      </w:r>
      <w:r w:rsidRPr="00EA6A65">
        <w:rPr>
          <w:rFonts w:ascii="Arial" w:hAnsi="Arial" w:cs="Arial"/>
          <w:i/>
          <w:iCs/>
          <w:color w:val="000000" w:themeColor="text1"/>
          <w:lang w:val="es-ES"/>
        </w:rPr>
        <w:t>per se</w:t>
      </w:r>
      <w:r w:rsidRPr="00EA6A65">
        <w:rPr>
          <w:rFonts w:ascii="Arial" w:hAnsi="Arial" w:cs="Arial"/>
          <w:color w:val="000000" w:themeColor="text1"/>
          <w:lang w:val="es-ES"/>
        </w:rPr>
        <w:t>, su realización. Pese a los avances normativos y a mejoras operativas en la justicia, persisten fricciones informacionales que limitan su eficacia. En términos de la teoría de la esfera pública, la economía de la atención y la intermediación algorítmica transforman el entorno discursivo: la sobreabundancia de datos premia la velocidad, la simplificación y el impacto —el “breaking news”— por sobre la verificación, la argumentación y la deliberación. El resultado es un desplazamiento de la racionalidad comunicativa por lógicas estratégicas que opacan el debate público y, con ello, erosionan la calidad democrática</w:t>
      </w:r>
      <w:r w:rsidR="002431B5">
        <w:rPr>
          <w:rFonts w:ascii="Arial" w:hAnsi="Arial" w:cs="Arial"/>
          <w:lang w:val="es-ES"/>
        </w:rPr>
        <w:t>.</w:t>
      </w:r>
      <w:r w:rsidR="002431B5">
        <w:rPr>
          <w:rStyle w:val="Refdenotaalpie"/>
          <w:rFonts w:ascii="Arial" w:hAnsi="Arial"/>
          <w:lang w:val="es-ES"/>
        </w:rPr>
        <w:footnoteReference w:id="12"/>
      </w:r>
      <w:r>
        <w:rPr>
          <w:rFonts w:ascii="Arial" w:hAnsi="Arial" w:cs="Arial"/>
          <w:lang w:val="es-ES"/>
        </w:rPr>
        <w:t xml:space="preserve"> Por contrapartida, esta opinión pública retroalimenta el ejercicio del poder, en este caso el poder judicial, impactando de lleno en el pensamiento y razonamiento de quienes detentan el poder y sus decisiones.</w:t>
      </w:r>
      <w:r w:rsidR="00486521">
        <w:rPr>
          <w:rStyle w:val="Refdenotaalpie"/>
          <w:rFonts w:ascii="Arial" w:hAnsi="Arial"/>
          <w:lang w:val="es-ES"/>
        </w:rPr>
        <w:footnoteReference w:id="13"/>
      </w:r>
      <w:r w:rsidR="00AD3BB3">
        <w:rPr>
          <w:rFonts w:ascii="Arial" w:hAnsi="Arial" w:cs="Arial"/>
          <w:lang w:val="es-ES"/>
        </w:rPr>
        <w:t xml:space="preserve"> Lo expuesto no implica que en la actualidad todos los procesos sean públicos; </w:t>
      </w:r>
      <w:r w:rsidR="00AD3BB3" w:rsidRPr="00AD3BB3">
        <w:rPr>
          <w:rFonts w:ascii="Arial" w:hAnsi="Arial" w:cs="Arial"/>
          <w:lang w:val="es-ES"/>
        </w:rPr>
        <w:t>afirmo que, aun cuando exista, no basta para asegurar deliberación de calidad</w:t>
      </w:r>
      <w:r w:rsidR="00AD3BB3">
        <w:rPr>
          <w:rFonts w:ascii="Arial" w:hAnsi="Arial" w:cs="Arial"/>
          <w:lang w:val="es-ES"/>
        </w:rPr>
        <w:t>, puesto que s</w:t>
      </w:r>
      <w:r w:rsidR="00AD3BB3" w:rsidRPr="00AD3BB3">
        <w:rPr>
          <w:rFonts w:ascii="Arial" w:hAnsi="Arial" w:cs="Arial"/>
          <w:lang w:val="es-ES"/>
        </w:rPr>
        <w:t>in publicidad, esta es inviable: condición necesaria, no suficiente.</w:t>
      </w:r>
    </w:p>
    <w:p w14:paraId="1297C45F" w14:textId="412F03EC" w:rsidR="00EA6A65" w:rsidRDefault="00AD3BB3" w:rsidP="00AD3BB3">
      <w:pPr>
        <w:spacing w:line="360" w:lineRule="auto"/>
        <w:ind w:firstLine="1134"/>
        <w:jc w:val="both"/>
        <w:rPr>
          <w:rFonts w:ascii="Arial" w:hAnsi="Arial" w:cs="Arial"/>
          <w:lang w:val="es-ES"/>
        </w:rPr>
      </w:pPr>
      <w:r w:rsidRPr="00AD3BB3">
        <w:rPr>
          <w:rFonts w:ascii="Arial" w:hAnsi="Arial" w:cs="Arial"/>
          <w:lang w:val="es-ES"/>
        </w:rPr>
        <w:t>De ahí que el diseño del procedimiento deba incorporar soportes tecnológicos que aseguren la publicidad como regla, en consonancia con el modelo dispositivo y con el principio republicano de gobierno. Ello no exige tecnologías de punta, sino soluciones idóneas —accesibles, interoperables y auditables— que hagan efectiva esa apertura.</w:t>
      </w:r>
    </w:p>
    <w:p w14:paraId="17504E96" w14:textId="5A3ED760" w:rsidR="00EA6A65" w:rsidRDefault="00AD3BB3" w:rsidP="008F2BED">
      <w:pPr>
        <w:spacing w:line="360" w:lineRule="auto"/>
        <w:ind w:firstLine="1134"/>
        <w:jc w:val="both"/>
        <w:rPr>
          <w:rFonts w:ascii="Arial" w:hAnsi="Arial"/>
          <w:lang w:val="es-ES"/>
        </w:rPr>
      </w:pPr>
      <w:r>
        <w:rPr>
          <w:rFonts w:ascii="Arial" w:hAnsi="Arial" w:cs="Arial"/>
          <w:lang w:val="es-ES"/>
        </w:rPr>
        <w:t>En atención a esto último</w:t>
      </w:r>
      <w:r w:rsidR="00DA0ADF">
        <w:rPr>
          <w:rFonts w:ascii="Arial" w:hAnsi="Arial" w:cs="Arial"/>
          <w:lang w:val="es-ES"/>
        </w:rPr>
        <w:t>,</w:t>
      </w:r>
      <w:r>
        <w:rPr>
          <w:rFonts w:ascii="Arial" w:hAnsi="Arial" w:cs="Arial"/>
          <w:lang w:val="es-ES"/>
        </w:rPr>
        <w:t xml:space="preserve"> </w:t>
      </w:r>
      <w:r w:rsidR="00DA0ADF">
        <w:rPr>
          <w:rFonts w:ascii="Arial" w:hAnsi="Arial" w:cs="Arial"/>
          <w:lang w:val="es-ES"/>
        </w:rPr>
        <w:t xml:space="preserve">y como corolario a este apartado, </w:t>
      </w:r>
      <w:r>
        <w:rPr>
          <w:rFonts w:ascii="Arial" w:hAnsi="Arial" w:cs="Arial"/>
          <w:lang w:val="es-ES"/>
        </w:rPr>
        <w:t>no debemos dejar de señalar las innovaciones que ha traído la inteligencia artificial al derecho</w:t>
      </w:r>
      <w:r w:rsidR="00DA0ADF">
        <w:rPr>
          <w:rFonts w:ascii="Arial" w:hAnsi="Arial" w:cs="Arial"/>
          <w:lang w:val="es-ES"/>
        </w:rPr>
        <w:t xml:space="preserve"> impactan de lleno en esta regla procesal, en efecto, </w:t>
      </w:r>
      <w:r w:rsidR="008F2BED">
        <w:rPr>
          <w:rFonts w:ascii="Arial" w:hAnsi="Arial" w:cs="Arial"/>
          <w:lang w:val="es-ES"/>
        </w:rPr>
        <w:t xml:space="preserve">no caben dudas que los modelos de lenguaje generativo (LLM) contienen </w:t>
      </w:r>
      <w:r w:rsidR="00DA0ADF">
        <w:rPr>
          <w:rFonts w:ascii="Arial" w:hAnsi="Arial" w:cs="Arial"/>
          <w:lang w:val="es-ES"/>
        </w:rPr>
        <w:t>los s</w:t>
      </w:r>
      <w:r w:rsidR="00DA0ADF" w:rsidRPr="00DA0ADF">
        <w:rPr>
          <w:rFonts w:ascii="Arial" w:hAnsi="Arial" w:cs="Arial"/>
          <w:lang w:val="es-ES"/>
        </w:rPr>
        <w:t xml:space="preserve">esgos </w:t>
      </w:r>
      <w:r w:rsidR="008F2BED">
        <w:rPr>
          <w:rFonts w:ascii="Arial" w:hAnsi="Arial" w:cs="Arial"/>
          <w:lang w:val="es-ES"/>
        </w:rPr>
        <w:t>cognitivos</w:t>
      </w:r>
      <w:r w:rsidR="00DA0ADF" w:rsidRPr="00DA0ADF">
        <w:rPr>
          <w:rFonts w:ascii="Arial" w:hAnsi="Arial" w:cs="Arial"/>
          <w:lang w:val="es-ES"/>
        </w:rPr>
        <w:t xml:space="preserve"> y representación social </w:t>
      </w:r>
      <w:r w:rsidR="008F2BED">
        <w:rPr>
          <w:rFonts w:ascii="Arial" w:hAnsi="Arial" w:cs="Arial"/>
          <w:lang w:val="es-ES"/>
        </w:rPr>
        <w:t>propia.</w:t>
      </w:r>
      <w:r w:rsidR="008F2BED">
        <w:rPr>
          <w:rStyle w:val="Refdenotaalpie"/>
          <w:rFonts w:ascii="Arial" w:hAnsi="Arial"/>
          <w:lang w:val="es-ES"/>
        </w:rPr>
        <w:footnoteReference w:id="14"/>
      </w:r>
      <w:r w:rsidR="00DA0ADF">
        <w:rPr>
          <w:rFonts w:ascii="Arial" w:hAnsi="Arial" w:cs="Arial"/>
          <w:lang w:val="es-ES"/>
        </w:rPr>
        <w:t xml:space="preserve"> </w:t>
      </w:r>
      <w:r w:rsidR="008F2BED">
        <w:rPr>
          <w:rFonts w:ascii="Arial" w:hAnsi="Arial" w:cs="Arial"/>
          <w:lang w:val="es-ES"/>
        </w:rPr>
        <w:t xml:space="preserve">Es por ello que es requisito necesario a la implementación de esta tecnología en el proceso de mecanismos que garanticen </w:t>
      </w:r>
      <w:r w:rsidR="00DA0ADF">
        <w:rPr>
          <w:rFonts w:ascii="Arial" w:hAnsi="Arial" w:cs="Arial"/>
          <w:lang w:val="es-ES"/>
        </w:rPr>
        <w:t>una transparencia del algoritmo</w:t>
      </w:r>
      <w:r w:rsidR="008F2BED">
        <w:rPr>
          <w:rFonts w:ascii="Arial" w:hAnsi="Arial" w:cs="Arial"/>
          <w:lang w:val="es-ES"/>
        </w:rPr>
        <w:t>: poder acceder a su código de fuente</w:t>
      </w:r>
      <w:r w:rsidR="00DA0ADF">
        <w:rPr>
          <w:rFonts w:ascii="Arial" w:hAnsi="Arial" w:cs="Arial"/>
          <w:lang w:val="es-ES"/>
        </w:rPr>
        <w:t>.</w:t>
      </w:r>
      <w:r w:rsidR="008F2BED">
        <w:rPr>
          <w:rFonts w:ascii="Arial" w:hAnsi="Arial"/>
          <w:lang w:val="es-ES"/>
        </w:rPr>
        <w:t xml:space="preserve"> En este sentido lo ha entendido la Corte Constitucional Colombiana “</w:t>
      </w:r>
      <w:r w:rsidR="008F2BED" w:rsidRPr="008F2BED">
        <w:rPr>
          <w:rFonts w:ascii="Arial" w:hAnsi="Arial"/>
          <w:i/>
          <w:iCs/>
          <w:lang w:val="es-ES"/>
        </w:rPr>
        <w:t xml:space="preserve">Lo que se busca con la transparencia algorítmica es... que el público en general pueda comprender </w:t>
      </w:r>
      <w:r w:rsidR="008F2BED" w:rsidRPr="008F2BED">
        <w:rPr>
          <w:rFonts w:ascii="Arial" w:hAnsi="Arial"/>
          <w:i/>
          <w:iCs/>
          <w:lang w:val="es-ES"/>
        </w:rPr>
        <w:lastRenderedPageBreak/>
        <w:t>cómo los sistemas de toma de decisiones automatizadas (SDA) procesan los datos que capturan y cómo toman decisiones que afectan la vida de las personas. Se trata de un principio con un fin constitucional: democratizar el funcionamiento interno de un sistema de toma de decisión automatizado, para que sea entendible por quienes se ven afectados por su puesta en marcha y operación.</w:t>
      </w:r>
      <w:r w:rsidR="008F2BED">
        <w:rPr>
          <w:rFonts w:ascii="Arial" w:hAnsi="Arial"/>
          <w:lang w:val="es-ES"/>
        </w:rPr>
        <w:t>” (</w:t>
      </w:r>
      <w:r w:rsidR="008F2BED" w:rsidRPr="008F2BED">
        <w:rPr>
          <w:rFonts w:ascii="Arial" w:hAnsi="Arial"/>
          <w:lang w:val="es-ES"/>
        </w:rPr>
        <w:t>Sentencia T-067/25, de</w:t>
      </w:r>
      <w:r w:rsidR="008F2BED">
        <w:rPr>
          <w:rFonts w:ascii="Arial" w:hAnsi="Arial"/>
          <w:lang w:val="es-ES"/>
        </w:rPr>
        <w:t xml:space="preserve"> fecha 26.02.2025</w:t>
      </w:r>
      <w:r w:rsidR="008F2BED">
        <w:rPr>
          <w:rStyle w:val="Refdenotaalpie"/>
          <w:rFonts w:ascii="Arial" w:hAnsi="Arial"/>
          <w:lang w:val="es-ES"/>
        </w:rPr>
        <w:footnoteReference w:id="15"/>
      </w:r>
      <w:r w:rsidR="008F2BED">
        <w:rPr>
          <w:rFonts w:ascii="Arial" w:hAnsi="Arial"/>
          <w:lang w:val="es-ES"/>
        </w:rPr>
        <w:t>).</w:t>
      </w:r>
    </w:p>
    <w:p w14:paraId="4B4F2ED6" w14:textId="296DA068" w:rsidR="00901A04" w:rsidRPr="00901A04" w:rsidRDefault="00901A04" w:rsidP="00901A04">
      <w:pPr>
        <w:spacing w:line="360" w:lineRule="auto"/>
        <w:ind w:firstLine="1134"/>
        <w:jc w:val="both"/>
        <w:rPr>
          <w:rFonts w:ascii="Arial" w:hAnsi="Arial"/>
          <w:lang w:val="es-ES"/>
        </w:rPr>
      </w:pPr>
      <w:r w:rsidRPr="00901A04">
        <w:rPr>
          <w:rFonts w:ascii="Arial" w:hAnsi="Arial"/>
          <w:lang w:val="es-ES"/>
        </w:rPr>
        <w:t xml:space="preserve">En suma, publicidad y oralidad ya no son equivalentes: la primera es regla estructural del proceso en un Estado republicano; la segunda, un medio contingente —útil y muchas veces preferible— para realizarla. La exigencia contemporánea es tecnológicamente </w:t>
      </w:r>
      <w:r w:rsidR="00F07F27" w:rsidRPr="00901A04">
        <w:rPr>
          <w:rFonts w:ascii="Arial" w:hAnsi="Arial"/>
          <w:lang w:val="es-ES"/>
        </w:rPr>
        <w:t>neutra,</w:t>
      </w:r>
      <w:r w:rsidRPr="00901A04">
        <w:rPr>
          <w:rFonts w:ascii="Arial" w:hAnsi="Arial"/>
          <w:lang w:val="es-ES"/>
        </w:rPr>
        <w:t xml:space="preserve"> pero </w:t>
      </w:r>
      <w:r>
        <w:rPr>
          <w:rFonts w:ascii="Arial" w:hAnsi="Arial"/>
          <w:lang w:val="es-ES"/>
        </w:rPr>
        <w:t>requiere que la misma posibilite</w:t>
      </w:r>
      <w:r w:rsidRPr="00901A04">
        <w:rPr>
          <w:rFonts w:ascii="Arial" w:hAnsi="Arial"/>
          <w:lang w:val="es-ES"/>
        </w:rPr>
        <w:t>: garantizar acceso efectivo, integridad, auditabilidad y comprensibilidad pública de las actuaciones, incluidos los componentes algorítmicos cuando existan. Solo así la publicidad deja de ser formalidad y se convierte en condición de posibilidad de una deliberación</w:t>
      </w:r>
      <w:r>
        <w:rPr>
          <w:rFonts w:ascii="Arial" w:hAnsi="Arial"/>
          <w:lang w:val="es-ES"/>
        </w:rPr>
        <w:t xml:space="preserve"> de calidad.</w:t>
      </w:r>
    </w:p>
    <w:p w14:paraId="78507E04" w14:textId="77777777" w:rsidR="00EA6A65" w:rsidRDefault="00EA6A65" w:rsidP="00EA6A65">
      <w:pPr>
        <w:spacing w:line="360" w:lineRule="auto"/>
        <w:ind w:firstLine="1134"/>
        <w:jc w:val="both"/>
        <w:rPr>
          <w:rFonts w:ascii="Arial" w:hAnsi="Arial" w:cs="Arial"/>
          <w:lang w:val="es-ES"/>
        </w:rPr>
      </w:pPr>
    </w:p>
    <w:p w14:paraId="458547FD" w14:textId="58D2E454" w:rsidR="007038D1" w:rsidRPr="007038D1" w:rsidRDefault="00595EA8" w:rsidP="007038D1">
      <w:pPr>
        <w:pStyle w:val="Prrafodelista"/>
        <w:numPr>
          <w:ilvl w:val="0"/>
          <w:numId w:val="11"/>
        </w:numPr>
        <w:spacing w:after="0" w:line="360" w:lineRule="auto"/>
        <w:jc w:val="both"/>
        <w:rPr>
          <w:rFonts w:ascii="Arial" w:hAnsi="Arial" w:cs="Arial"/>
          <w:b/>
          <w:bCs/>
          <w:sz w:val="24"/>
          <w:szCs w:val="24"/>
          <w:u w:val="single"/>
        </w:rPr>
      </w:pPr>
      <w:r w:rsidRPr="00595EA8">
        <w:rPr>
          <w:rFonts w:ascii="Arial" w:hAnsi="Arial" w:cs="Arial"/>
          <w:b/>
          <w:bCs/>
          <w:u w:val="single"/>
        </w:rPr>
        <w:t>Diseño y evaluación de la publicidad procesal: parámetros y beneficios</w:t>
      </w:r>
    </w:p>
    <w:p w14:paraId="4B5E107F" w14:textId="79DAF6E3" w:rsidR="00E62672" w:rsidRPr="00E62672" w:rsidRDefault="00E62672" w:rsidP="00E62672">
      <w:pPr>
        <w:pStyle w:val="Prrafodelista"/>
        <w:numPr>
          <w:ilvl w:val="1"/>
          <w:numId w:val="15"/>
        </w:numPr>
        <w:spacing w:line="360" w:lineRule="auto"/>
        <w:ind w:left="709"/>
        <w:jc w:val="both"/>
        <w:rPr>
          <w:rFonts w:ascii="Arial" w:hAnsi="Arial" w:cs="Arial"/>
          <w:b/>
          <w:bCs/>
          <w:sz w:val="24"/>
          <w:szCs w:val="24"/>
          <w:u w:val="single"/>
        </w:rPr>
      </w:pPr>
      <w:r>
        <w:rPr>
          <w:rFonts w:ascii="Arial" w:hAnsi="Arial" w:cs="Arial"/>
          <w:b/>
          <w:bCs/>
          <w:u w:val="single"/>
        </w:rPr>
        <w:t>P</w:t>
      </w:r>
      <w:r w:rsidRPr="00E62672">
        <w:rPr>
          <w:rFonts w:ascii="Arial" w:hAnsi="Arial" w:cs="Arial"/>
          <w:b/>
          <w:bCs/>
          <w:u w:val="single"/>
        </w:rPr>
        <w:t xml:space="preserve">arámetros </w:t>
      </w:r>
      <w:r>
        <w:rPr>
          <w:rFonts w:ascii="Arial" w:hAnsi="Arial" w:cs="Arial"/>
          <w:b/>
          <w:bCs/>
          <w:u w:val="single"/>
        </w:rPr>
        <w:t xml:space="preserve">para </w:t>
      </w:r>
      <w:r w:rsidRPr="00E62672">
        <w:rPr>
          <w:rFonts w:ascii="Arial" w:hAnsi="Arial" w:cs="Arial"/>
          <w:b/>
          <w:bCs/>
          <w:u w:val="single"/>
        </w:rPr>
        <w:t>evalua</w:t>
      </w:r>
      <w:r>
        <w:rPr>
          <w:rFonts w:ascii="Arial" w:hAnsi="Arial" w:cs="Arial"/>
          <w:b/>
          <w:bCs/>
          <w:u w:val="single"/>
        </w:rPr>
        <w:t>r</w:t>
      </w:r>
      <w:r w:rsidRPr="00E62672">
        <w:rPr>
          <w:rFonts w:ascii="Arial" w:hAnsi="Arial" w:cs="Arial"/>
          <w:b/>
          <w:bCs/>
          <w:u w:val="single"/>
        </w:rPr>
        <w:t xml:space="preserve"> la publicidad procesal</w:t>
      </w:r>
    </w:p>
    <w:p w14:paraId="3DDDAE36" w14:textId="77777777" w:rsidR="00915541" w:rsidRDefault="0025521F" w:rsidP="00595EA8">
      <w:pPr>
        <w:spacing w:line="360" w:lineRule="auto"/>
        <w:ind w:firstLine="1134"/>
        <w:jc w:val="both"/>
        <w:rPr>
          <w:rFonts w:ascii="Arial" w:hAnsi="Arial" w:cs="Arial"/>
          <w:color w:val="000000" w:themeColor="text1"/>
          <w:lang w:val="es-ES"/>
        </w:rPr>
      </w:pPr>
      <w:r w:rsidRPr="0025521F">
        <w:rPr>
          <w:rFonts w:ascii="Arial" w:hAnsi="Arial" w:cs="Arial"/>
          <w:color w:val="000000" w:themeColor="text1"/>
        </w:rPr>
        <w:t>Un diseño adecuado de</w:t>
      </w:r>
      <w:r>
        <w:rPr>
          <w:rFonts w:ascii="Arial" w:hAnsi="Arial" w:cs="Arial"/>
          <w:color w:val="000000" w:themeColor="text1"/>
        </w:rPr>
        <w:t xml:space="preserve">l sistema procesal </w:t>
      </w:r>
      <w:r w:rsidRPr="0025521F">
        <w:rPr>
          <w:rFonts w:ascii="Arial" w:hAnsi="Arial" w:cs="Arial"/>
          <w:color w:val="000000" w:themeColor="text1"/>
        </w:rPr>
        <w:t>promueve la transparencia y la publicidad del sistema y restringe la reserva y el secreto</w:t>
      </w:r>
      <w:r>
        <w:rPr>
          <w:rFonts w:ascii="Arial" w:hAnsi="Arial" w:cs="Arial"/>
          <w:color w:val="000000" w:themeColor="text1"/>
        </w:rPr>
        <w:t xml:space="preserve">. En este acápite nos proponemos elaborar una serie de </w:t>
      </w:r>
      <w:r w:rsidR="00915541">
        <w:rPr>
          <w:rFonts w:ascii="Arial" w:hAnsi="Arial" w:cs="Arial"/>
          <w:color w:val="000000" w:themeColor="text1"/>
        </w:rPr>
        <w:t>reglas</w:t>
      </w:r>
      <w:r>
        <w:rPr>
          <w:rFonts w:ascii="Arial" w:hAnsi="Arial" w:cs="Arial"/>
          <w:color w:val="000000" w:themeColor="text1"/>
        </w:rPr>
        <w:t xml:space="preserve"> para tener en cuenta y evaluar el diseño de</w:t>
      </w:r>
      <w:r w:rsidR="00915541">
        <w:rPr>
          <w:rFonts w:ascii="Arial" w:hAnsi="Arial" w:cs="Arial"/>
          <w:color w:val="000000" w:themeColor="text1"/>
        </w:rPr>
        <w:t xml:space="preserve"> la publicidad procesal, para luego relacionarlos con </w:t>
      </w:r>
      <w:r w:rsidR="00915541" w:rsidRPr="00915541">
        <w:rPr>
          <w:rFonts w:ascii="Arial" w:hAnsi="Arial" w:cs="Arial"/>
          <w:color w:val="000000" w:themeColor="text1"/>
        </w:rPr>
        <w:t>los beneficios de su efectiva implementación</w:t>
      </w:r>
      <w:r w:rsidR="00915541">
        <w:rPr>
          <w:rFonts w:ascii="Arial" w:hAnsi="Arial" w:cs="Arial"/>
          <w:color w:val="000000" w:themeColor="text1"/>
        </w:rPr>
        <w:t xml:space="preserve">. </w:t>
      </w:r>
      <w:r w:rsidR="00915541" w:rsidRPr="00915541">
        <w:rPr>
          <w:rFonts w:ascii="Arial" w:hAnsi="Arial" w:cs="Arial"/>
          <w:color w:val="000000" w:themeColor="text1"/>
          <w:lang w:val="es-ES"/>
        </w:rPr>
        <w:t>Para su formulación tomamos como punto de partida el art. 1 de la Ley 27.275 (“Derecho de acceso a la información pública”): si bien no rige directamente la publicidad del proceso —aunque cabe su aplicación analógica bajo ciertas condiciones—, sus directrices resultan plenamente trasladables, con los ajustes que aquí se proponen.</w:t>
      </w:r>
    </w:p>
    <w:p w14:paraId="28B683E2" w14:textId="1E24BEFB" w:rsidR="00595EA8" w:rsidRDefault="00915541" w:rsidP="00595EA8">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Enumeramos estas directrices: i) </w:t>
      </w:r>
      <w:r w:rsidR="00595EA8">
        <w:rPr>
          <w:rFonts w:ascii="Arial" w:hAnsi="Arial" w:cs="Arial"/>
          <w:color w:val="000000" w:themeColor="text1"/>
          <w:lang w:val="es-ES"/>
        </w:rPr>
        <w:t xml:space="preserve">Presunción de publicidad; ii) </w:t>
      </w:r>
      <w:r w:rsidR="00CD0B62">
        <w:rPr>
          <w:rFonts w:ascii="Arial" w:hAnsi="Arial" w:cs="Arial"/>
          <w:color w:val="000000" w:themeColor="text1"/>
          <w:lang w:val="es-ES"/>
        </w:rPr>
        <w:t xml:space="preserve">Máxima divulgación; iii) </w:t>
      </w:r>
      <w:r w:rsidR="00595EA8">
        <w:rPr>
          <w:rFonts w:ascii="Arial" w:hAnsi="Arial" w:cs="Arial"/>
          <w:color w:val="000000" w:themeColor="text1"/>
          <w:lang w:val="es-ES"/>
        </w:rPr>
        <w:t>Informalismo i</w:t>
      </w:r>
      <w:r w:rsidR="00CD0B62">
        <w:rPr>
          <w:rFonts w:ascii="Arial" w:hAnsi="Arial" w:cs="Arial"/>
          <w:color w:val="000000" w:themeColor="text1"/>
          <w:lang w:val="es-ES"/>
        </w:rPr>
        <w:t>v</w:t>
      </w:r>
      <w:r w:rsidR="00595EA8">
        <w:rPr>
          <w:rFonts w:ascii="Arial" w:hAnsi="Arial" w:cs="Arial"/>
          <w:color w:val="000000" w:themeColor="text1"/>
          <w:lang w:val="es-ES"/>
        </w:rPr>
        <w:t xml:space="preserve">) máximo acceso; v) </w:t>
      </w:r>
      <w:r w:rsidR="001D5843">
        <w:rPr>
          <w:rFonts w:ascii="Arial" w:hAnsi="Arial" w:cs="Arial"/>
          <w:color w:val="000000" w:themeColor="text1"/>
          <w:lang w:val="es-ES"/>
        </w:rPr>
        <w:t xml:space="preserve">Disociación </w:t>
      </w:r>
      <w:r w:rsidR="00595EA8">
        <w:rPr>
          <w:rFonts w:ascii="Arial" w:hAnsi="Arial" w:cs="Arial"/>
          <w:color w:val="000000" w:themeColor="text1"/>
          <w:lang w:val="es-ES"/>
        </w:rPr>
        <w:t>v</w:t>
      </w:r>
      <w:r w:rsidR="00CD0B62">
        <w:rPr>
          <w:rFonts w:ascii="Arial" w:hAnsi="Arial" w:cs="Arial"/>
          <w:color w:val="000000" w:themeColor="text1"/>
          <w:lang w:val="es-ES"/>
        </w:rPr>
        <w:t>i</w:t>
      </w:r>
      <w:r w:rsidR="00595EA8">
        <w:rPr>
          <w:rFonts w:ascii="Arial" w:hAnsi="Arial" w:cs="Arial"/>
          <w:color w:val="000000" w:themeColor="text1"/>
          <w:lang w:val="es-ES"/>
        </w:rPr>
        <w:t xml:space="preserve">) </w:t>
      </w:r>
      <w:r w:rsidR="001D5843">
        <w:rPr>
          <w:rFonts w:ascii="Arial" w:hAnsi="Arial" w:cs="Arial"/>
          <w:color w:val="000000" w:themeColor="text1"/>
          <w:lang w:val="es-ES"/>
        </w:rPr>
        <w:t>Apertura</w:t>
      </w:r>
      <w:r w:rsidR="00595EA8">
        <w:rPr>
          <w:rFonts w:ascii="Arial" w:hAnsi="Arial" w:cs="Arial"/>
          <w:color w:val="000000" w:themeColor="text1"/>
          <w:lang w:val="es-ES"/>
        </w:rPr>
        <w:t>; v</w:t>
      </w:r>
      <w:r w:rsidR="00CD0B62">
        <w:rPr>
          <w:rFonts w:ascii="Arial" w:hAnsi="Arial" w:cs="Arial"/>
          <w:color w:val="000000" w:themeColor="text1"/>
          <w:lang w:val="es-ES"/>
        </w:rPr>
        <w:t>i</w:t>
      </w:r>
      <w:r w:rsidR="00595EA8">
        <w:rPr>
          <w:rFonts w:ascii="Arial" w:hAnsi="Arial" w:cs="Arial"/>
          <w:color w:val="000000" w:themeColor="text1"/>
          <w:lang w:val="es-ES"/>
        </w:rPr>
        <w:t xml:space="preserve">i) </w:t>
      </w:r>
      <w:r w:rsidR="001D5843">
        <w:rPr>
          <w:rFonts w:ascii="Arial" w:hAnsi="Arial" w:cs="Arial"/>
          <w:color w:val="000000" w:themeColor="text1"/>
          <w:lang w:val="es-ES"/>
        </w:rPr>
        <w:t xml:space="preserve">amplia legitimación, </w:t>
      </w:r>
      <w:r w:rsidR="00595EA8">
        <w:rPr>
          <w:rFonts w:ascii="Arial" w:hAnsi="Arial" w:cs="Arial"/>
          <w:color w:val="000000" w:themeColor="text1"/>
          <w:lang w:val="es-ES"/>
        </w:rPr>
        <w:t>no discriminación; v</w:t>
      </w:r>
      <w:r w:rsidR="00CD0B62">
        <w:rPr>
          <w:rFonts w:ascii="Arial" w:hAnsi="Arial" w:cs="Arial"/>
          <w:color w:val="000000" w:themeColor="text1"/>
          <w:lang w:val="es-ES"/>
        </w:rPr>
        <w:t>i</w:t>
      </w:r>
      <w:r w:rsidR="00595EA8">
        <w:rPr>
          <w:rFonts w:ascii="Arial" w:hAnsi="Arial" w:cs="Arial"/>
          <w:color w:val="000000" w:themeColor="text1"/>
          <w:lang w:val="es-ES"/>
        </w:rPr>
        <w:t xml:space="preserve">ii) máxima premura </w:t>
      </w:r>
      <w:r w:rsidR="00CD0B62">
        <w:rPr>
          <w:rFonts w:ascii="Arial" w:hAnsi="Arial" w:cs="Arial"/>
          <w:color w:val="000000" w:themeColor="text1"/>
          <w:lang w:val="es-ES"/>
        </w:rPr>
        <w:t>ix</w:t>
      </w:r>
      <w:r w:rsidR="00595EA8">
        <w:rPr>
          <w:rFonts w:ascii="Arial" w:hAnsi="Arial" w:cs="Arial"/>
          <w:color w:val="000000" w:themeColor="text1"/>
          <w:lang w:val="es-ES"/>
        </w:rPr>
        <w:t>) gratuidad; x) Control; x</w:t>
      </w:r>
      <w:r w:rsidR="00CD0B62">
        <w:rPr>
          <w:rFonts w:ascii="Arial" w:hAnsi="Arial" w:cs="Arial"/>
          <w:color w:val="000000" w:themeColor="text1"/>
          <w:lang w:val="es-ES"/>
        </w:rPr>
        <w:t>i</w:t>
      </w:r>
      <w:r w:rsidR="00595EA8">
        <w:rPr>
          <w:rFonts w:ascii="Arial" w:hAnsi="Arial" w:cs="Arial"/>
          <w:color w:val="000000" w:themeColor="text1"/>
          <w:lang w:val="es-ES"/>
        </w:rPr>
        <w:t>) Alcance limitado de las excepciones.</w:t>
      </w:r>
    </w:p>
    <w:p w14:paraId="72BECCAA" w14:textId="77777777" w:rsidR="000713C9" w:rsidRDefault="00595EA8" w:rsidP="000713C9">
      <w:pPr>
        <w:spacing w:line="360" w:lineRule="auto"/>
        <w:ind w:firstLine="1134"/>
        <w:jc w:val="both"/>
        <w:rPr>
          <w:rFonts w:ascii="Arial" w:hAnsi="Arial" w:cs="Arial"/>
          <w:color w:val="000000" w:themeColor="text1"/>
          <w:lang w:val="es-ES"/>
        </w:rPr>
      </w:pPr>
      <w:r w:rsidRPr="00595EA8">
        <w:rPr>
          <w:rFonts w:ascii="Arial" w:hAnsi="Arial" w:cs="Arial"/>
          <w:color w:val="000000" w:themeColor="text1"/>
          <w:lang w:val="es-ES"/>
        </w:rPr>
        <w:t xml:space="preserve">La </w:t>
      </w:r>
      <w:r>
        <w:rPr>
          <w:rFonts w:ascii="Arial" w:hAnsi="Arial" w:cs="Arial"/>
          <w:color w:val="000000" w:themeColor="text1"/>
          <w:lang w:val="es-ES"/>
        </w:rPr>
        <w:t xml:space="preserve">presunción de publicidad (i) implica que la </w:t>
      </w:r>
      <w:r w:rsidRPr="00595EA8">
        <w:rPr>
          <w:rFonts w:ascii="Arial" w:hAnsi="Arial" w:cs="Arial"/>
          <w:color w:val="000000" w:themeColor="text1"/>
          <w:lang w:val="es-ES"/>
        </w:rPr>
        <w:t>regla es la publicidad</w:t>
      </w:r>
      <w:r w:rsidR="00CD0B62">
        <w:rPr>
          <w:rFonts w:ascii="Arial" w:hAnsi="Arial" w:cs="Arial"/>
          <w:color w:val="000000" w:themeColor="text1"/>
          <w:lang w:val="es-ES"/>
        </w:rPr>
        <w:t xml:space="preserve"> de la serie procedimental</w:t>
      </w:r>
      <w:r w:rsidRPr="00595EA8">
        <w:rPr>
          <w:rFonts w:ascii="Arial" w:hAnsi="Arial" w:cs="Arial"/>
          <w:color w:val="000000" w:themeColor="text1"/>
          <w:lang w:val="es-ES"/>
        </w:rPr>
        <w:t>, la denegatoria al acceso público, su excepción.</w:t>
      </w:r>
      <w:r>
        <w:rPr>
          <w:rFonts w:ascii="Arial" w:hAnsi="Arial" w:cs="Arial"/>
          <w:color w:val="000000" w:themeColor="text1"/>
          <w:lang w:val="es-ES"/>
        </w:rPr>
        <w:t xml:space="preserve"> Toda </w:t>
      </w:r>
      <w:r w:rsidR="00CD0B62">
        <w:rPr>
          <w:rFonts w:ascii="Arial" w:hAnsi="Arial" w:cs="Arial"/>
          <w:color w:val="000000" w:themeColor="text1"/>
          <w:lang w:val="es-ES"/>
        </w:rPr>
        <w:t>la serie procedimental</w:t>
      </w:r>
      <w:r>
        <w:rPr>
          <w:rFonts w:ascii="Arial" w:hAnsi="Arial" w:cs="Arial"/>
          <w:color w:val="000000" w:themeColor="text1"/>
          <w:lang w:val="es-ES"/>
        </w:rPr>
        <w:t xml:space="preserve"> se presume pública.</w:t>
      </w:r>
      <w:r w:rsidR="00CD0B62">
        <w:rPr>
          <w:rFonts w:ascii="Arial" w:hAnsi="Arial" w:cs="Arial"/>
          <w:color w:val="000000" w:themeColor="text1"/>
          <w:lang w:val="es-ES"/>
        </w:rPr>
        <w:t xml:space="preserve"> </w:t>
      </w:r>
    </w:p>
    <w:p w14:paraId="457D88D1" w14:textId="689741F4" w:rsidR="000713C9" w:rsidRDefault="000713C9" w:rsidP="000713C9">
      <w:pPr>
        <w:spacing w:line="360" w:lineRule="auto"/>
        <w:ind w:firstLine="1134"/>
        <w:jc w:val="both"/>
        <w:rPr>
          <w:rFonts w:ascii="Arial" w:hAnsi="Arial" w:cs="Arial"/>
          <w:color w:val="000000" w:themeColor="text1"/>
          <w:lang w:val="es-ES"/>
        </w:rPr>
      </w:pPr>
      <w:r w:rsidRPr="000713C9">
        <w:rPr>
          <w:rFonts w:ascii="Arial" w:hAnsi="Arial" w:cs="Arial"/>
          <w:color w:val="000000" w:themeColor="text1"/>
          <w:lang w:val="es-ES"/>
        </w:rPr>
        <w:lastRenderedPageBreak/>
        <w:t>Por su parte, la máxima divulgación</w:t>
      </w:r>
      <w:r w:rsidR="001D5843">
        <w:rPr>
          <w:rFonts w:ascii="Arial" w:hAnsi="Arial" w:cs="Arial"/>
          <w:color w:val="000000" w:themeColor="text1"/>
          <w:lang w:val="es-ES"/>
        </w:rPr>
        <w:t xml:space="preserve"> </w:t>
      </w:r>
      <w:r w:rsidR="001D5843" w:rsidRPr="000713C9">
        <w:rPr>
          <w:rFonts w:ascii="Arial" w:hAnsi="Arial" w:cs="Arial"/>
          <w:color w:val="000000" w:themeColor="text1"/>
          <w:lang w:val="es-ES"/>
        </w:rPr>
        <w:t>(ii)</w:t>
      </w:r>
      <w:r w:rsidRPr="000713C9">
        <w:rPr>
          <w:rFonts w:ascii="Arial" w:hAnsi="Arial" w:cs="Arial"/>
          <w:color w:val="000000" w:themeColor="text1"/>
          <w:lang w:val="es-ES"/>
        </w:rPr>
        <w:t xml:space="preserve"> impone publicidad por defecto de todos los procesos —con excepciones legales estrictas—. No es suficiente una apertura parcial (algunos expedientes o sentencias): la regla es el acceso a todos.</w:t>
      </w:r>
      <w:r w:rsidR="001D5843">
        <w:rPr>
          <w:rStyle w:val="Refdenotaalpie"/>
          <w:rFonts w:ascii="Arial" w:hAnsi="Arial"/>
          <w:color w:val="000000" w:themeColor="text1"/>
          <w:lang w:val="es-ES"/>
        </w:rPr>
        <w:footnoteReference w:id="16"/>
      </w:r>
    </w:p>
    <w:p w14:paraId="19E99099" w14:textId="40B5DEF2" w:rsidR="000713C9" w:rsidRDefault="000713C9" w:rsidP="000713C9">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La regla del informalismo (iii) implica que no deben existir burocracias</w:t>
      </w:r>
      <w:r w:rsidR="007C4D73">
        <w:rPr>
          <w:rFonts w:ascii="Arial" w:hAnsi="Arial" w:cs="Arial"/>
          <w:color w:val="000000" w:themeColor="text1"/>
          <w:lang w:val="es-ES"/>
        </w:rPr>
        <w:t xml:space="preserve"> o ritualismos</w:t>
      </w:r>
      <w:r>
        <w:rPr>
          <w:rFonts w:ascii="Arial" w:hAnsi="Arial" w:cs="Arial"/>
          <w:color w:val="000000" w:themeColor="text1"/>
          <w:lang w:val="es-ES"/>
        </w:rPr>
        <w:t xml:space="preserve"> inútiles que restrinjan el acceso al expediente o sentencia.</w:t>
      </w:r>
      <w:r w:rsidR="007C4D73">
        <w:rPr>
          <w:rStyle w:val="Refdenotaalpie"/>
          <w:rFonts w:ascii="Arial" w:hAnsi="Arial"/>
          <w:color w:val="000000" w:themeColor="text1"/>
          <w:lang w:val="es-ES"/>
        </w:rPr>
        <w:footnoteReference w:id="17"/>
      </w:r>
    </w:p>
    <w:p w14:paraId="3EC5564F" w14:textId="46AB6490" w:rsidR="00BC36E4" w:rsidRDefault="00BC36E4" w:rsidP="00BC36E4">
      <w:pPr>
        <w:spacing w:line="360" w:lineRule="auto"/>
        <w:ind w:firstLine="1134"/>
        <w:jc w:val="both"/>
        <w:rPr>
          <w:rFonts w:ascii="Arial" w:hAnsi="Arial" w:cs="Arial"/>
          <w:color w:val="000000" w:themeColor="text1"/>
          <w:lang w:val="es-ES"/>
        </w:rPr>
      </w:pPr>
      <w:r w:rsidRPr="00BC36E4">
        <w:rPr>
          <w:rFonts w:ascii="Arial" w:hAnsi="Arial" w:cs="Arial"/>
          <w:color w:val="000000" w:themeColor="text1"/>
          <w:lang w:val="es-ES"/>
        </w:rPr>
        <w:t>El máximo acceso</w:t>
      </w:r>
      <w:r>
        <w:rPr>
          <w:rFonts w:ascii="Arial" w:hAnsi="Arial" w:cs="Arial"/>
          <w:color w:val="000000" w:themeColor="text1"/>
          <w:lang w:val="es-ES"/>
        </w:rPr>
        <w:t xml:space="preserve"> </w:t>
      </w:r>
      <w:r w:rsidRPr="00BC36E4">
        <w:rPr>
          <w:rFonts w:ascii="Arial" w:hAnsi="Arial" w:cs="Arial"/>
          <w:color w:val="000000" w:themeColor="text1"/>
          <w:lang w:val="es-ES"/>
        </w:rPr>
        <w:t>(iv) exige que la información sea accesible en su integridad, es decir, en todas sus partes y anexos. Así, mientras la máxima divulgación</w:t>
      </w:r>
      <w:r>
        <w:rPr>
          <w:rFonts w:ascii="Arial" w:hAnsi="Arial" w:cs="Arial"/>
          <w:color w:val="000000" w:themeColor="text1"/>
          <w:lang w:val="es-ES"/>
        </w:rPr>
        <w:t xml:space="preserve"> </w:t>
      </w:r>
      <w:r w:rsidRPr="00BC36E4">
        <w:rPr>
          <w:rFonts w:ascii="Arial" w:hAnsi="Arial" w:cs="Arial"/>
          <w:color w:val="000000" w:themeColor="text1"/>
          <w:lang w:val="es-ES"/>
        </w:rPr>
        <w:t xml:space="preserve">(ii) impone que todos los expedientes sean accesibles por regla, el máximo acceso demanda que, una vez disponible un expediente, se habilite el acceso a todo su contenido —salvo las excepciones legales—. A su vez, la regla de Disociación (v) permite compatibilizar publicidad y reservas puntuales: se publica el expediente o la sentencia y se </w:t>
      </w:r>
      <w:r>
        <w:rPr>
          <w:rFonts w:ascii="Arial" w:hAnsi="Arial" w:cs="Arial"/>
          <w:color w:val="000000" w:themeColor="text1"/>
          <w:lang w:val="es-ES"/>
        </w:rPr>
        <w:t xml:space="preserve">restringe el acceso, </w:t>
      </w:r>
      <w:r w:rsidRPr="00BC36E4">
        <w:rPr>
          <w:rFonts w:ascii="Arial" w:hAnsi="Arial" w:cs="Arial"/>
          <w:color w:val="000000" w:themeColor="text1"/>
          <w:lang w:val="es-ES"/>
        </w:rPr>
        <w:t>testan</w:t>
      </w:r>
      <w:r>
        <w:rPr>
          <w:rFonts w:ascii="Arial" w:hAnsi="Arial" w:cs="Arial"/>
          <w:color w:val="000000" w:themeColor="text1"/>
          <w:lang w:val="es-ES"/>
        </w:rPr>
        <w:t xml:space="preserve"> o </w:t>
      </w:r>
      <w:r w:rsidRPr="00BC36E4">
        <w:rPr>
          <w:rFonts w:ascii="Arial" w:hAnsi="Arial" w:cs="Arial"/>
          <w:color w:val="000000" w:themeColor="text1"/>
          <w:lang w:val="es-ES"/>
        </w:rPr>
        <w:t>anonimizan únicamente los segmentos exceptuados (p. ej., estados contables confidenciales o datos sensibles).</w:t>
      </w:r>
    </w:p>
    <w:p w14:paraId="70DEDD20" w14:textId="7A2053F3" w:rsidR="00BC36E4" w:rsidRDefault="00BC36E4" w:rsidP="00BC36E4">
      <w:pPr>
        <w:spacing w:line="360" w:lineRule="auto"/>
        <w:ind w:firstLine="1134"/>
        <w:jc w:val="both"/>
        <w:rPr>
          <w:rFonts w:ascii="Arial" w:hAnsi="Arial" w:cs="Arial"/>
          <w:color w:val="000000" w:themeColor="text1"/>
        </w:rPr>
      </w:pPr>
      <w:r>
        <w:rPr>
          <w:rFonts w:ascii="Arial" w:hAnsi="Arial" w:cs="Arial"/>
          <w:color w:val="000000" w:themeColor="text1"/>
          <w:lang w:val="es-ES"/>
        </w:rPr>
        <w:t>La regla de la apertura (v</w:t>
      </w:r>
      <w:r w:rsidR="00BB3E33">
        <w:rPr>
          <w:rFonts w:ascii="Arial" w:hAnsi="Arial" w:cs="Arial"/>
          <w:color w:val="000000" w:themeColor="text1"/>
          <w:lang w:val="es-ES"/>
        </w:rPr>
        <w:t>i</w:t>
      </w:r>
      <w:r>
        <w:rPr>
          <w:rFonts w:ascii="Arial" w:hAnsi="Arial" w:cs="Arial"/>
          <w:color w:val="000000" w:themeColor="text1"/>
          <w:lang w:val="es-ES"/>
        </w:rPr>
        <w:t xml:space="preserve">) </w:t>
      </w:r>
      <w:r w:rsidR="009A2455">
        <w:rPr>
          <w:rFonts w:ascii="Arial" w:hAnsi="Arial" w:cs="Arial"/>
          <w:color w:val="000000" w:themeColor="text1"/>
          <w:lang w:val="es-ES"/>
        </w:rPr>
        <w:t xml:space="preserve">implica en palabras de la ley </w:t>
      </w:r>
      <w:r w:rsidR="009A2455" w:rsidRPr="00915541">
        <w:rPr>
          <w:rFonts w:ascii="Arial" w:hAnsi="Arial" w:cs="Arial"/>
          <w:color w:val="000000" w:themeColor="text1"/>
          <w:lang w:val="es-ES"/>
        </w:rPr>
        <w:t>27.275</w:t>
      </w:r>
      <w:r w:rsidR="009A2455">
        <w:rPr>
          <w:rFonts w:ascii="Arial" w:hAnsi="Arial" w:cs="Arial"/>
          <w:color w:val="000000" w:themeColor="text1"/>
          <w:lang w:val="es-ES"/>
        </w:rPr>
        <w:t xml:space="preserve"> que</w:t>
      </w:r>
      <w:r w:rsidR="009A2455" w:rsidRPr="00915541">
        <w:rPr>
          <w:rFonts w:ascii="Arial" w:hAnsi="Arial" w:cs="Arial"/>
          <w:color w:val="000000" w:themeColor="text1"/>
          <w:lang w:val="es-ES"/>
        </w:rPr>
        <w:t xml:space="preserve"> </w:t>
      </w:r>
      <w:r w:rsidR="009A2455">
        <w:rPr>
          <w:rFonts w:ascii="Arial" w:hAnsi="Arial" w:cs="Arial"/>
          <w:color w:val="000000" w:themeColor="text1"/>
          <w:lang w:val="es-ES"/>
        </w:rPr>
        <w:t>“</w:t>
      </w:r>
      <w:r w:rsidR="009A2455" w:rsidRPr="009A2455">
        <w:rPr>
          <w:rFonts w:ascii="Arial" w:hAnsi="Arial" w:cs="Arial" w:hint="cs"/>
          <w:i/>
          <w:iCs/>
          <w:color w:val="000000" w:themeColor="text1"/>
        </w:rPr>
        <w:t>la información debe ser accesible en formatos electrónicos abiertos, que faciliten su procesamiento por medios automáticos que permitan su reutilización o su redistribución por parte de terceros</w:t>
      </w:r>
      <w:r w:rsidR="009A2455">
        <w:rPr>
          <w:rFonts w:ascii="Arial" w:hAnsi="Arial" w:cs="Arial"/>
          <w:color w:val="000000" w:themeColor="text1"/>
        </w:rPr>
        <w:t>”. Tal como lo hemos explicado en el capítulo precedente, el estado actual de la tecnología permite con creces hacer público el acceso a los expedientes y sentencias</w:t>
      </w:r>
      <w:r w:rsidR="00BB3E33">
        <w:rPr>
          <w:rFonts w:ascii="Arial" w:hAnsi="Arial" w:cs="Arial"/>
          <w:color w:val="000000" w:themeColor="text1"/>
        </w:rPr>
        <w:t xml:space="preserve"> y no existen impedimentos para llevar a cabo tal cometido</w:t>
      </w:r>
      <w:r w:rsidR="009A2455">
        <w:rPr>
          <w:rFonts w:ascii="Arial" w:hAnsi="Arial" w:cs="Arial"/>
          <w:color w:val="000000" w:themeColor="text1"/>
        </w:rPr>
        <w:t>.</w:t>
      </w:r>
      <w:r w:rsidR="00151984">
        <w:rPr>
          <w:rFonts w:ascii="Arial" w:hAnsi="Arial" w:cs="Arial"/>
          <w:color w:val="000000" w:themeColor="text1"/>
        </w:rPr>
        <w:t xml:space="preserve"> Se añade que los expedientes deben contener sus </w:t>
      </w:r>
      <w:r w:rsidR="00151984" w:rsidRPr="00151984">
        <w:rPr>
          <w:rFonts w:ascii="Arial" w:hAnsi="Arial" w:cs="Arial"/>
          <w:color w:val="000000" w:themeColor="text1"/>
        </w:rPr>
        <w:t>metadatos y sello de tiempo</w:t>
      </w:r>
      <w:r w:rsidR="00151984">
        <w:rPr>
          <w:rFonts w:ascii="Arial" w:hAnsi="Arial" w:cs="Arial"/>
          <w:color w:val="000000" w:themeColor="text1"/>
        </w:rPr>
        <w:t xml:space="preserve"> que garanticen su inalterabilidad.</w:t>
      </w:r>
    </w:p>
    <w:p w14:paraId="55BD4C8D" w14:textId="337CBC03" w:rsidR="00915541" w:rsidRDefault="00BB3E33" w:rsidP="00BB3E33">
      <w:pPr>
        <w:spacing w:line="360" w:lineRule="auto"/>
        <w:ind w:firstLine="1134"/>
        <w:jc w:val="both"/>
        <w:rPr>
          <w:rFonts w:ascii="Arial" w:hAnsi="Arial" w:cs="Arial"/>
          <w:color w:val="000000" w:themeColor="text1"/>
          <w:lang w:val="es-ES"/>
        </w:rPr>
      </w:pPr>
      <w:r>
        <w:rPr>
          <w:rFonts w:ascii="Arial" w:hAnsi="Arial" w:cs="Arial"/>
          <w:color w:val="000000" w:themeColor="text1"/>
        </w:rPr>
        <w:t>La regla de la amplia legitimación y no discriminación (vii), se vincula con el derecho de igualdad (art. 16 C.N.), e implica que “</w:t>
      </w:r>
      <w:r w:rsidRPr="00BB3E33">
        <w:rPr>
          <w:rFonts w:ascii="Arial" w:hAnsi="Arial" w:cs="Arial"/>
          <w:i/>
          <w:iCs/>
          <w:color w:val="000000" w:themeColor="text1"/>
        </w:rPr>
        <w:t xml:space="preserve">La legitimación para presentar solicitudes de acceso debe ser entendida en un sentido amplio, sin necesidad de exigir un interés </w:t>
      </w:r>
      <w:r w:rsidRPr="00BB3E33">
        <w:rPr>
          <w:rFonts w:ascii="Arial" w:hAnsi="Arial" w:cs="Arial"/>
          <w:i/>
          <w:iCs/>
          <w:color w:val="000000" w:themeColor="text1"/>
        </w:rPr>
        <w:lastRenderedPageBreak/>
        <w:t>calificado del requirente ya que se trata de información de carácter público, que no pertenece al Estado sino que es del pueblo de la Nación Argentina y, en consecuencia, la sola condición de integrante de la comunidad resulta suficiente para justificar la solicitud.”</w:t>
      </w:r>
      <w:r w:rsidRPr="00BB3E33">
        <w:rPr>
          <w:rFonts w:ascii="Arial" w:hAnsi="Arial" w:cs="Arial"/>
          <w:color w:val="000000" w:themeColor="text1"/>
        </w:rPr>
        <w:t xml:space="preserve"> (Sentencia de fecha 07.03.2019, dictada en autos “Savoia, Claudio Martín c/ EN - Secretaría Legal y Técnica (dto. 1172/03) s/ amparo ley 16.986”, Fallos: 342:208).</w:t>
      </w:r>
      <w:r w:rsidR="00151984">
        <w:rPr>
          <w:rFonts w:ascii="Arial" w:hAnsi="Arial" w:cs="Arial"/>
          <w:color w:val="000000" w:themeColor="text1"/>
        </w:rPr>
        <w:t xml:space="preserve"> </w:t>
      </w:r>
      <w:r w:rsidR="00151984" w:rsidRPr="00151984">
        <w:rPr>
          <w:rFonts w:ascii="Arial" w:hAnsi="Arial" w:cs="Arial"/>
          <w:color w:val="000000" w:themeColor="text1"/>
        </w:rPr>
        <w:t>Esta regla es decisiva porque, cuando no rige la (ii) máxima divulgación, los protocolos de sentencias y la información de los expedientes se convierten en bienes escasos. Esa escasez habilita asimetrías e incentivos a la negociación de accesos: actores con mayor influencia obtienen ventaja; los grandes estudios acceden donde los más pequeños no; las editoriales capturan rentas de acceso al añadir valor por el mero control de la información; y se consolida una relación desigual entre la abogacía y el Poder Judicial cuando este último retiene la información de modo exclusivo. La publicidad por defecto neutraliza esas desigualdades, reduce la captura informativa y fortalece la igualdad de armas y la transparencia del sistema</w:t>
      </w:r>
      <w:r w:rsidR="00151984">
        <w:rPr>
          <w:rFonts w:ascii="Arial" w:hAnsi="Arial" w:cs="Arial"/>
          <w:color w:val="000000" w:themeColor="text1"/>
        </w:rPr>
        <w:t>.</w:t>
      </w:r>
      <w:r w:rsidR="00007E16">
        <w:rPr>
          <w:rStyle w:val="Refdenotaalpie"/>
          <w:rFonts w:ascii="Arial" w:hAnsi="Arial"/>
          <w:color w:val="000000" w:themeColor="text1"/>
        </w:rPr>
        <w:footnoteReference w:id="18"/>
      </w:r>
    </w:p>
    <w:p w14:paraId="49B6635A" w14:textId="5270B6B7" w:rsidR="00915541" w:rsidRDefault="00BB3E33" w:rsidP="0015198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La máxima premura (viii) implica que </w:t>
      </w:r>
      <w:r w:rsidRPr="00BB3E33">
        <w:rPr>
          <w:rFonts w:ascii="Arial" w:hAnsi="Arial" w:cs="Arial"/>
          <w:color w:val="000000" w:themeColor="text1"/>
        </w:rPr>
        <w:t>la publicación</w:t>
      </w:r>
      <w:r>
        <w:rPr>
          <w:rFonts w:ascii="Arial" w:hAnsi="Arial" w:cs="Arial"/>
          <w:color w:val="000000" w:themeColor="text1"/>
        </w:rPr>
        <w:t xml:space="preserve"> de expedientes y sentencias</w:t>
      </w:r>
      <w:r w:rsidRPr="00BB3E33">
        <w:rPr>
          <w:rFonts w:ascii="Arial" w:hAnsi="Arial" w:cs="Arial"/>
          <w:color w:val="000000" w:themeColor="text1"/>
        </w:rPr>
        <w:t xml:space="preserve"> ha de ser rápida y automatizada (</w:t>
      </w:r>
      <w:r>
        <w:rPr>
          <w:rFonts w:ascii="Arial" w:hAnsi="Arial" w:cs="Arial"/>
          <w:color w:val="000000" w:themeColor="text1"/>
        </w:rPr>
        <w:t xml:space="preserve">atento el estado actual de la </w:t>
      </w:r>
      <w:r w:rsidR="00151984">
        <w:rPr>
          <w:rFonts w:ascii="Arial" w:hAnsi="Arial" w:cs="Arial"/>
          <w:color w:val="000000" w:themeColor="text1"/>
        </w:rPr>
        <w:t>tecnología)</w:t>
      </w:r>
      <w:r w:rsidRPr="00BB3E33">
        <w:rPr>
          <w:rFonts w:ascii="Arial" w:hAnsi="Arial" w:cs="Arial"/>
          <w:color w:val="000000" w:themeColor="text1"/>
        </w:rPr>
        <w:t>, garantizando oportunidad suficiente para mantener el valor de la información, sin perjuicio de las reservas legales</w:t>
      </w:r>
      <w:r>
        <w:rPr>
          <w:rFonts w:ascii="Arial" w:hAnsi="Arial" w:cs="Arial"/>
          <w:color w:val="000000" w:themeColor="text1"/>
        </w:rPr>
        <w:t>.</w:t>
      </w:r>
    </w:p>
    <w:p w14:paraId="22A372E4" w14:textId="645E29BA" w:rsidR="00151984" w:rsidRDefault="00151984" w:rsidP="0015198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La gratuidad (ix) en el acceso a los expedientes y sentencias debe ser gratuito. </w:t>
      </w:r>
      <w:r w:rsidR="00007E16">
        <w:rPr>
          <w:rFonts w:ascii="Arial" w:hAnsi="Arial" w:cs="Arial"/>
          <w:color w:val="000000" w:themeColor="text1"/>
          <w:lang w:val="es-ES"/>
        </w:rPr>
        <w:t>La gratuidad no implica que no</w:t>
      </w:r>
      <w:r w:rsidR="005736D9">
        <w:rPr>
          <w:rFonts w:ascii="Arial" w:hAnsi="Arial" w:cs="Arial"/>
          <w:color w:val="000000" w:themeColor="text1"/>
          <w:lang w:val="es-ES"/>
        </w:rPr>
        <w:t xml:space="preserve"> tenga un costo su reproducción el cual corre a cargo del requirente, lo que no debe tener un costo es la información en </w:t>
      </w:r>
      <w:r w:rsidR="00847296">
        <w:rPr>
          <w:rFonts w:ascii="Arial" w:hAnsi="Arial" w:cs="Arial"/>
          <w:color w:val="000000" w:themeColor="text1"/>
          <w:lang w:val="es-ES"/>
        </w:rPr>
        <w:t>sí</w:t>
      </w:r>
      <w:r w:rsidR="005736D9">
        <w:rPr>
          <w:rFonts w:ascii="Arial" w:hAnsi="Arial" w:cs="Arial"/>
          <w:color w:val="000000" w:themeColor="text1"/>
          <w:lang w:val="es-ES"/>
        </w:rPr>
        <w:t>. Repetimos que, con los avances tecnológicos, no existen impedimentos a que no los tenga.</w:t>
      </w:r>
    </w:p>
    <w:p w14:paraId="3E54F712" w14:textId="77777777" w:rsidR="00847296" w:rsidRDefault="00847296" w:rsidP="0015198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El control (x) implica que exista un sistema recursivo que permita revisar las decisiones que afecten a la publicidad del proceso o las sentencias.</w:t>
      </w:r>
    </w:p>
    <w:p w14:paraId="6FBBBADB" w14:textId="54996E99" w:rsidR="00847296" w:rsidRDefault="00847296" w:rsidP="00151984">
      <w:pPr>
        <w:spacing w:line="360" w:lineRule="auto"/>
        <w:ind w:firstLine="1134"/>
        <w:jc w:val="both"/>
        <w:rPr>
          <w:rFonts w:ascii="Arial" w:hAnsi="Arial" w:cs="Arial"/>
          <w:color w:val="000000" w:themeColor="text1"/>
        </w:rPr>
      </w:pPr>
      <w:r>
        <w:rPr>
          <w:rFonts w:ascii="Arial" w:hAnsi="Arial" w:cs="Arial"/>
          <w:color w:val="000000" w:themeColor="text1"/>
          <w:lang w:val="es-ES"/>
        </w:rPr>
        <w:t xml:space="preserve">En cuanto a las excepciones a todas estas reglas (xi) parafraseando lo que dice la ley </w:t>
      </w:r>
      <w:r w:rsidRPr="00915541">
        <w:rPr>
          <w:rFonts w:ascii="Arial" w:hAnsi="Arial" w:cs="Arial"/>
          <w:color w:val="000000" w:themeColor="text1"/>
          <w:lang w:val="es-ES"/>
        </w:rPr>
        <w:t>27.275</w:t>
      </w:r>
      <w:r>
        <w:rPr>
          <w:rFonts w:ascii="Arial" w:hAnsi="Arial" w:cs="Arial"/>
          <w:color w:val="000000" w:themeColor="text1"/>
          <w:lang w:val="es-ES"/>
        </w:rPr>
        <w:t xml:space="preserve">, por cuanto entendemos que es sumamente clara, decimos que los </w:t>
      </w:r>
      <w:r w:rsidRPr="00847296">
        <w:rPr>
          <w:rFonts w:ascii="Arial" w:hAnsi="Arial" w:cs="Arial" w:hint="cs"/>
          <w:color w:val="000000" w:themeColor="text1"/>
        </w:rPr>
        <w:t xml:space="preserve">límites al derecho de acceso </w:t>
      </w:r>
      <w:r>
        <w:rPr>
          <w:rFonts w:ascii="Arial" w:hAnsi="Arial" w:cs="Arial"/>
          <w:color w:val="000000" w:themeColor="text1"/>
        </w:rPr>
        <w:t>los expedientes y las sentencias</w:t>
      </w:r>
      <w:r w:rsidRPr="00847296">
        <w:rPr>
          <w:rFonts w:ascii="Arial" w:hAnsi="Arial" w:cs="Arial" w:hint="cs"/>
          <w:color w:val="000000" w:themeColor="text1"/>
        </w:rPr>
        <w:t xml:space="preserve"> deben ser excepcionales, establecidos previamente conforme a lo estipulado en esta ley, y formulados en términos claros y precisos, quedando la responsabilidad de demostrar la validez de cualquier restricción al acceso al </w:t>
      </w:r>
      <w:r>
        <w:rPr>
          <w:rFonts w:ascii="Arial" w:hAnsi="Arial" w:cs="Arial"/>
          <w:color w:val="000000" w:themeColor="text1"/>
        </w:rPr>
        <w:t>expediente o sentencia queda</w:t>
      </w:r>
      <w:r w:rsidRPr="00847296">
        <w:rPr>
          <w:rFonts w:ascii="Arial" w:hAnsi="Arial" w:cs="Arial" w:hint="cs"/>
          <w:color w:val="000000" w:themeColor="text1"/>
        </w:rPr>
        <w:t xml:space="preserve"> a cargo del sujeto al que se le requiere</w:t>
      </w:r>
      <w:r>
        <w:rPr>
          <w:rFonts w:ascii="Arial" w:hAnsi="Arial" w:cs="Arial"/>
          <w:color w:val="000000" w:themeColor="text1"/>
        </w:rPr>
        <w:t>.</w:t>
      </w:r>
    </w:p>
    <w:p w14:paraId="31C2BFB1" w14:textId="1F6FA07F" w:rsidR="00847296" w:rsidRDefault="00847296" w:rsidP="00847296">
      <w:pPr>
        <w:spacing w:line="360" w:lineRule="auto"/>
        <w:ind w:firstLine="1134"/>
        <w:jc w:val="both"/>
        <w:rPr>
          <w:rFonts w:ascii="Arial" w:hAnsi="Arial" w:cs="Arial"/>
          <w:color w:val="000000" w:themeColor="text1"/>
        </w:rPr>
      </w:pPr>
      <w:r>
        <w:rPr>
          <w:rFonts w:ascii="Arial" w:hAnsi="Arial" w:cs="Arial"/>
          <w:color w:val="000000" w:themeColor="text1"/>
        </w:rPr>
        <w:lastRenderedPageBreak/>
        <w:t xml:space="preserve">En este sentido, no es una potestad discrecional del Juzgador determinar que casos deben exceptuarse de la regla de la publicidad, sino que debe ser reglado por el legislador en ejercicio del poder de policía (art. 14 C.N.), bajo criterios de razonabilidad, inalterabilidad y proporcionalidad (art. 28 C.N.). </w:t>
      </w:r>
    </w:p>
    <w:p w14:paraId="2F742AC3" w14:textId="6FF8C10C" w:rsidR="00222674" w:rsidRDefault="00847296" w:rsidP="00572094">
      <w:pPr>
        <w:spacing w:line="360" w:lineRule="auto"/>
        <w:ind w:firstLine="1134"/>
        <w:jc w:val="both"/>
        <w:rPr>
          <w:rFonts w:ascii="Arial" w:hAnsi="Arial" w:cs="Arial"/>
          <w:color w:val="000000" w:themeColor="text1"/>
        </w:rPr>
      </w:pPr>
      <w:r>
        <w:rPr>
          <w:rFonts w:ascii="Arial" w:hAnsi="Arial" w:cs="Arial"/>
          <w:color w:val="000000" w:themeColor="text1"/>
        </w:rPr>
        <w:t>Estas excepciones las encontramos dispersas en la normativa sustancial y procesal.</w:t>
      </w:r>
      <w:r w:rsidR="00222674">
        <w:rPr>
          <w:rFonts w:ascii="Arial" w:hAnsi="Arial" w:cs="Arial"/>
          <w:color w:val="000000" w:themeColor="text1"/>
        </w:rPr>
        <w:t xml:space="preserve"> </w:t>
      </w:r>
      <w:r w:rsidR="003A1F07">
        <w:rPr>
          <w:rFonts w:ascii="Arial" w:hAnsi="Arial" w:cs="Arial"/>
          <w:color w:val="000000" w:themeColor="text1"/>
        </w:rPr>
        <w:t>Así,</w:t>
      </w:r>
      <w:r w:rsidR="00222674">
        <w:rPr>
          <w:rFonts w:ascii="Arial" w:hAnsi="Arial" w:cs="Arial"/>
          <w:color w:val="000000" w:themeColor="text1"/>
        </w:rPr>
        <w:t xml:space="preserve"> por ejemplo, </w:t>
      </w:r>
      <w:r w:rsidR="00572094">
        <w:rPr>
          <w:rFonts w:ascii="Arial" w:hAnsi="Arial" w:cs="Arial"/>
          <w:color w:val="000000" w:themeColor="text1"/>
        </w:rPr>
        <w:t>existen restricciones en el derecho de familias</w:t>
      </w:r>
      <w:r w:rsidR="00572094">
        <w:rPr>
          <w:rStyle w:val="Refdenotaalpie"/>
          <w:rFonts w:ascii="Arial" w:hAnsi="Arial"/>
          <w:color w:val="000000" w:themeColor="text1"/>
        </w:rPr>
        <w:footnoteReference w:id="19"/>
      </w:r>
      <w:r w:rsidR="00222674">
        <w:rPr>
          <w:rFonts w:ascii="Arial" w:hAnsi="Arial" w:cs="Arial"/>
          <w:color w:val="000000" w:themeColor="text1"/>
        </w:rPr>
        <w:t xml:space="preserve">, </w:t>
      </w:r>
      <w:r w:rsidR="00572094">
        <w:rPr>
          <w:rFonts w:ascii="Arial" w:hAnsi="Arial" w:cs="Arial"/>
          <w:color w:val="000000" w:themeColor="text1"/>
        </w:rPr>
        <w:t xml:space="preserve"> en materia de secreto fiscal</w:t>
      </w:r>
      <w:r w:rsidR="00572094">
        <w:rPr>
          <w:rStyle w:val="Refdenotaalpie"/>
          <w:rFonts w:ascii="Arial" w:hAnsi="Arial"/>
          <w:color w:val="000000" w:themeColor="text1"/>
        </w:rPr>
        <w:footnoteReference w:id="20"/>
      </w:r>
      <w:r w:rsidR="00572094">
        <w:rPr>
          <w:rFonts w:ascii="Arial" w:hAnsi="Arial" w:cs="Arial"/>
          <w:color w:val="000000" w:themeColor="text1"/>
        </w:rPr>
        <w:t xml:space="preserve">, las derivadas </w:t>
      </w:r>
      <w:r w:rsidR="00572094" w:rsidRPr="00572094">
        <w:rPr>
          <w:rFonts w:ascii="Arial" w:hAnsi="Arial" w:cs="Arial"/>
          <w:color w:val="000000" w:themeColor="text1"/>
        </w:rPr>
        <w:t xml:space="preserve">de cuestiones de salud (en base a la ley </w:t>
      </w:r>
      <w:r w:rsidR="00572094" w:rsidRPr="00572094">
        <w:rPr>
          <w:rFonts w:ascii="Arial" w:hAnsi="Arial" w:cs="Arial" w:hint="cs"/>
          <w:color w:val="000000" w:themeColor="text1"/>
        </w:rPr>
        <w:t>26.529</w:t>
      </w:r>
      <w:r w:rsidR="00572094" w:rsidRPr="00572094">
        <w:rPr>
          <w:rFonts w:ascii="Arial" w:hAnsi="Arial" w:cs="Arial"/>
          <w:color w:val="000000" w:themeColor="text1"/>
        </w:rPr>
        <w:t>, art</w:t>
      </w:r>
      <w:r w:rsidR="00572094">
        <w:rPr>
          <w:rFonts w:ascii="Arial" w:hAnsi="Arial" w:cs="Arial"/>
          <w:color w:val="000000" w:themeColor="text1"/>
        </w:rPr>
        <w:t>s</w:t>
      </w:r>
      <w:r w:rsidR="00572094" w:rsidRPr="00572094">
        <w:rPr>
          <w:rFonts w:ascii="Arial" w:hAnsi="Arial" w:cs="Arial"/>
          <w:color w:val="000000" w:themeColor="text1"/>
        </w:rPr>
        <w:t>. 17 y 18)</w:t>
      </w:r>
      <w:r w:rsidR="00572094">
        <w:rPr>
          <w:rFonts w:ascii="Arial" w:hAnsi="Arial" w:cs="Arial"/>
          <w:color w:val="000000" w:themeColor="text1"/>
        </w:rPr>
        <w:t>,</w:t>
      </w:r>
      <w:r w:rsidR="00572094" w:rsidRPr="00572094">
        <w:rPr>
          <w:rFonts w:ascii="Arial" w:hAnsi="Arial" w:cs="Arial"/>
          <w:color w:val="000000" w:themeColor="text1"/>
        </w:rPr>
        <w:t xml:space="preserve"> en materia de secreto fin</w:t>
      </w:r>
      <w:r w:rsidR="00572094">
        <w:rPr>
          <w:rFonts w:ascii="Arial" w:hAnsi="Arial" w:cs="Arial"/>
          <w:color w:val="000000" w:themeColor="text1"/>
        </w:rPr>
        <w:t>anciero o bancario (en virtud del art. 39 de la ley 21.526), del secreto profesional de las profesiones que lo establecen, entre otras.</w:t>
      </w:r>
    </w:p>
    <w:p w14:paraId="4AB9E6A1" w14:textId="3B74F33D" w:rsidR="00222674" w:rsidRDefault="00572094" w:rsidP="00222674">
      <w:pPr>
        <w:spacing w:line="360" w:lineRule="auto"/>
        <w:ind w:firstLine="1134"/>
        <w:jc w:val="both"/>
        <w:rPr>
          <w:rFonts w:ascii="Arial" w:hAnsi="Arial" w:cs="Arial"/>
          <w:color w:val="000000" w:themeColor="text1"/>
        </w:rPr>
      </w:pPr>
      <w:r w:rsidRPr="00572094">
        <w:rPr>
          <w:rFonts w:ascii="Arial" w:hAnsi="Arial" w:cs="Arial"/>
          <w:color w:val="000000" w:themeColor="text1"/>
        </w:rPr>
        <w:t>Las cláusulas de confidencialidad, en principio, no constituyen una excepción a la regla de publicidad del expediente. Su eficacia es inter partes: quien la invoca como beneficiario, al litigar, consiente —al menos respecto de lo pertinente al proceso— la publicidad impuesta por el orden público procesal; y quien está obligado por la cláusula podrá incurrir en responsabilidad civil frente a su contraparte si la incumple. Pero nada de ello habilita, por sí solo, a cerrar el expediente ni a sustraerlo del acceso público.</w:t>
      </w:r>
    </w:p>
    <w:p w14:paraId="4AD034E3" w14:textId="77777777" w:rsidR="007038D1" w:rsidRDefault="007038D1" w:rsidP="00222674">
      <w:pPr>
        <w:spacing w:line="360" w:lineRule="auto"/>
        <w:ind w:firstLine="1134"/>
        <w:jc w:val="both"/>
        <w:rPr>
          <w:rFonts w:ascii="Arial" w:hAnsi="Arial" w:cs="Arial"/>
          <w:color w:val="000000" w:themeColor="text1"/>
        </w:rPr>
      </w:pPr>
    </w:p>
    <w:p w14:paraId="1570B9F0" w14:textId="14DBBCF8" w:rsidR="00ED48BD" w:rsidRPr="007038D1" w:rsidRDefault="00E62672" w:rsidP="00ED48BD">
      <w:pPr>
        <w:pStyle w:val="Prrafodelista"/>
        <w:numPr>
          <w:ilvl w:val="1"/>
          <w:numId w:val="15"/>
        </w:numPr>
        <w:spacing w:line="360" w:lineRule="auto"/>
        <w:ind w:left="709"/>
        <w:jc w:val="both"/>
        <w:rPr>
          <w:rFonts w:ascii="Arial" w:hAnsi="Arial" w:cs="Arial"/>
          <w:b/>
          <w:bCs/>
          <w:sz w:val="24"/>
          <w:szCs w:val="24"/>
          <w:u w:val="single"/>
        </w:rPr>
      </w:pPr>
      <w:r>
        <w:rPr>
          <w:rFonts w:ascii="Arial" w:hAnsi="Arial" w:cs="Arial"/>
          <w:b/>
          <w:bCs/>
          <w:u w:val="single"/>
        </w:rPr>
        <w:t>Beneficios que trae aparejada</w:t>
      </w:r>
      <w:r w:rsidRPr="00E62672">
        <w:rPr>
          <w:rFonts w:ascii="Arial" w:hAnsi="Arial" w:cs="Arial"/>
          <w:b/>
          <w:bCs/>
          <w:u w:val="single"/>
        </w:rPr>
        <w:t xml:space="preserve"> la publicidad procesal</w:t>
      </w:r>
    </w:p>
    <w:p w14:paraId="58D17A3D" w14:textId="4AD607FE" w:rsidR="00222674" w:rsidRDefault="00ED48BD" w:rsidP="00ED48BD">
      <w:pPr>
        <w:spacing w:line="360" w:lineRule="auto"/>
        <w:ind w:firstLine="1134"/>
        <w:jc w:val="both"/>
        <w:rPr>
          <w:rFonts w:ascii="Arial" w:hAnsi="Arial" w:cs="Arial"/>
          <w:color w:val="000000" w:themeColor="text1"/>
          <w:lang w:val="es-ES"/>
        </w:rPr>
      </w:pPr>
      <w:r w:rsidRPr="00ED48BD">
        <w:rPr>
          <w:rFonts w:ascii="Arial" w:hAnsi="Arial" w:cs="Arial"/>
          <w:color w:val="000000" w:themeColor="text1"/>
          <w:lang w:val="es-ES"/>
        </w:rPr>
        <w:t>La publicidad procesal genera beneficios que se irradian hacia múltiples sujetos: i) la sociedad en general; ii) el Poder Judicial; iii) los abogados; y iv) las partes del proceso.</w:t>
      </w:r>
    </w:p>
    <w:p w14:paraId="75842224" w14:textId="77777777" w:rsidR="00DB393C" w:rsidRDefault="00ED48BD" w:rsidP="00DB393C">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cuanto a los beneficios que trae aparejado para la sociedad en general (i), y más allá de lo expuesto en el capítulo inicial sobre la relación entre la publicidad y democracia, se señala en este apartado el aporte que hace a la seguridad jurídica.</w:t>
      </w:r>
      <w:r w:rsidR="00DB393C">
        <w:rPr>
          <w:rFonts w:ascii="Arial" w:hAnsi="Arial" w:cs="Arial"/>
          <w:color w:val="000000" w:themeColor="text1"/>
          <w:lang w:val="es-ES"/>
        </w:rPr>
        <w:t xml:space="preserve"> </w:t>
      </w:r>
    </w:p>
    <w:p w14:paraId="138451BE" w14:textId="4A8EE94E" w:rsidR="00DB393C" w:rsidRDefault="00DB393C" w:rsidP="00DB393C">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lastRenderedPageBreak/>
        <w:t>La CSJN ha remarcado en innumerables oportunidades la importancia de la seguridad jurídica y su rol en la sociedad, entre otros: “</w:t>
      </w:r>
      <w:r w:rsidRPr="00DB393C">
        <w:rPr>
          <w:rFonts w:ascii="Arial" w:hAnsi="Arial" w:cs="Arial"/>
          <w:i/>
          <w:iCs/>
          <w:color w:val="000000" w:themeColor="text1"/>
          <w:lang w:val="es-ES"/>
        </w:rPr>
        <w:t>La seguridad jurídica, que constituye una de las bases principales de sustentación de nuestro ordenamiento, cuya tutela innegable compete a los jueces y que es reiteradamente reclamada por distintos sectores de la sociedad como presupuesto necesario para su desarrollo, no consiste en la mera repetición de actos jurídicos sino en la concordancia de esos actos con el derecho vigente, empezando por la Constitución Nacional</w:t>
      </w:r>
      <w:r w:rsidRPr="00DB393C">
        <w:rPr>
          <w:rFonts w:ascii="Arial" w:hAnsi="Arial" w:cs="Arial"/>
          <w:color w:val="000000" w:themeColor="text1"/>
          <w:lang w:val="es-ES"/>
        </w:rPr>
        <w:t>.</w:t>
      </w:r>
      <w:r>
        <w:rPr>
          <w:rFonts w:ascii="Arial" w:hAnsi="Arial" w:cs="Arial"/>
          <w:color w:val="000000" w:themeColor="text1"/>
          <w:lang w:val="es-ES"/>
        </w:rPr>
        <w:t xml:space="preserve">” (Sentencia de fecha 03.11.2020, dictada en autos </w:t>
      </w:r>
      <w:r w:rsidRPr="00DB393C">
        <w:rPr>
          <w:rFonts w:ascii="Arial" w:hAnsi="Arial" w:cs="Arial"/>
          <w:color w:val="000000" w:themeColor="text1"/>
        </w:rPr>
        <w:t>Bertuzzi, Pablo Daniel y otro c/ EN - PJN y otro s/ amparo ley 16.986</w:t>
      </w:r>
      <w:r>
        <w:rPr>
          <w:rFonts w:ascii="Arial" w:hAnsi="Arial" w:cs="Arial"/>
          <w:color w:val="000000" w:themeColor="text1"/>
        </w:rPr>
        <w:t xml:space="preserve">, </w:t>
      </w:r>
      <w:r w:rsidRPr="00DB393C">
        <w:rPr>
          <w:rFonts w:ascii="Arial" w:hAnsi="Arial" w:cs="Arial"/>
          <w:color w:val="000000" w:themeColor="text1"/>
          <w:lang w:val="es-ES"/>
        </w:rPr>
        <w:t>Fallos: 343:1457</w:t>
      </w:r>
      <w:r>
        <w:rPr>
          <w:rFonts w:ascii="Arial" w:hAnsi="Arial" w:cs="Arial"/>
          <w:color w:val="000000" w:themeColor="text1"/>
          <w:lang w:val="es-ES"/>
        </w:rPr>
        <w:t xml:space="preserve">). </w:t>
      </w:r>
    </w:p>
    <w:p w14:paraId="2AC009C6" w14:textId="79EF6A6B" w:rsidR="003C41DF" w:rsidRDefault="003C41DF" w:rsidP="003C41DF">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Es que,</w:t>
      </w:r>
      <w:r w:rsidR="009B1FEE">
        <w:rPr>
          <w:rFonts w:ascii="Arial" w:hAnsi="Arial" w:cs="Arial"/>
          <w:color w:val="000000" w:themeColor="text1"/>
          <w:lang w:val="es-ES"/>
        </w:rPr>
        <w:t xml:space="preserve"> si bien no estamos en un sistema de “common law”, </w:t>
      </w:r>
      <w:r w:rsidR="00DB393C">
        <w:rPr>
          <w:rFonts w:ascii="Arial" w:hAnsi="Arial" w:cs="Arial"/>
          <w:color w:val="000000" w:themeColor="text1"/>
          <w:lang w:val="es-ES"/>
        </w:rPr>
        <w:t>entendemos que la jurisprudencia de nuestros tribunales constituye fuente de derecho</w:t>
      </w:r>
      <w:r w:rsidR="00FE1EC9">
        <w:rPr>
          <w:rFonts w:ascii="Arial" w:hAnsi="Arial" w:cs="Arial"/>
          <w:color w:val="000000" w:themeColor="text1"/>
          <w:lang w:val="es-ES"/>
        </w:rPr>
        <w:t xml:space="preserve">. </w:t>
      </w:r>
      <w:r>
        <w:rPr>
          <w:rFonts w:ascii="Arial" w:hAnsi="Arial" w:cs="Arial"/>
          <w:color w:val="000000" w:themeColor="text1"/>
          <w:lang w:val="es-ES"/>
        </w:rPr>
        <w:t xml:space="preserve">Tal como sostiene </w:t>
      </w:r>
      <w:r w:rsidRPr="009B1FEE">
        <w:rPr>
          <w:rFonts w:ascii="Arial" w:hAnsi="Arial" w:cs="Arial"/>
          <w:smallCaps/>
          <w:color w:val="000000" w:themeColor="text1"/>
          <w:lang w:val="es-ES"/>
        </w:rPr>
        <w:t>Aguiló Regla</w:t>
      </w:r>
      <w:r>
        <w:rPr>
          <w:rFonts w:ascii="Arial" w:hAnsi="Arial" w:cs="Arial"/>
          <w:color w:val="000000" w:themeColor="text1"/>
          <w:lang w:val="es-ES"/>
        </w:rPr>
        <w:t xml:space="preserve">, </w:t>
      </w:r>
      <w:r w:rsidRPr="009B1FEE">
        <w:rPr>
          <w:rFonts w:ascii="Arial" w:hAnsi="Arial" w:cs="Arial"/>
          <w:i/>
          <w:iCs/>
          <w:color w:val="000000" w:themeColor="text1"/>
          <w:lang w:val="es-ES"/>
        </w:rPr>
        <w:t>“Si para justificar una decisión el juez debe invocar una norma universal y ello supone un compromiso hacia el futuro, entonces una vez que el juez ha resuelto un caso ha adquirido un compromiso de resolver del mismo modo los casos futuros iguales al ya decidido. Si no lo ha adquirido es que no ha justificado (todo lo más habrá simulado que justificaba).</w:t>
      </w:r>
      <w:r>
        <w:rPr>
          <w:rFonts w:ascii="Arial" w:hAnsi="Arial" w:cs="Arial"/>
          <w:i/>
          <w:iCs/>
          <w:color w:val="000000" w:themeColor="text1"/>
          <w:lang w:val="es-ES"/>
        </w:rPr>
        <w:t xml:space="preserve"> </w:t>
      </w:r>
      <w:r w:rsidRPr="009B1FEE">
        <w:rPr>
          <w:rFonts w:ascii="Arial" w:hAnsi="Arial" w:cs="Arial"/>
          <w:i/>
          <w:iCs/>
          <w:color w:val="000000" w:themeColor="text1"/>
          <w:lang w:val="es-ES"/>
        </w:rPr>
        <w:t>Justificar no es solo una cuestión de palabras.   Por ello, puede decirse que, en la medida en que el derecho objetivo haya permanecido estable (no haya cambiado), un juez que tiene que resolver un caso semejante a otro caso anterior ya resuelto se encuentra, so pena de incurrir en irracionalidad o arbitrariedad (…)”</w:t>
      </w:r>
      <w:r>
        <w:rPr>
          <w:rStyle w:val="Refdenotaalpie"/>
          <w:rFonts w:ascii="Arial" w:hAnsi="Arial"/>
          <w:i/>
          <w:iCs/>
          <w:color w:val="000000" w:themeColor="text1"/>
          <w:lang w:val="es-ES"/>
        </w:rPr>
        <w:footnoteReference w:id="21"/>
      </w:r>
      <w:r>
        <w:rPr>
          <w:rFonts w:ascii="Arial" w:hAnsi="Arial" w:cs="Arial"/>
          <w:color w:val="000000" w:themeColor="text1"/>
          <w:lang w:val="es-ES"/>
        </w:rPr>
        <w:t>.</w:t>
      </w:r>
    </w:p>
    <w:p w14:paraId="153A953E" w14:textId="7156EBC0" w:rsidR="00222674" w:rsidRDefault="003C41DF" w:rsidP="003C41DF">
      <w:pPr>
        <w:spacing w:line="360" w:lineRule="auto"/>
        <w:ind w:firstLine="1134"/>
        <w:jc w:val="both"/>
        <w:rPr>
          <w:rFonts w:ascii="Arial" w:hAnsi="Arial" w:cs="Arial"/>
          <w:color w:val="000000" w:themeColor="text1"/>
          <w:lang w:val="es-ES"/>
        </w:rPr>
      </w:pPr>
      <w:r w:rsidRPr="003C41DF">
        <w:rPr>
          <w:rFonts w:ascii="Arial" w:hAnsi="Arial" w:cs="Arial"/>
          <w:color w:val="000000" w:themeColor="text1"/>
          <w:lang w:val="es-ES"/>
        </w:rPr>
        <w:t>Para sostener que la jurisprudencia integra las fuentes del Derecho y que la coherencia decisional</w:t>
      </w:r>
      <w:r>
        <w:rPr>
          <w:rStyle w:val="Refdenotaalpie"/>
          <w:rFonts w:ascii="Arial" w:hAnsi="Arial"/>
          <w:color w:val="000000" w:themeColor="text1"/>
          <w:lang w:val="es-ES"/>
        </w:rPr>
        <w:footnoteReference w:id="22"/>
      </w:r>
      <w:r w:rsidRPr="003C41DF">
        <w:rPr>
          <w:rFonts w:ascii="Arial" w:hAnsi="Arial" w:cs="Arial"/>
          <w:color w:val="000000" w:themeColor="text1"/>
          <w:lang w:val="es-ES"/>
        </w:rPr>
        <w:t xml:space="preserve"> —esto es, la ausencia de fallos contradictorios— robustece la seguridad jurídica, es indispensable una premisa previa: esa seguridad presupone el conocimiento público de las sentencias; sin ese conocimiento, la contradicción resulta indetectable.</w:t>
      </w:r>
      <w:r>
        <w:rPr>
          <w:rFonts w:ascii="Arial" w:hAnsi="Arial" w:cs="Arial"/>
          <w:color w:val="000000" w:themeColor="text1"/>
          <w:lang w:val="es-ES"/>
        </w:rPr>
        <w:t xml:space="preserve"> Es por ello que sostenemos que publicidad de las sentencias es condición necesaria para la seguridad jurídica.</w:t>
      </w:r>
    </w:p>
    <w:p w14:paraId="5B2E8CB8" w14:textId="5E965669" w:rsidR="009D7429" w:rsidRPr="00D426A0" w:rsidRDefault="009E193D" w:rsidP="00D426A0">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En segundo </w:t>
      </w:r>
      <w:r w:rsidR="009D7429">
        <w:rPr>
          <w:rFonts w:ascii="Arial" w:hAnsi="Arial" w:cs="Arial"/>
          <w:color w:val="000000" w:themeColor="text1"/>
          <w:lang w:val="es-ES"/>
        </w:rPr>
        <w:t>lugar,</w:t>
      </w:r>
      <w:r>
        <w:rPr>
          <w:rFonts w:ascii="Arial" w:hAnsi="Arial" w:cs="Arial"/>
          <w:color w:val="000000" w:themeColor="text1"/>
          <w:lang w:val="es-ES"/>
        </w:rPr>
        <w:t xml:space="preserve"> decimos que la publicidad del proceso y la jurisprudencia favorece al poder judicial</w:t>
      </w:r>
      <w:r w:rsidR="009D7429">
        <w:rPr>
          <w:rFonts w:ascii="Arial" w:hAnsi="Arial" w:cs="Arial"/>
          <w:color w:val="000000" w:themeColor="text1"/>
          <w:lang w:val="es-ES"/>
        </w:rPr>
        <w:t xml:space="preserve"> (ii), por cuanto lo legitiman. En tal sentido ha dicho </w:t>
      </w:r>
      <w:r w:rsidR="009D7429" w:rsidRPr="00D426A0">
        <w:rPr>
          <w:rFonts w:ascii="Arial" w:hAnsi="Arial" w:cs="Arial"/>
          <w:smallCaps/>
          <w:color w:val="000000" w:themeColor="text1"/>
          <w:lang w:val="es-ES"/>
        </w:rPr>
        <w:t>Ferrajoli</w:t>
      </w:r>
      <w:r w:rsidR="009D7429">
        <w:rPr>
          <w:rFonts w:ascii="Arial" w:hAnsi="Arial" w:cs="Arial"/>
          <w:color w:val="000000" w:themeColor="text1"/>
          <w:lang w:val="es-ES"/>
        </w:rPr>
        <w:t xml:space="preserve"> que el poder judicial carece de legitimación democrático y que tal carencia es </w:t>
      </w:r>
      <w:r w:rsidR="009D7429" w:rsidRPr="009D7429">
        <w:rPr>
          <w:rFonts w:ascii="Arial" w:hAnsi="Arial" w:cs="Arial"/>
          <w:color w:val="000000" w:themeColor="text1"/>
          <w:lang w:val="es-ES"/>
        </w:rPr>
        <w:t>inevitable e irremediable</w:t>
      </w:r>
      <w:r w:rsidR="009D7429">
        <w:rPr>
          <w:rStyle w:val="Refdenotaalpie"/>
          <w:rFonts w:ascii="Arial" w:hAnsi="Arial"/>
          <w:color w:val="000000" w:themeColor="text1"/>
          <w:lang w:val="es-ES"/>
        </w:rPr>
        <w:footnoteReference w:id="23"/>
      </w:r>
      <w:r w:rsidR="009D7429">
        <w:rPr>
          <w:rFonts w:ascii="Arial" w:hAnsi="Arial" w:cs="Arial"/>
          <w:color w:val="000000" w:themeColor="text1"/>
          <w:lang w:val="es-ES"/>
        </w:rPr>
        <w:t xml:space="preserve"> y por otra parte que la </w:t>
      </w:r>
      <w:r w:rsidR="00D426A0">
        <w:rPr>
          <w:rFonts w:ascii="Arial" w:hAnsi="Arial" w:cs="Arial"/>
          <w:color w:val="000000" w:themeColor="text1"/>
          <w:lang w:val="es-ES"/>
        </w:rPr>
        <w:t>crítica</w:t>
      </w:r>
      <w:r w:rsidR="009D7429">
        <w:rPr>
          <w:rFonts w:ascii="Arial" w:hAnsi="Arial" w:cs="Arial"/>
          <w:color w:val="000000" w:themeColor="text1"/>
          <w:lang w:val="es-ES"/>
        </w:rPr>
        <w:t xml:space="preserve"> </w:t>
      </w:r>
      <w:r w:rsidR="00D426A0" w:rsidRPr="003C41DF">
        <w:rPr>
          <w:rFonts w:ascii="Arial" w:hAnsi="Arial" w:cs="Arial"/>
          <w:color w:val="000000" w:themeColor="text1"/>
          <w:lang w:val="es-ES"/>
        </w:rPr>
        <w:t>—</w:t>
      </w:r>
      <w:r w:rsidR="00D426A0">
        <w:rPr>
          <w:rFonts w:ascii="Arial" w:hAnsi="Arial" w:cs="Arial"/>
          <w:color w:val="000000" w:themeColor="text1"/>
          <w:lang w:val="es-ES"/>
        </w:rPr>
        <w:t xml:space="preserve">la cual presupone la publicidad del sistema </w:t>
      </w:r>
      <w:r w:rsidR="00D426A0">
        <w:rPr>
          <w:rFonts w:ascii="Arial" w:hAnsi="Arial" w:cs="Arial"/>
          <w:color w:val="000000" w:themeColor="text1"/>
          <w:lang w:val="es-ES"/>
        </w:rPr>
        <w:lastRenderedPageBreak/>
        <w:t>procesal</w:t>
      </w:r>
      <w:r w:rsidR="00D426A0" w:rsidRPr="003C41DF">
        <w:rPr>
          <w:rFonts w:ascii="Arial" w:hAnsi="Arial" w:cs="Arial"/>
          <w:color w:val="000000" w:themeColor="text1"/>
          <w:lang w:val="es-ES"/>
        </w:rPr>
        <w:t>—</w:t>
      </w:r>
      <w:r w:rsidR="00D426A0">
        <w:rPr>
          <w:rFonts w:ascii="Arial" w:hAnsi="Arial" w:cs="Arial"/>
          <w:color w:val="000000" w:themeColor="text1"/>
          <w:lang w:val="es-ES"/>
        </w:rPr>
        <w:t xml:space="preserve"> actúa como actor legitimante de este poder. En palabras de </w:t>
      </w:r>
      <w:r w:rsidR="00D426A0" w:rsidRPr="00D426A0">
        <w:rPr>
          <w:rFonts w:ascii="Arial" w:hAnsi="Arial" w:cs="Arial"/>
          <w:smallCaps/>
          <w:color w:val="000000" w:themeColor="text1"/>
          <w:lang w:val="es-ES"/>
        </w:rPr>
        <w:t>Ferrajoli</w:t>
      </w:r>
      <w:r w:rsidR="00D426A0">
        <w:rPr>
          <w:rFonts w:ascii="Arial" w:hAnsi="Arial" w:cs="Arial"/>
          <w:smallCaps/>
          <w:color w:val="000000" w:themeColor="text1"/>
          <w:lang w:val="es-ES"/>
        </w:rPr>
        <w:t xml:space="preserve"> </w:t>
      </w:r>
      <w:r w:rsidR="00D426A0" w:rsidRPr="00D426A0">
        <w:rPr>
          <w:rFonts w:ascii="Arial" w:hAnsi="Arial" w:cs="Arial"/>
          <w:i/>
          <w:iCs/>
          <w:smallCaps/>
          <w:color w:val="000000" w:themeColor="text1"/>
          <w:lang w:val="es-ES"/>
        </w:rPr>
        <w:t>“</w:t>
      </w:r>
      <w:r w:rsidR="009D7429" w:rsidRPr="00D426A0">
        <w:rPr>
          <w:rFonts w:ascii="Arial" w:hAnsi="Arial" w:cs="Arial"/>
          <w:i/>
          <w:iCs/>
          <w:color w:val="000000" w:themeColor="text1"/>
          <w:lang w:val="es-ES"/>
        </w:rPr>
        <w:t xml:space="preserve">La crítica pública de las actividades judiciales </w:t>
      </w:r>
      <w:r w:rsidR="009D7429" w:rsidRPr="003C41DF">
        <w:rPr>
          <w:rFonts w:ascii="Arial" w:hAnsi="Arial" w:cs="Arial"/>
          <w:i/>
          <w:iCs/>
          <w:color w:val="000000" w:themeColor="text1"/>
          <w:lang w:val="es-ES"/>
        </w:rPr>
        <w:t>—</w:t>
      </w:r>
      <w:r w:rsidR="009D7429" w:rsidRPr="00D426A0">
        <w:rPr>
          <w:rFonts w:ascii="Arial" w:hAnsi="Arial" w:cs="Arial"/>
          <w:i/>
          <w:iCs/>
          <w:color w:val="000000" w:themeColor="text1"/>
          <w:lang w:val="es-ES"/>
        </w:rPr>
        <w:t>no  la genérica de los males de la justicia, sino la argumentada y documentada dirigida a los jueces en particular y a sus concretas resoluciones</w:t>
      </w:r>
      <w:r w:rsidR="009D7429" w:rsidRPr="003C41DF">
        <w:rPr>
          <w:rFonts w:ascii="Arial" w:hAnsi="Arial" w:cs="Arial"/>
          <w:i/>
          <w:iCs/>
          <w:color w:val="000000" w:themeColor="text1"/>
          <w:lang w:val="es-ES"/>
        </w:rPr>
        <w:t>—</w:t>
      </w:r>
      <w:r w:rsidR="009D7429" w:rsidRPr="00D426A0">
        <w:rPr>
          <w:rFonts w:ascii="Arial" w:hAnsi="Arial" w:cs="Arial"/>
          <w:i/>
          <w:iCs/>
          <w:color w:val="000000" w:themeColor="text1"/>
          <w:lang w:val="es-ES"/>
        </w:rPr>
        <w:t xml:space="preserve"> expresa, en efecto, el punto de vista de los ciudadanos, externo al orden judicial y legitimado por el hecho de que su fuerza no se basa en el poder sino únicamente en la razón; y es tanto más eficaz si proviene también de otros magistrados, por la ruptura que provoca de la solidaridad corporativa y de las apariencias técnico-jurídicas que envuelven siempre las decisiones. Es por esta vía, mucho mejor que a través de las sanciones jurídicas o políticas, como se ejerce el control popular sobre la justicia, se rompe la separación de la función judicial, se emancipan los jueces de los vínculos políticos, burocráticos y corporativos, se deslegitiman los malos magistrados y la mala jurisprudencia y se elabora y se da continuamente nuevo fundamento a la deontología judicial. </w:t>
      </w:r>
      <w:r w:rsidR="00D426A0" w:rsidRPr="00D426A0">
        <w:rPr>
          <w:rFonts w:ascii="Arial" w:hAnsi="Arial" w:cs="Arial"/>
          <w:i/>
          <w:iCs/>
          <w:color w:val="000000" w:themeColor="text1"/>
          <w:lang w:val="es-ES"/>
        </w:rPr>
        <w:t>Es obvio</w:t>
      </w:r>
      <w:r w:rsidR="009D7429" w:rsidRPr="00D426A0">
        <w:rPr>
          <w:rFonts w:ascii="Arial" w:hAnsi="Arial" w:cs="Arial"/>
          <w:i/>
          <w:iCs/>
          <w:color w:val="000000" w:themeColor="text1"/>
          <w:lang w:val="es-ES"/>
        </w:rPr>
        <w:t xml:space="preserve"> que esta forma de responsabilización de los jueces requiere una serie de presupuestos sociales e institucionales. Los presupuestos sociales son los generales de la democracia: la maduración civil y política de los ciudadanos en torno a las cuestiones de la justicia; su atención y participación constante en la vida pública; su conflictividad social y su solidaridad civil y política con los derechos lesionados; la plenitud, la independencia y la corrección de la información judicial por parte de la prensa; el compromiso civil y el hábito de oposición de la cultura jurídica.</w:t>
      </w:r>
      <w:r w:rsidR="00D426A0" w:rsidRPr="00D426A0">
        <w:rPr>
          <w:rFonts w:ascii="Arial" w:hAnsi="Arial" w:cs="Arial"/>
          <w:i/>
          <w:iCs/>
          <w:color w:val="000000" w:themeColor="text1"/>
          <w:lang w:val="es-ES"/>
        </w:rPr>
        <w:t xml:space="preserve"> (…)”</w:t>
      </w:r>
      <w:r w:rsidR="00D426A0">
        <w:rPr>
          <w:rStyle w:val="Refdenotaalpie"/>
          <w:rFonts w:ascii="Arial" w:hAnsi="Arial"/>
          <w:i/>
          <w:iCs/>
          <w:color w:val="000000" w:themeColor="text1"/>
          <w:lang w:val="es-ES"/>
        </w:rPr>
        <w:footnoteReference w:id="24"/>
      </w:r>
      <w:r w:rsidR="00D426A0">
        <w:rPr>
          <w:rFonts w:ascii="Arial" w:hAnsi="Arial" w:cs="Arial"/>
          <w:color w:val="000000" w:themeColor="text1"/>
          <w:lang w:val="es-ES"/>
        </w:rPr>
        <w:t>.</w:t>
      </w:r>
    </w:p>
    <w:p w14:paraId="489E2C32" w14:textId="16BA8EC2" w:rsidR="00B84E55" w:rsidRDefault="00627AD8" w:rsidP="00F051A8">
      <w:pPr>
        <w:spacing w:line="360" w:lineRule="auto"/>
        <w:ind w:firstLine="1134"/>
        <w:jc w:val="both"/>
        <w:rPr>
          <w:rFonts w:ascii="Arial" w:hAnsi="Arial" w:cs="Arial"/>
          <w:color w:val="000000" w:themeColor="text1"/>
          <w:lang w:val="es-ES"/>
        </w:rPr>
      </w:pPr>
      <w:r w:rsidRPr="00627AD8">
        <w:rPr>
          <w:rFonts w:ascii="Arial" w:hAnsi="Arial" w:cs="Arial"/>
          <w:color w:val="000000" w:themeColor="text1"/>
          <w:lang w:val="es-ES"/>
        </w:rPr>
        <w:t>En el plano profesional,</w:t>
      </w:r>
      <w:r>
        <w:rPr>
          <w:rFonts w:ascii="Arial" w:hAnsi="Arial" w:cs="Arial"/>
          <w:color w:val="000000" w:themeColor="text1"/>
          <w:lang w:val="es-ES"/>
        </w:rPr>
        <w:t xml:space="preserve"> para los abogados (iii)</w:t>
      </w:r>
      <w:r w:rsidRPr="00627AD8">
        <w:rPr>
          <w:rFonts w:ascii="Arial" w:hAnsi="Arial" w:cs="Arial"/>
          <w:color w:val="000000" w:themeColor="text1"/>
          <w:lang w:val="es-ES"/>
        </w:rPr>
        <w:t xml:space="preserve"> la publicidad y accesibilidad de las decisiones judiciales resultan esenciales. Dado que la jurisprudencia es fuente del Derecho, sólo su conocimiento efectivo permite garantizar el ejercicio del derecho de defensa (art. 18 CN).</w:t>
      </w:r>
      <w:r>
        <w:rPr>
          <w:rFonts w:ascii="Arial" w:hAnsi="Arial" w:cs="Arial"/>
          <w:color w:val="000000" w:themeColor="text1"/>
          <w:lang w:val="es-ES"/>
        </w:rPr>
        <w:t xml:space="preserve"> Aún más cuando las tendencias en la retórica marcan que es necesario conocer al auditorio </w:t>
      </w:r>
      <w:r w:rsidRPr="003C41DF">
        <w:rPr>
          <w:rFonts w:ascii="Arial" w:hAnsi="Arial" w:cs="Arial"/>
          <w:color w:val="000000" w:themeColor="text1"/>
          <w:lang w:val="es-ES"/>
        </w:rPr>
        <w:t>—</w:t>
      </w:r>
      <w:r w:rsidRPr="00627AD8">
        <w:rPr>
          <w:rFonts w:ascii="Arial" w:hAnsi="Arial" w:cs="Arial"/>
          <w:color w:val="000000" w:themeColor="text1"/>
          <w:lang w:val="es-ES"/>
        </w:rPr>
        <w:t>en el caso del proceso judicial, al Juez o Tribunal</w:t>
      </w:r>
      <w:r w:rsidRPr="003C41DF">
        <w:rPr>
          <w:rFonts w:ascii="Arial" w:hAnsi="Arial" w:cs="Arial"/>
          <w:color w:val="000000" w:themeColor="text1"/>
          <w:lang w:val="es-ES"/>
        </w:rPr>
        <w:t>—</w:t>
      </w:r>
      <w:r>
        <w:rPr>
          <w:rFonts w:ascii="Arial" w:hAnsi="Arial" w:cs="Arial"/>
          <w:color w:val="000000" w:themeColor="text1"/>
          <w:lang w:val="es-ES"/>
        </w:rPr>
        <w:t>, para elaborar una buena estrategia argumentativa.</w:t>
      </w:r>
      <w:r w:rsidR="00F051A8">
        <w:rPr>
          <w:rFonts w:ascii="Arial" w:hAnsi="Arial" w:cs="Arial"/>
          <w:color w:val="000000" w:themeColor="text1"/>
          <w:lang w:val="es-ES"/>
        </w:rPr>
        <w:t xml:space="preserve"> Así ha dicho </w:t>
      </w:r>
      <w:r w:rsidR="00F051A8" w:rsidRPr="00F051A8">
        <w:rPr>
          <w:rFonts w:ascii="Arial" w:hAnsi="Arial" w:cs="Arial"/>
          <w:smallCaps/>
          <w:color w:val="000000" w:themeColor="text1"/>
          <w:lang w:val="es-ES"/>
        </w:rPr>
        <w:t>Andruet</w:t>
      </w:r>
      <w:r w:rsidR="00F051A8">
        <w:rPr>
          <w:rFonts w:ascii="Arial" w:hAnsi="Arial" w:cs="Arial"/>
          <w:color w:val="000000" w:themeColor="text1"/>
          <w:lang w:val="es-ES"/>
        </w:rPr>
        <w:t>, con inspiración en Perelman: “</w:t>
      </w:r>
      <w:r w:rsidR="00B84E55" w:rsidRPr="00F051A8">
        <w:rPr>
          <w:rFonts w:ascii="Arial" w:hAnsi="Arial" w:cs="Arial"/>
          <w:i/>
          <w:iCs/>
          <w:color w:val="000000" w:themeColor="text1"/>
          <w:lang w:val="es-ES"/>
        </w:rPr>
        <w:t xml:space="preserve">Sin embargo, la tesis de que el auditorio es realizado desde el orador presupone como dato de relevancia previa, que quien argumente conozca, en la medida de lo posible, el auditorio en el cual cumple su actividad; desde esta perspectiva, si la argumentación es </w:t>
      </w:r>
      <w:r w:rsidR="00B84E55" w:rsidRPr="00F051A8">
        <w:rPr>
          <w:rFonts w:ascii="Arial" w:hAnsi="Arial" w:cs="Arial"/>
          <w:i/>
          <w:iCs/>
          <w:color w:val="000000" w:themeColor="text1"/>
          <w:lang w:val="es-ES"/>
        </w:rPr>
        <w:lastRenderedPageBreak/>
        <w:t>jurídica, se tratará de conocer el tribunal ante el cual se litiga, puesto que ello resultará de suma eficacia en la conformación definitiva del éxito de la argumentación</w:t>
      </w:r>
      <w:r w:rsidR="00B84E55" w:rsidRPr="00B84E55">
        <w:rPr>
          <w:rFonts w:ascii="Arial" w:hAnsi="Arial" w:cs="Arial"/>
          <w:color w:val="000000" w:themeColor="text1"/>
          <w:lang w:val="es-ES"/>
        </w:rPr>
        <w:t>.</w:t>
      </w:r>
      <w:r w:rsidR="00F051A8">
        <w:rPr>
          <w:rFonts w:ascii="Arial" w:hAnsi="Arial" w:cs="Arial"/>
          <w:color w:val="000000" w:themeColor="text1"/>
          <w:lang w:val="es-ES"/>
        </w:rPr>
        <w:t>”</w:t>
      </w:r>
      <w:r w:rsidR="00F051A8">
        <w:rPr>
          <w:rStyle w:val="Refdenotaalpie"/>
          <w:rFonts w:ascii="Arial" w:hAnsi="Arial"/>
          <w:color w:val="000000" w:themeColor="text1"/>
          <w:lang w:val="es-ES"/>
        </w:rPr>
        <w:footnoteReference w:id="25"/>
      </w:r>
    </w:p>
    <w:p w14:paraId="1A6CECB7" w14:textId="42019293" w:rsidR="00B84E55" w:rsidRDefault="00AE79C3" w:rsidP="00AE79C3">
      <w:pPr>
        <w:spacing w:line="360" w:lineRule="auto"/>
        <w:ind w:firstLine="1134"/>
        <w:jc w:val="both"/>
        <w:rPr>
          <w:rFonts w:ascii="Arial" w:hAnsi="Arial" w:cs="Arial"/>
          <w:color w:val="000000" w:themeColor="text1"/>
          <w:lang w:val="es-ES"/>
        </w:rPr>
      </w:pPr>
      <w:r w:rsidRPr="00AE79C3">
        <w:rPr>
          <w:rFonts w:ascii="Arial" w:hAnsi="Arial" w:cs="Arial"/>
          <w:color w:val="000000" w:themeColor="text1"/>
          <w:lang w:val="es-ES"/>
        </w:rPr>
        <w:t>Finalmente, para las partes (iv), el acceso y conocimiento del expediente resultan esenciales para resguardar su inviolable derecho de defensa. No saber qué sucede en el proceso</w:t>
      </w:r>
      <w:r w:rsidR="003C0794">
        <w:rPr>
          <w:rFonts w:ascii="Arial" w:hAnsi="Arial" w:cs="Arial"/>
          <w:color w:val="000000" w:themeColor="text1"/>
          <w:lang w:val="es-ES"/>
        </w:rPr>
        <w:t xml:space="preserve">, </w:t>
      </w:r>
      <w:r w:rsidRPr="00AE79C3">
        <w:rPr>
          <w:rFonts w:ascii="Arial" w:hAnsi="Arial" w:cs="Arial"/>
          <w:color w:val="000000" w:themeColor="text1"/>
          <w:lang w:val="es-ES"/>
        </w:rPr>
        <w:t>deja</w:t>
      </w:r>
      <w:r w:rsidR="003C0794">
        <w:rPr>
          <w:rFonts w:ascii="Arial" w:hAnsi="Arial" w:cs="Arial"/>
          <w:color w:val="000000" w:themeColor="text1"/>
          <w:lang w:val="es-ES"/>
        </w:rPr>
        <w:t xml:space="preserve"> al justiciable</w:t>
      </w:r>
      <w:r w:rsidRPr="00AE79C3">
        <w:rPr>
          <w:rFonts w:ascii="Arial" w:hAnsi="Arial" w:cs="Arial"/>
          <w:color w:val="000000" w:themeColor="text1"/>
          <w:lang w:val="es-ES"/>
        </w:rPr>
        <w:t xml:space="preserve"> desorientad</w:t>
      </w:r>
      <w:r w:rsidR="003C0794">
        <w:rPr>
          <w:rFonts w:ascii="Arial" w:hAnsi="Arial" w:cs="Arial"/>
          <w:color w:val="000000" w:themeColor="text1"/>
          <w:lang w:val="es-ES"/>
        </w:rPr>
        <w:t xml:space="preserve">o, </w:t>
      </w:r>
      <w:r w:rsidRPr="00AE79C3">
        <w:rPr>
          <w:rFonts w:ascii="Arial" w:hAnsi="Arial" w:cs="Arial"/>
          <w:color w:val="000000" w:themeColor="text1"/>
          <w:lang w:val="es-ES"/>
        </w:rPr>
        <w:t>indefens</w:t>
      </w:r>
      <w:r w:rsidR="003C0794">
        <w:rPr>
          <w:rFonts w:ascii="Arial" w:hAnsi="Arial" w:cs="Arial"/>
          <w:color w:val="000000" w:themeColor="text1"/>
          <w:lang w:val="es-ES"/>
        </w:rPr>
        <w:t>o y</w:t>
      </w:r>
      <w:r w:rsidRPr="00AE79C3">
        <w:rPr>
          <w:rFonts w:ascii="Arial" w:hAnsi="Arial" w:cs="Arial"/>
          <w:color w:val="000000" w:themeColor="text1"/>
          <w:lang w:val="es-ES"/>
        </w:rPr>
        <w:t xml:space="preserve"> a la deriva</w:t>
      </w:r>
      <w:r w:rsidR="003C0794">
        <w:rPr>
          <w:rFonts w:ascii="Arial" w:hAnsi="Arial" w:cs="Arial"/>
          <w:color w:val="000000" w:themeColor="text1"/>
          <w:lang w:val="es-ES"/>
        </w:rPr>
        <w:t>, tal como</w:t>
      </w:r>
      <w:r w:rsidRPr="00AE79C3">
        <w:rPr>
          <w:rFonts w:ascii="Arial" w:hAnsi="Arial" w:cs="Arial"/>
          <w:color w:val="000000" w:themeColor="text1"/>
          <w:lang w:val="es-ES"/>
        </w:rPr>
        <w:t xml:space="preserve"> la aventura </w:t>
      </w:r>
      <w:r w:rsidR="003C0794">
        <w:rPr>
          <w:rFonts w:ascii="Arial" w:hAnsi="Arial" w:cs="Arial"/>
          <w:color w:val="000000" w:themeColor="text1"/>
          <w:lang w:val="es-ES"/>
        </w:rPr>
        <w:t>K</w:t>
      </w:r>
      <w:r w:rsidRPr="00AE79C3">
        <w:rPr>
          <w:rFonts w:ascii="Arial" w:hAnsi="Arial" w:cs="Arial"/>
          <w:color w:val="000000" w:themeColor="text1"/>
          <w:lang w:val="es-ES"/>
        </w:rPr>
        <w:t>afkiana de Josef K</w:t>
      </w:r>
      <w:r w:rsidR="003C0794">
        <w:rPr>
          <w:rStyle w:val="Refdenotaalpie"/>
          <w:rFonts w:ascii="Arial" w:hAnsi="Arial"/>
          <w:color w:val="000000" w:themeColor="text1"/>
          <w:lang w:val="es-ES"/>
        </w:rPr>
        <w:footnoteReference w:id="26"/>
      </w:r>
      <w:r w:rsidRPr="00AE79C3">
        <w:rPr>
          <w:rFonts w:ascii="Arial" w:hAnsi="Arial" w:cs="Arial"/>
          <w:color w:val="000000" w:themeColor="text1"/>
          <w:lang w:val="es-ES"/>
        </w:rPr>
        <w:t>.</w:t>
      </w:r>
    </w:p>
    <w:p w14:paraId="650D02BD" w14:textId="77777777" w:rsidR="00915541" w:rsidRDefault="00915541" w:rsidP="007038D1">
      <w:pPr>
        <w:spacing w:line="360" w:lineRule="auto"/>
        <w:jc w:val="both"/>
        <w:rPr>
          <w:rFonts w:ascii="Arial" w:hAnsi="Arial" w:cs="Arial"/>
          <w:color w:val="FF0000"/>
          <w:lang w:val="es-ES"/>
        </w:rPr>
      </w:pPr>
    </w:p>
    <w:p w14:paraId="0ACB6A08" w14:textId="447FC5F6" w:rsidR="006C6B97" w:rsidRPr="005B0C16" w:rsidRDefault="00FA3E24" w:rsidP="005B0C16">
      <w:pPr>
        <w:pStyle w:val="Prrafodelista"/>
        <w:numPr>
          <w:ilvl w:val="0"/>
          <w:numId w:val="11"/>
        </w:numPr>
        <w:spacing w:line="360" w:lineRule="auto"/>
        <w:jc w:val="both"/>
        <w:rPr>
          <w:rFonts w:ascii="Arial" w:hAnsi="Arial" w:cs="Arial"/>
          <w:color w:val="000000" w:themeColor="text1"/>
          <w:sz w:val="24"/>
          <w:szCs w:val="24"/>
          <w:u w:val="single"/>
          <w:lang w:val="es-ES"/>
        </w:rPr>
      </w:pPr>
      <w:r w:rsidRPr="005B0C16">
        <w:rPr>
          <w:rFonts w:ascii="Arial" w:hAnsi="Arial" w:cs="Arial"/>
          <w:b/>
          <w:bCs/>
          <w:color w:val="000000" w:themeColor="text1"/>
          <w:sz w:val="24"/>
          <w:szCs w:val="24"/>
          <w:u w:val="single"/>
          <w:lang w:val="es-ES"/>
        </w:rPr>
        <w:t xml:space="preserve">Marco normativo. </w:t>
      </w:r>
      <w:r w:rsidR="007038D1" w:rsidRPr="005B0C16">
        <w:rPr>
          <w:rFonts w:ascii="Arial" w:hAnsi="Arial" w:cs="Arial"/>
          <w:b/>
          <w:bCs/>
          <w:color w:val="000000" w:themeColor="text1"/>
          <w:sz w:val="24"/>
          <w:szCs w:val="24"/>
          <w:u w:val="single"/>
          <w:lang w:val="es-ES"/>
        </w:rPr>
        <w:t>Aplicación en la Justicia de la Nación y la Provincia de Córdoba</w:t>
      </w:r>
    </w:p>
    <w:p w14:paraId="4AC3C7D7" w14:textId="277C6AB1" w:rsidR="006C6B97" w:rsidRPr="006C6B97" w:rsidRDefault="006C6B97" w:rsidP="006C6B97">
      <w:pPr>
        <w:spacing w:line="360" w:lineRule="auto"/>
        <w:ind w:left="360"/>
        <w:jc w:val="both"/>
        <w:rPr>
          <w:rFonts w:ascii="Arial" w:hAnsi="Arial" w:cs="Arial"/>
          <w:color w:val="000000" w:themeColor="text1"/>
          <w:u w:val="single"/>
          <w:lang w:val="es-ES"/>
        </w:rPr>
      </w:pPr>
      <w:r>
        <w:rPr>
          <w:rFonts w:ascii="Arial" w:hAnsi="Arial" w:cs="Arial"/>
          <w:b/>
          <w:bCs/>
          <w:color w:val="000000" w:themeColor="text1"/>
          <w:u w:val="single"/>
          <w:lang w:val="es-ES"/>
        </w:rPr>
        <w:t>5.1. El derecho de acceso a la información pública</w:t>
      </w:r>
    </w:p>
    <w:p w14:paraId="70037110" w14:textId="4DE937F5" w:rsidR="00F52819" w:rsidRPr="00121EC9" w:rsidRDefault="00121EC9" w:rsidP="00F52819">
      <w:pPr>
        <w:spacing w:line="360" w:lineRule="auto"/>
        <w:ind w:firstLine="1134"/>
        <w:jc w:val="both"/>
        <w:rPr>
          <w:rFonts w:ascii="Arial" w:hAnsi="Arial" w:cs="Arial"/>
          <w:color w:val="000000" w:themeColor="text1"/>
          <w:lang w:val="es-ES"/>
        </w:rPr>
      </w:pPr>
      <w:r w:rsidRPr="00121EC9">
        <w:rPr>
          <w:rFonts w:ascii="Arial" w:hAnsi="Arial" w:cs="Arial"/>
          <w:color w:val="000000" w:themeColor="text1"/>
          <w:lang w:val="es-ES"/>
        </w:rPr>
        <w:t>Para desarrollar el marco normativo, debemos partir de la normativa que regula el acceso a la información pública, atento lo advertido ab initio en cuan</w:t>
      </w:r>
      <w:r w:rsidR="00513F32">
        <w:rPr>
          <w:rFonts w:ascii="Arial" w:hAnsi="Arial" w:cs="Arial"/>
          <w:color w:val="000000" w:themeColor="text1"/>
          <w:lang w:val="es-ES"/>
        </w:rPr>
        <w:t>t</w:t>
      </w:r>
      <w:r w:rsidRPr="00121EC9">
        <w:rPr>
          <w:rFonts w:ascii="Arial" w:hAnsi="Arial" w:cs="Arial"/>
          <w:color w:val="000000" w:themeColor="text1"/>
          <w:lang w:val="es-ES"/>
        </w:rPr>
        <w:t>o que el expediente judicial y las sentencias tiene</w:t>
      </w:r>
      <w:r w:rsidR="00513F32">
        <w:rPr>
          <w:rFonts w:ascii="Arial" w:hAnsi="Arial" w:cs="Arial"/>
          <w:color w:val="000000" w:themeColor="text1"/>
          <w:lang w:val="es-ES"/>
        </w:rPr>
        <w:t>n</w:t>
      </w:r>
      <w:r w:rsidRPr="00121EC9">
        <w:rPr>
          <w:rFonts w:ascii="Arial" w:hAnsi="Arial" w:cs="Arial"/>
          <w:color w:val="000000" w:themeColor="text1"/>
          <w:lang w:val="es-ES"/>
        </w:rPr>
        <w:t xml:space="preserve"> ese carácter.</w:t>
      </w:r>
    </w:p>
    <w:p w14:paraId="4F1572F0" w14:textId="0488B6CD" w:rsidR="00F52819" w:rsidRDefault="00121EC9" w:rsidP="00F52819">
      <w:pPr>
        <w:spacing w:line="360" w:lineRule="auto"/>
        <w:ind w:firstLine="1134"/>
        <w:jc w:val="both"/>
        <w:rPr>
          <w:rFonts w:ascii="Arial" w:hAnsi="Arial" w:cs="Arial"/>
          <w:color w:val="000000" w:themeColor="text1"/>
        </w:rPr>
      </w:pPr>
      <w:r>
        <w:rPr>
          <w:rFonts w:ascii="Arial" w:hAnsi="Arial" w:cs="Arial"/>
          <w:color w:val="000000" w:themeColor="text1"/>
        </w:rPr>
        <w:t>El mismo, amén de la consagración que tiene derivada del sistema republicano y representativo de gobierno</w:t>
      </w:r>
      <w:r>
        <w:rPr>
          <w:rStyle w:val="Refdenotaalpie"/>
          <w:rFonts w:ascii="Arial" w:hAnsi="Arial"/>
          <w:color w:val="000000" w:themeColor="text1"/>
        </w:rPr>
        <w:footnoteReference w:id="27"/>
      </w:r>
      <w:r>
        <w:rPr>
          <w:rFonts w:ascii="Arial" w:hAnsi="Arial" w:cs="Arial"/>
          <w:color w:val="000000" w:themeColor="text1"/>
        </w:rPr>
        <w:t xml:space="preserve">, </w:t>
      </w:r>
      <w:r w:rsidR="0043170F">
        <w:rPr>
          <w:rFonts w:ascii="Arial" w:hAnsi="Arial" w:cs="Arial"/>
          <w:color w:val="000000" w:themeColor="text1"/>
        </w:rPr>
        <w:t xml:space="preserve">y por lo tanto, de constituir un derecho de los no enumerados o implícitos en la constitución (art. 33 C.N.), </w:t>
      </w:r>
      <w:r>
        <w:rPr>
          <w:rFonts w:ascii="Arial" w:hAnsi="Arial" w:cs="Arial"/>
          <w:color w:val="000000" w:themeColor="text1"/>
        </w:rPr>
        <w:t>está consagrado</w:t>
      </w:r>
      <w:r w:rsidR="00F52819" w:rsidRPr="00925D8D">
        <w:rPr>
          <w:rFonts w:ascii="Arial" w:hAnsi="Arial" w:cs="Arial"/>
          <w:color w:val="000000" w:themeColor="text1"/>
        </w:rPr>
        <w:t xml:space="preserve"> </w:t>
      </w:r>
      <w:r>
        <w:rPr>
          <w:rFonts w:ascii="Arial" w:hAnsi="Arial" w:cs="Arial"/>
          <w:color w:val="000000" w:themeColor="text1"/>
        </w:rPr>
        <w:t>convencionalmente e</w:t>
      </w:r>
      <w:r w:rsidR="00F52819" w:rsidRPr="00925D8D">
        <w:rPr>
          <w:rFonts w:ascii="Arial" w:hAnsi="Arial" w:cs="Arial"/>
          <w:color w:val="000000" w:themeColor="text1"/>
        </w:rPr>
        <w:t xml:space="preserve"> incorporad</w:t>
      </w:r>
      <w:r>
        <w:rPr>
          <w:rFonts w:ascii="Arial" w:hAnsi="Arial" w:cs="Arial"/>
          <w:color w:val="000000" w:themeColor="text1"/>
        </w:rPr>
        <w:t>o</w:t>
      </w:r>
      <w:r w:rsidR="00F52819" w:rsidRPr="00925D8D">
        <w:rPr>
          <w:rFonts w:ascii="Arial" w:hAnsi="Arial" w:cs="Arial"/>
          <w:color w:val="000000" w:themeColor="text1"/>
        </w:rPr>
        <w:t xml:space="preserve"> a la Constitución Nacional (art. 75, inc. 22). En esa línea: (i) la Declaración Universal de Derechos Humanos, art. 19, dispone que</w:t>
      </w:r>
      <w:r w:rsidR="00F52819" w:rsidRPr="00925D8D">
        <w:rPr>
          <w:rFonts w:ascii="Arial" w:hAnsi="Arial" w:cs="Arial"/>
          <w:color w:val="000000" w:themeColor="text1"/>
          <w:lang w:val="es-ES"/>
        </w:rPr>
        <w:t xml:space="preserve"> </w:t>
      </w:r>
      <w:r w:rsidR="00F52819" w:rsidRPr="00344823">
        <w:rPr>
          <w:rFonts w:ascii="Arial" w:hAnsi="Arial" w:cs="Arial"/>
          <w:color w:val="000000" w:themeColor="text1"/>
          <w:lang w:val="es-ES"/>
        </w:rPr>
        <w:t>“</w:t>
      </w:r>
      <w:r w:rsidR="00F52819" w:rsidRPr="00344823">
        <w:rPr>
          <w:rFonts w:ascii="Arial" w:hAnsi="Arial" w:cs="Arial"/>
          <w:i/>
          <w:iCs/>
          <w:color w:val="000000" w:themeColor="text1"/>
          <w:lang w:val="es-ES"/>
        </w:rPr>
        <w:t>Todo individuo tiene derecho a la libertad de opinión y de expresión; este derecho incluye el de no ser molestado a causa de sus opiniones, el de investigar y recibir informaciones y opiniones, y el de difundirlas, sin limitación de fronteras, por cualquier medio de expresión</w:t>
      </w:r>
      <w:r w:rsidR="00F52819" w:rsidRPr="00344823">
        <w:rPr>
          <w:rFonts w:ascii="Arial" w:hAnsi="Arial" w:cs="Arial"/>
          <w:color w:val="000000" w:themeColor="text1"/>
          <w:lang w:val="es-ES"/>
        </w:rPr>
        <w:t>.”;</w:t>
      </w:r>
      <w:r w:rsidR="00F52819" w:rsidRPr="00925D8D">
        <w:rPr>
          <w:rFonts w:ascii="Arial" w:hAnsi="Arial" w:cs="Arial"/>
          <w:color w:val="000000" w:themeColor="text1"/>
        </w:rPr>
        <w:t xml:space="preserve"> (ii) el Pacto Internacional de Derechos Civiles y Políticos, art. 19.2, reconoce que</w:t>
      </w:r>
      <w:r w:rsidR="00F52819" w:rsidRPr="00925D8D">
        <w:rPr>
          <w:rFonts w:ascii="Arial" w:hAnsi="Arial" w:cs="Arial"/>
          <w:color w:val="000000" w:themeColor="text1"/>
          <w:lang w:val="es-ES"/>
        </w:rPr>
        <w:t xml:space="preserve"> </w:t>
      </w:r>
      <w:r w:rsidR="00F52819" w:rsidRPr="00344823">
        <w:rPr>
          <w:rFonts w:ascii="Arial" w:hAnsi="Arial" w:cs="Arial"/>
          <w:color w:val="000000" w:themeColor="text1"/>
          <w:lang w:val="es-ES"/>
        </w:rPr>
        <w:t>“</w:t>
      </w:r>
      <w:r w:rsidR="00F52819" w:rsidRPr="00344823">
        <w:rPr>
          <w:rFonts w:ascii="Arial" w:hAnsi="Arial" w:cs="Arial"/>
          <w:i/>
          <w:iCs/>
          <w:color w:val="000000" w:themeColor="text1"/>
          <w:lang w:val="es-ES"/>
        </w:rPr>
        <w:t>Toda persona tiene derecho a la libertad de expresión; este derecho comprende la libertad de buscar, recibir y difundir informaciones e ideas de toda índole, sin consideración de fronteras, ya sea oralmente, por escrito o en forma impresa o artística, o por cualquier otro procedimiento de su elección</w:t>
      </w:r>
      <w:r w:rsidR="00F52819" w:rsidRPr="00344823">
        <w:rPr>
          <w:rFonts w:ascii="Arial" w:hAnsi="Arial" w:cs="Arial"/>
          <w:color w:val="000000" w:themeColor="text1"/>
          <w:lang w:val="es-ES"/>
        </w:rPr>
        <w:t>.”</w:t>
      </w:r>
      <w:r w:rsidR="00F52819" w:rsidRPr="00925D8D">
        <w:rPr>
          <w:rFonts w:ascii="Arial" w:hAnsi="Arial" w:cs="Arial"/>
          <w:color w:val="000000" w:themeColor="text1"/>
        </w:rPr>
        <w:t xml:space="preserve">; (iii) la Convención sobre los Derechos del Niño, art. 13.1, establece que </w:t>
      </w:r>
      <w:r w:rsidR="00F52819" w:rsidRPr="00344823">
        <w:rPr>
          <w:rFonts w:ascii="Arial" w:hAnsi="Arial" w:cs="Arial"/>
          <w:color w:val="000000" w:themeColor="text1"/>
          <w:lang w:val="es-ES"/>
        </w:rPr>
        <w:t>“</w:t>
      </w:r>
      <w:r w:rsidR="00F52819" w:rsidRPr="00344823">
        <w:rPr>
          <w:rFonts w:ascii="Arial" w:hAnsi="Arial" w:cs="Arial"/>
          <w:i/>
          <w:iCs/>
          <w:color w:val="000000" w:themeColor="text1"/>
          <w:lang w:val="es-ES"/>
        </w:rPr>
        <w:t xml:space="preserve">El niño tendrá </w:t>
      </w:r>
      <w:r w:rsidR="00F52819" w:rsidRPr="00344823">
        <w:rPr>
          <w:rFonts w:ascii="Arial" w:hAnsi="Arial" w:cs="Arial"/>
          <w:i/>
          <w:iCs/>
          <w:color w:val="000000" w:themeColor="text1"/>
          <w:lang w:val="es-ES"/>
        </w:rPr>
        <w:lastRenderedPageBreak/>
        <w:t>derecho a la libertad de expresión; ese derecho incluirá la libertad de buscar, recibir y difundir informaciones e ideas de todo tipo, sin consideración de fronteras, ya sea oralmente, por escrito o impresas, en forma artística o por cualquier otro medio elegido por el niño</w:t>
      </w:r>
      <w:r w:rsidR="00F52819" w:rsidRPr="00925D8D">
        <w:t xml:space="preserve"> </w:t>
      </w:r>
      <w:r w:rsidR="00F52819" w:rsidRPr="00925D8D">
        <w:rPr>
          <w:rFonts w:ascii="Arial" w:hAnsi="Arial" w:cs="Arial"/>
          <w:color w:val="000000" w:themeColor="text1"/>
        </w:rPr>
        <w:t>; y (iv) la Convención Americana sobre Derechos Humanos (Pacto de San José), art. 13.1, dispone que</w:t>
      </w:r>
      <w:r w:rsidR="00F52819">
        <w:rPr>
          <w:rFonts w:ascii="Arial" w:hAnsi="Arial" w:cs="Arial"/>
          <w:color w:val="000000" w:themeColor="text1"/>
        </w:rPr>
        <w:t xml:space="preserve"> “</w:t>
      </w:r>
      <w:r w:rsidR="00F52819" w:rsidRPr="00925D8D">
        <w:rPr>
          <w:rFonts w:ascii="Arial" w:hAnsi="Arial" w:cs="Arial"/>
          <w:i/>
          <w:iCs/>
          <w:color w:val="000000" w:themeColor="text1"/>
        </w:rPr>
        <w:t>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r w:rsidR="00F52819" w:rsidRPr="00925D8D">
        <w:rPr>
          <w:rFonts w:ascii="Arial" w:hAnsi="Arial" w:cs="Arial"/>
          <w:color w:val="000000" w:themeColor="text1"/>
        </w:rPr>
        <w:t>.</w:t>
      </w:r>
      <w:r w:rsidR="00F52819">
        <w:rPr>
          <w:rFonts w:ascii="Arial" w:hAnsi="Arial" w:cs="Arial"/>
          <w:color w:val="000000" w:themeColor="text1"/>
        </w:rPr>
        <w:t>”.</w:t>
      </w:r>
    </w:p>
    <w:p w14:paraId="04E75242" w14:textId="4426C095" w:rsidR="00F52819" w:rsidRPr="000A62B2" w:rsidRDefault="00F52819" w:rsidP="00F52819">
      <w:pPr>
        <w:spacing w:line="360" w:lineRule="auto"/>
        <w:ind w:firstLine="1134"/>
        <w:jc w:val="both"/>
        <w:rPr>
          <w:rFonts w:ascii="Arial" w:hAnsi="Arial" w:cs="Arial"/>
          <w:color w:val="000000" w:themeColor="text1"/>
          <w:lang w:val="es-ES"/>
        </w:rPr>
      </w:pPr>
      <w:r w:rsidRPr="000A62B2">
        <w:rPr>
          <w:rFonts w:ascii="Arial" w:hAnsi="Arial" w:cs="Arial"/>
          <w:color w:val="000000" w:themeColor="text1"/>
          <w:lang w:val="es-ES"/>
        </w:rPr>
        <w:t>En el orden federal, y en sintonía con el régimen republicano y representativo consagrado en el art. 1 de la Constitución Nacional, la Ley 27.275 garantiza el ejercicio del derecho de acceso a la información pública, promueve la participación ciudadana y fortalece la transparencia estatal. Se estructura sobre principios rectores</w:t>
      </w:r>
      <w:r w:rsidR="00121EC9">
        <w:rPr>
          <w:rFonts w:ascii="Arial" w:hAnsi="Arial" w:cs="Arial"/>
          <w:color w:val="000000" w:themeColor="text1"/>
          <w:lang w:val="es-ES"/>
        </w:rPr>
        <w:t xml:space="preserve"> los cuales han sido desarrollados.</w:t>
      </w:r>
    </w:p>
    <w:p w14:paraId="394B6520" w14:textId="77777777" w:rsidR="00F52819" w:rsidRDefault="00F52819" w:rsidP="00F52819">
      <w:pPr>
        <w:spacing w:line="360" w:lineRule="auto"/>
        <w:ind w:firstLine="1134"/>
        <w:jc w:val="both"/>
        <w:rPr>
          <w:rFonts w:ascii="Arial" w:hAnsi="Arial" w:cs="Arial"/>
          <w:color w:val="000000" w:themeColor="text1"/>
          <w:lang w:val="es-ES"/>
        </w:rPr>
      </w:pPr>
      <w:r w:rsidRPr="000A62B2">
        <w:rPr>
          <w:rFonts w:ascii="Arial" w:hAnsi="Arial" w:cs="Arial"/>
          <w:color w:val="000000" w:themeColor="text1"/>
          <w:lang w:val="es-ES"/>
        </w:rPr>
        <w:t>En el plano provincial, la Constitución de Córdoba consagra en sus arts. 2 y 3 el sistema republicano de gobierno y el principio de soberanía popular. Con particular relevancia, el art. 51 explicita el alcance de esa regla: “</w:t>
      </w:r>
      <w:r w:rsidRPr="000A62B2">
        <w:rPr>
          <w:rFonts w:ascii="Arial" w:hAnsi="Arial" w:cs="Arial"/>
          <w:i/>
          <w:iCs/>
          <w:color w:val="000000" w:themeColor="text1"/>
          <w:lang w:val="es-ES"/>
        </w:rPr>
        <w:t>El ejercicio de los derechos a la información y a la libertad de expresión no está sujeto a censura previa sino sólo a responsabilidades ulteriores expresamente establecidas por ley y destinadas exclusivamente a garantizar el respeto de los derechos, la reputación de las personas y la protección de la seguridad, la moral y el orden público. (…) La información y la comunicación constituyen un bien social</w:t>
      </w:r>
      <w:r w:rsidRPr="000A62B2">
        <w:rPr>
          <w:rFonts w:ascii="Arial" w:hAnsi="Arial" w:cs="Arial"/>
          <w:color w:val="000000" w:themeColor="text1"/>
          <w:lang w:val="es-ES"/>
        </w:rPr>
        <w:t>.”</w:t>
      </w:r>
      <w:r>
        <w:rPr>
          <w:rFonts w:ascii="Arial" w:hAnsi="Arial" w:cs="Arial"/>
          <w:color w:val="000000" w:themeColor="text1"/>
          <w:lang w:val="es-ES"/>
        </w:rPr>
        <w:t>. La ley local 8.803 reglamenta este derecho.</w:t>
      </w:r>
    </w:p>
    <w:p w14:paraId="1C734A7A" w14:textId="31288BAF" w:rsidR="00F52819" w:rsidRDefault="00F52819" w:rsidP="00F52819">
      <w:pPr>
        <w:spacing w:line="360" w:lineRule="auto"/>
        <w:ind w:firstLine="1134"/>
        <w:jc w:val="both"/>
        <w:rPr>
          <w:rFonts w:ascii="Arial" w:hAnsi="Arial" w:cs="Arial"/>
          <w:color w:val="000000" w:themeColor="text1"/>
        </w:rPr>
      </w:pPr>
      <w:r>
        <w:rPr>
          <w:rFonts w:ascii="Arial" w:hAnsi="Arial" w:cs="Arial"/>
          <w:color w:val="000000" w:themeColor="text1"/>
          <w:lang w:val="es-ES"/>
        </w:rPr>
        <w:t>En su interpretación, el tribunal cimero de la nación ha dicho “</w:t>
      </w:r>
      <w:r w:rsidRPr="00B00B1F">
        <w:rPr>
          <w:rFonts w:ascii="Arial" w:hAnsi="Arial" w:cs="Arial"/>
          <w:i/>
          <w:iCs/>
          <w:color w:val="000000" w:themeColor="text1"/>
          <w:lang w:val="es-ES"/>
        </w:rPr>
        <w:t>El derecho de acceso a la información resulta fundamental en toda sociedad democrática y tiene una doble vertiente: como derecho individual de toda persona a buscar información y como obligación positiva del Estado de garantizar que se pueda acceder a la información solicitada o que, en su defecto, se reciba una respuesta fundamentada cuando exista una restricción legítima</w:t>
      </w:r>
      <w:r w:rsidRPr="00B00B1F">
        <w:rPr>
          <w:rFonts w:ascii="Arial" w:hAnsi="Arial" w:cs="Arial"/>
          <w:color w:val="000000" w:themeColor="text1"/>
          <w:lang w:val="es-ES"/>
        </w:rPr>
        <w:t>.</w:t>
      </w:r>
      <w:r>
        <w:rPr>
          <w:rFonts w:ascii="Arial" w:hAnsi="Arial" w:cs="Arial"/>
          <w:color w:val="000000" w:themeColor="text1"/>
          <w:lang w:val="es-ES"/>
        </w:rPr>
        <w:t>”</w:t>
      </w:r>
      <w:r w:rsidRPr="00B00B1F">
        <w:rPr>
          <w:rFonts w:ascii="Arial" w:hAnsi="Arial" w:cs="Arial"/>
          <w:color w:val="000000" w:themeColor="text1"/>
          <w:lang w:val="es-ES"/>
        </w:rPr>
        <w:t xml:space="preserve"> </w:t>
      </w:r>
      <w:r>
        <w:rPr>
          <w:rFonts w:ascii="Arial" w:hAnsi="Arial" w:cs="Arial"/>
          <w:color w:val="000000" w:themeColor="text1"/>
          <w:lang w:val="es-ES"/>
        </w:rPr>
        <w:t xml:space="preserve">(Conforme </w:t>
      </w:r>
      <w:r w:rsidRPr="00B00B1F">
        <w:rPr>
          <w:rFonts w:ascii="Arial" w:hAnsi="Arial" w:cs="Arial"/>
          <w:color w:val="000000" w:themeColor="text1"/>
          <w:lang w:val="es-ES"/>
        </w:rPr>
        <w:t>el dictamen de</w:t>
      </w:r>
      <w:r w:rsidR="00513F32">
        <w:rPr>
          <w:rFonts w:ascii="Arial" w:hAnsi="Arial" w:cs="Arial"/>
          <w:color w:val="000000" w:themeColor="text1"/>
          <w:lang w:val="es-ES"/>
        </w:rPr>
        <w:t xml:space="preserve">l </w:t>
      </w:r>
      <w:r>
        <w:rPr>
          <w:rFonts w:ascii="Arial" w:hAnsi="Arial" w:cs="Arial"/>
          <w:color w:val="000000" w:themeColor="text1"/>
          <w:lang w:val="es-ES"/>
        </w:rPr>
        <w:t>Procurador Víctor Abramovich</w:t>
      </w:r>
      <w:r w:rsidRPr="00B00B1F">
        <w:rPr>
          <w:rFonts w:ascii="Arial" w:hAnsi="Arial" w:cs="Arial"/>
          <w:color w:val="000000" w:themeColor="text1"/>
          <w:lang w:val="es-ES"/>
        </w:rPr>
        <w:t xml:space="preserve"> al que la Corte remite</w:t>
      </w:r>
      <w:r>
        <w:rPr>
          <w:rFonts w:ascii="Arial" w:hAnsi="Arial" w:cs="Arial"/>
          <w:color w:val="000000" w:themeColor="text1"/>
          <w:lang w:val="es-ES"/>
        </w:rPr>
        <w:t>, por sentencia de fecha 18.03.2021 dictada en autos “</w:t>
      </w:r>
      <w:r w:rsidRPr="00B00B1F">
        <w:rPr>
          <w:rFonts w:ascii="Arial" w:hAnsi="Arial" w:cs="Arial"/>
          <w:color w:val="000000" w:themeColor="text1"/>
          <w:lang w:val="es-ES"/>
        </w:rPr>
        <w:t>MIHURA ESTRADA, RICARDO Y OTROS c/ COLEGIO PUBLICO DE ABOGADOS DE LA CAPITAL FEDERAL s/ AMPARO LEY 16.986</w:t>
      </w:r>
      <w:r>
        <w:rPr>
          <w:rFonts w:ascii="Arial" w:hAnsi="Arial" w:cs="Arial"/>
          <w:color w:val="000000" w:themeColor="text1"/>
          <w:lang w:val="es-ES"/>
        </w:rPr>
        <w:t xml:space="preserve">”, </w:t>
      </w:r>
      <w:r w:rsidRPr="00B00B1F">
        <w:rPr>
          <w:rFonts w:ascii="Arial" w:hAnsi="Arial" w:cs="Arial"/>
          <w:color w:val="000000" w:themeColor="text1"/>
        </w:rPr>
        <w:t>Fallos: 344:344</w:t>
      </w:r>
      <w:r>
        <w:rPr>
          <w:rFonts w:ascii="Arial" w:hAnsi="Arial" w:cs="Arial"/>
          <w:color w:val="000000" w:themeColor="text1"/>
        </w:rPr>
        <w:t xml:space="preserve">). </w:t>
      </w:r>
    </w:p>
    <w:p w14:paraId="0DFCF999" w14:textId="245536ED" w:rsidR="00F52819" w:rsidRDefault="00F52819" w:rsidP="00F52819">
      <w:pPr>
        <w:spacing w:line="360" w:lineRule="auto"/>
        <w:ind w:firstLine="1134"/>
        <w:jc w:val="both"/>
        <w:rPr>
          <w:rFonts w:ascii="Arial" w:hAnsi="Arial" w:cs="Arial"/>
          <w:color w:val="000000" w:themeColor="text1"/>
        </w:rPr>
      </w:pPr>
      <w:r>
        <w:rPr>
          <w:rFonts w:ascii="Arial" w:hAnsi="Arial" w:cs="Arial"/>
          <w:color w:val="000000" w:themeColor="text1"/>
        </w:rPr>
        <w:t>En la misma sintonía, el Tribunal Superior de Justicia de la Provincia de Córdoba se ha expedido</w:t>
      </w:r>
      <w:r w:rsidR="00121EC9">
        <w:rPr>
          <w:rFonts w:ascii="Arial" w:hAnsi="Arial" w:cs="Arial"/>
          <w:color w:val="000000" w:themeColor="text1"/>
        </w:rPr>
        <w:t xml:space="preserve"> “</w:t>
      </w:r>
      <w:r w:rsidR="00121EC9" w:rsidRPr="00121EC9">
        <w:rPr>
          <w:rFonts w:ascii="Arial" w:hAnsi="Arial" w:cs="Arial"/>
          <w:i/>
          <w:iCs/>
          <w:color w:val="000000" w:themeColor="text1"/>
        </w:rPr>
        <w:t xml:space="preserve">La protección del derecho de acceso a la información pública tiene una especial relevancia, puesto que de su conocimiento por parte de la ciudadanía dependen las posibilidades de participar y fiscalizar de manera positiva y adecuada las acciones de </w:t>
      </w:r>
      <w:r w:rsidR="00121EC9" w:rsidRPr="00121EC9">
        <w:rPr>
          <w:rFonts w:ascii="Arial" w:hAnsi="Arial" w:cs="Arial"/>
          <w:i/>
          <w:iCs/>
          <w:color w:val="000000" w:themeColor="text1"/>
        </w:rPr>
        <w:lastRenderedPageBreak/>
        <w:t>quienes ejercen funciones públicas, ya sea que se trate de Órganos públicos estatales o de entidades que actúen por delegación, quienes solo podrán negarse a brindarla fundadamente, explicitando las razones que justifiquen tal proceder a los fines de permitir su contralor</w:t>
      </w:r>
      <w:r w:rsidR="0043170F">
        <w:rPr>
          <w:rFonts w:ascii="Arial" w:hAnsi="Arial" w:cs="Arial"/>
          <w:i/>
          <w:iCs/>
          <w:color w:val="000000" w:themeColor="text1"/>
        </w:rPr>
        <w:t xml:space="preserve"> (…) </w:t>
      </w:r>
      <w:r w:rsidR="0043170F" w:rsidRPr="0043170F">
        <w:rPr>
          <w:rFonts w:ascii="Arial" w:hAnsi="Arial" w:cs="Arial"/>
          <w:i/>
          <w:iCs/>
          <w:color w:val="000000" w:themeColor="text1"/>
        </w:rPr>
        <w:t>En materia de derecho de acceso a la información pública rige un sistema jurídico con principios económicos, legales y éticos, deberes y derechos que marcan la tendencia de la publicidad y la transparencia en la gestión pública, de modo que debe ser analizado desde una óptica amplia y holística</w:t>
      </w:r>
      <w:r w:rsidR="00121EC9">
        <w:rPr>
          <w:rFonts w:ascii="Arial" w:hAnsi="Arial" w:cs="Arial"/>
          <w:i/>
          <w:iCs/>
          <w:color w:val="000000" w:themeColor="text1"/>
        </w:rPr>
        <w:t xml:space="preserve">” </w:t>
      </w:r>
      <w:r w:rsidR="00121EC9" w:rsidRPr="00121EC9">
        <w:rPr>
          <w:rFonts w:ascii="Arial" w:hAnsi="Arial" w:cs="Arial"/>
          <w:color w:val="000000" w:themeColor="text1"/>
        </w:rPr>
        <w:t xml:space="preserve"> (</w:t>
      </w:r>
      <w:r w:rsidR="0043170F">
        <w:rPr>
          <w:rFonts w:ascii="Arial" w:hAnsi="Arial" w:cs="Arial"/>
          <w:color w:val="000000" w:themeColor="text1"/>
        </w:rPr>
        <w:t>TS</w:t>
      </w:r>
      <w:r w:rsidR="0043170F" w:rsidRPr="0043170F">
        <w:rPr>
          <w:rFonts w:ascii="Arial" w:hAnsi="Arial" w:cs="Arial"/>
          <w:color w:val="000000" w:themeColor="text1"/>
        </w:rPr>
        <w:t xml:space="preserve">J, Sala Cont. Adm., </w:t>
      </w:r>
      <w:r w:rsidR="0043170F">
        <w:rPr>
          <w:rFonts w:ascii="Arial" w:hAnsi="Arial" w:cs="Arial"/>
          <w:color w:val="000000" w:themeColor="text1"/>
        </w:rPr>
        <w:t>c</w:t>
      </w:r>
      <w:r w:rsidR="0043170F" w:rsidRPr="0043170F">
        <w:rPr>
          <w:rFonts w:ascii="Arial" w:hAnsi="Arial" w:cs="Arial"/>
          <w:color w:val="000000" w:themeColor="text1"/>
        </w:rPr>
        <w:t xml:space="preserve">ausa “Bonetto”, auto. nro. 29 de fecha 06.05.2025. </w:t>
      </w:r>
      <w:r w:rsidR="0043170F">
        <w:rPr>
          <w:rFonts w:ascii="Arial" w:hAnsi="Arial" w:cs="Arial"/>
          <w:color w:val="000000" w:themeColor="text1"/>
        </w:rPr>
        <w:t>E</w:t>
      </w:r>
      <w:r w:rsidR="00121EC9" w:rsidRPr="00121EC9">
        <w:rPr>
          <w:rFonts w:ascii="Arial" w:hAnsi="Arial" w:cs="Arial"/>
          <w:color w:val="000000" w:themeColor="text1"/>
        </w:rPr>
        <w:t>n el mismo sentido, TSJ, Sala Cont. Adm., causa “Fundación”, sentencia n</w:t>
      </w:r>
      <w:r w:rsidR="0043170F">
        <w:rPr>
          <w:rFonts w:ascii="Arial" w:hAnsi="Arial" w:cs="Arial"/>
          <w:color w:val="000000" w:themeColor="text1"/>
        </w:rPr>
        <w:t>ro.</w:t>
      </w:r>
      <w:r w:rsidR="00121EC9" w:rsidRPr="00121EC9">
        <w:rPr>
          <w:rFonts w:ascii="Arial" w:hAnsi="Arial" w:cs="Arial"/>
          <w:color w:val="000000" w:themeColor="text1"/>
        </w:rPr>
        <w:t xml:space="preserve"> 35, de fecha 17 de abril de 2019).</w:t>
      </w:r>
      <w:r w:rsidR="00121EC9">
        <w:rPr>
          <w:rFonts w:ascii="Arial" w:hAnsi="Arial" w:cs="Arial"/>
          <w:color w:val="000000" w:themeColor="text1"/>
        </w:rPr>
        <w:t>”</w:t>
      </w:r>
    </w:p>
    <w:p w14:paraId="103B492F" w14:textId="77777777" w:rsidR="006C6B97" w:rsidRDefault="006C6B97" w:rsidP="00F52819">
      <w:pPr>
        <w:spacing w:line="360" w:lineRule="auto"/>
        <w:ind w:firstLine="1134"/>
        <w:jc w:val="both"/>
        <w:rPr>
          <w:rFonts w:ascii="Arial" w:hAnsi="Arial" w:cs="Arial"/>
          <w:color w:val="000000" w:themeColor="text1"/>
        </w:rPr>
      </w:pPr>
    </w:p>
    <w:p w14:paraId="7B0D2AEC" w14:textId="19654B6D" w:rsidR="006C6B97" w:rsidRPr="006C6B97" w:rsidRDefault="006C6B97" w:rsidP="006C6B97">
      <w:pPr>
        <w:spacing w:line="360" w:lineRule="auto"/>
        <w:ind w:left="360"/>
        <w:jc w:val="both"/>
        <w:rPr>
          <w:rFonts w:ascii="Arial" w:hAnsi="Arial" w:cs="Arial"/>
          <w:color w:val="000000" w:themeColor="text1"/>
          <w:u w:val="single"/>
          <w:lang w:val="es-ES"/>
        </w:rPr>
      </w:pPr>
      <w:r>
        <w:rPr>
          <w:rFonts w:ascii="Arial" w:hAnsi="Arial" w:cs="Arial"/>
          <w:b/>
          <w:bCs/>
          <w:color w:val="000000" w:themeColor="text1"/>
          <w:u w:val="single"/>
          <w:lang w:val="es-ES"/>
        </w:rPr>
        <w:t>5.2. El derecho de acceso a los expedientes y las sentencias en el marco convencional</w:t>
      </w:r>
    </w:p>
    <w:p w14:paraId="5A04891E" w14:textId="77777777" w:rsidR="006C6B97" w:rsidRPr="006C6B97" w:rsidRDefault="006C6B97" w:rsidP="00F52819">
      <w:pPr>
        <w:spacing w:line="360" w:lineRule="auto"/>
        <w:ind w:firstLine="1134"/>
        <w:jc w:val="both"/>
        <w:rPr>
          <w:rFonts w:ascii="Arial" w:hAnsi="Arial" w:cs="Arial"/>
          <w:color w:val="000000" w:themeColor="text1"/>
          <w:lang w:val="es-ES"/>
        </w:rPr>
      </w:pPr>
    </w:p>
    <w:p w14:paraId="6C45518F" w14:textId="006E6A54" w:rsidR="0075182E" w:rsidRPr="0075182E" w:rsidRDefault="0075182E" w:rsidP="0075182E">
      <w:pPr>
        <w:spacing w:line="360" w:lineRule="auto"/>
        <w:ind w:firstLine="1134"/>
        <w:jc w:val="both"/>
        <w:rPr>
          <w:rFonts w:ascii="Arial" w:hAnsi="Arial" w:cs="Arial"/>
          <w:b/>
          <w:bCs/>
          <w:color w:val="000000" w:themeColor="text1"/>
          <w:lang w:val="es-ES"/>
        </w:rPr>
      </w:pPr>
      <w:r>
        <w:rPr>
          <w:rFonts w:ascii="Arial" w:hAnsi="Arial" w:cs="Arial"/>
          <w:color w:val="000000" w:themeColor="text1"/>
        </w:rPr>
        <w:t xml:space="preserve">Desarrollado brevemente el marco normativo nacional y provincial sobre la información pública, nos adentramos al marco normativo del acceso a la información propia del poder judicial. Lo encontramos receptado convencionalmente </w:t>
      </w:r>
      <w:r w:rsidRPr="0075182E">
        <w:rPr>
          <w:rFonts w:ascii="Arial" w:hAnsi="Arial" w:cs="Arial"/>
          <w:color w:val="000000" w:themeColor="text1"/>
        </w:rPr>
        <w:t>en:</w:t>
      </w:r>
      <w:r>
        <w:rPr>
          <w:rFonts w:ascii="Arial" w:hAnsi="Arial" w:cs="Arial"/>
          <w:color w:val="000000" w:themeColor="text1"/>
        </w:rPr>
        <w:t xml:space="preserve"> </w:t>
      </w:r>
      <w:r w:rsidRPr="00925D8D">
        <w:rPr>
          <w:rFonts w:ascii="Arial" w:hAnsi="Arial" w:cs="Arial"/>
          <w:color w:val="000000" w:themeColor="text1"/>
        </w:rPr>
        <w:t>(ii) el Pacto Internacional de Derechos Civiles y Políticos, art. 1</w:t>
      </w:r>
      <w:r>
        <w:rPr>
          <w:rFonts w:ascii="Arial" w:hAnsi="Arial" w:cs="Arial"/>
          <w:color w:val="000000" w:themeColor="text1"/>
        </w:rPr>
        <w:t>4</w:t>
      </w:r>
      <w:r w:rsidRPr="00925D8D">
        <w:rPr>
          <w:rFonts w:ascii="Arial" w:hAnsi="Arial" w:cs="Arial"/>
          <w:color w:val="000000" w:themeColor="text1"/>
        </w:rPr>
        <w:t>.</w:t>
      </w:r>
      <w:r>
        <w:rPr>
          <w:rFonts w:ascii="Arial" w:hAnsi="Arial" w:cs="Arial"/>
          <w:color w:val="000000" w:themeColor="text1"/>
        </w:rPr>
        <w:t>i</w:t>
      </w:r>
      <w:r w:rsidRPr="00925D8D">
        <w:rPr>
          <w:rFonts w:ascii="Arial" w:hAnsi="Arial" w:cs="Arial"/>
          <w:color w:val="000000" w:themeColor="text1"/>
        </w:rPr>
        <w:t xml:space="preserve">, </w:t>
      </w:r>
      <w:r>
        <w:rPr>
          <w:rFonts w:ascii="Arial" w:hAnsi="Arial" w:cs="Arial"/>
          <w:color w:val="000000" w:themeColor="text1"/>
        </w:rPr>
        <w:t xml:space="preserve">en cuanto reconoce a toda persona el derecho </w:t>
      </w:r>
      <w:r w:rsidRPr="0075182E">
        <w:rPr>
          <w:rFonts w:ascii="Arial" w:hAnsi="Arial" w:cs="Arial"/>
          <w:i/>
          <w:iCs/>
          <w:color w:val="000000" w:themeColor="text1"/>
        </w:rPr>
        <w:t xml:space="preserve">“(…)a ser oída públicamente y con las debidas garantías por un tribunal competente (…)  La prensa y el público podrán ser excluidos de la totalidad o parte de los juicios por consideraciones de moral, orden público o seguridad nacional en una sociedad democrática, o cuando lo exija el interés de la vida privada de las partes o, en la medida estrictamente necesaria en opinión del tribunal, cuando por circunstancias especiales del asunto la publicidad pudiera perjudicar a los intereses de la justicia; pero toda sentencia en materia penal o contenciosa será pública, excepto en los casos en que el interés de menores de edad exija lo contrario, o en las acusaciones referentes a pleitos matrimoniales o a la tutela de menores.”; </w:t>
      </w:r>
      <w:r w:rsidRPr="0075182E">
        <w:rPr>
          <w:rFonts w:ascii="Arial" w:hAnsi="Arial" w:cs="Arial"/>
          <w:color w:val="000000" w:themeColor="text1"/>
        </w:rPr>
        <w:t>(i</w:t>
      </w:r>
      <w:r>
        <w:rPr>
          <w:rFonts w:ascii="Arial" w:hAnsi="Arial" w:cs="Arial"/>
          <w:color w:val="000000" w:themeColor="text1"/>
        </w:rPr>
        <w:t>i</w:t>
      </w:r>
      <w:r w:rsidRPr="0075182E">
        <w:rPr>
          <w:rFonts w:ascii="Arial" w:hAnsi="Arial" w:cs="Arial"/>
          <w:color w:val="000000" w:themeColor="text1"/>
        </w:rPr>
        <w:t>)</w:t>
      </w:r>
      <w:r>
        <w:rPr>
          <w:rFonts w:ascii="Arial" w:hAnsi="Arial" w:cs="Arial"/>
          <w:color w:val="000000" w:themeColor="text1"/>
        </w:rPr>
        <w:t xml:space="preserve"> la</w:t>
      </w:r>
      <w:r w:rsidRPr="0075182E">
        <w:rPr>
          <w:rFonts w:ascii="Arial" w:hAnsi="Arial" w:cs="Arial"/>
          <w:color w:val="000000" w:themeColor="text1"/>
        </w:rPr>
        <w:t xml:space="preserve"> </w:t>
      </w:r>
      <w:r w:rsidRPr="0075182E">
        <w:rPr>
          <w:rFonts w:ascii="Arial" w:hAnsi="Arial" w:cs="Arial"/>
          <w:color w:val="000000" w:themeColor="text1"/>
          <w:lang w:val="es-ES"/>
        </w:rPr>
        <w:t>Declaración Americana de los Derechos y Deberes del Hombre</w:t>
      </w:r>
      <w:r w:rsidRPr="0075182E">
        <w:rPr>
          <w:rFonts w:ascii="Arial" w:hAnsi="Arial" w:cs="Arial"/>
          <w:color w:val="000000" w:themeColor="text1"/>
        </w:rPr>
        <w:t xml:space="preserve">, </w:t>
      </w:r>
      <w:r>
        <w:rPr>
          <w:rFonts w:ascii="Arial" w:hAnsi="Arial" w:cs="Arial"/>
          <w:color w:val="000000" w:themeColor="text1"/>
        </w:rPr>
        <w:t xml:space="preserve">en su </w:t>
      </w:r>
      <w:r w:rsidRPr="0075182E">
        <w:rPr>
          <w:rFonts w:ascii="Arial" w:hAnsi="Arial" w:cs="Arial"/>
          <w:color w:val="000000" w:themeColor="text1"/>
        </w:rPr>
        <w:t xml:space="preserve">art. 26, </w:t>
      </w:r>
      <w:r>
        <w:rPr>
          <w:rFonts w:ascii="Arial" w:hAnsi="Arial" w:cs="Arial"/>
          <w:color w:val="000000" w:themeColor="text1"/>
        </w:rPr>
        <w:t>dispone que</w:t>
      </w:r>
      <w:r w:rsidRPr="0075182E">
        <w:rPr>
          <w:rFonts w:ascii="Arial" w:hAnsi="Arial" w:cs="Arial"/>
          <w:color w:val="000000" w:themeColor="text1"/>
          <w:lang w:val="es-ES_tradnl"/>
        </w:rPr>
        <w:t xml:space="preserve"> </w:t>
      </w:r>
      <w:r>
        <w:rPr>
          <w:rFonts w:ascii="Arial" w:hAnsi="Arial" w:cs="Arial"/>
          <w:color w:val="000000" w:themeColor="text1"/>
          <w:lang w:val="es-ES_tradnl"/>
        </w:rPr>
        <w:t>“</w:t>
      </w:r>
      <w:r w:rsidRPr="0075182E">
        <w:rPr>
          <w:rFonts w:ascii="Arial" w:hAnsi="Arial" w:cs="Arial"/>
          <w:i/>
          <w:iCs/>
          <w:color w:val="000000" w:themeColor="text1"/>
          <w:lang w:val="es-ES_tradnl"/>
        </w:rPr>
        <w:t>Toda persona acusada de delito tiene derecho a ser oída en forma imparcial y pública</w:t>
      </w:r>
      <w:r>
        <w:rPr>
          <w:rFonts w:ascii="Arial" w:hAnsi="Arial" w:cs="Arial"/>
          <w:color w:val="000000" w:themeColor="text1"/>
          <w:lang w:val="es-ES_tradnl"/>
        </w:rPr>
        <w:t xml:space="preserve">”; </w:t>
      </w:r>
      <w:r w:rsidRPr="00925D8D">
        <w:rPr>
          <w:rFonts w:ascii="Arial" w:hAnsi="Arial" w:cs="Arial"/>
          <w:color w:val="000000" w:themeColor="text1"/>
        </w:rPr>
        <w:t>(i</w:t>
      </w:r>
      <w:r>
        <w:rPr>
          <w:rFonts w:ascii="Arial" w:hAnsi="Arial" w:cs="Arial"/>
          <w:color w:val="000000" w:themeColor="text1"/>
        </w:rPr>
        <w:t>ii</w:t>
      </w:r>
      <w:r w:rsidRPr="00925D8D">
        <w:rPr>
          <w:rFonts w:ascii="Arial" w:hAnsi="Arial" w:cs="Arial"/>
          <w:color w:val="000000" w:themeColor="text1"/>
        </w:rPr>
        <w:t xml:space="preserve">) la Convención Americana sobre Derechos Humanos (Pacto de San José), art. </w:t>
      </w:r>
      <w:r>
        <w:rPr>
          <w:rFonts w:ascii="Arial" w:hAnsi="Arial" w:cs="Arial"/>
          <w:color w:val="000000" w:themeColor="text1"/>
        </w:rPr>
        <w:t>8</w:t>
      </w:r>
      <w:r w:rsidRPr="00925D8D">
        <w:rPr>
          <w:rFonts w:ascii="Arial" w:hAnsi="Arial" w:cs="Arial"/>
          <w:color w:val="000000" w:themeColor="text1"/>
        </w:rPr>
        <w:t>.</w:t>
      </w:r>
      <w:r>
        <w:rPr>
          <w:rFonts w:ascii="Arial" w:hAnsi="Arial" w:cs="Arial"/>
          <w:color w:val="000000" w:themeColor="text1"/>
        </w:rPr>
        <w:t>5</w:t>
      </w:r>
      <w:r w:rsidRPr="00925D8D">
        <w:rPr>
          <w:rFonts w:ascii="Arial" w:hAnsi="Arial" w:cs="Arial"/>
          <w:color w:val="000000" w:themeColor="text1"/>
        </w:rPr>
        <w:t>, dispone que</w:t>
      </w:r>
      <w:r>
        <w:rPr>
          <w:rFonts w:ascii="Arial" w:hAnsi="Arial" w:cs="Arial"/>
          <w:color w:val="000000" w:themeColor="text1"/>
        </w:rPr>
        <w:t xml:space="preserve"> “</w:t>
      </w:r>
      <w:r w:rsidRPr="0075182E">
        <w:rPr>
          <w:rFonts w:ascii="Arial" w:hAnsi="Arial" w:cs="Arial"/>
          <w:i/>
          <w:iCs/>
          <w:color w:val="000000" w:themeColor="text1"/>
        </w:rPr>
        <w:t>El proceso penal debe ser público, salvo en lo que sea necesario para preservar los intereses de la justicia</w:t>
      </w:r>
      <w:r w:rsidRPr="00925D8D">
        <w:rPr>
          <w:rFonts w:ascii="Arial" w:hAnsi="Arial" w:cs="Arial"/>
          <w:color w:val="000000" w:themeColor="text1"/>
        </w:rPr>
        <w:t>.</w:t>
      </w:r>
      <w:r>
        <w:rPr>
          <w:rFonts w:ascii="Arial" w:hAnsi="Arial" w:cs="Arial"/>
          <w:color w:val="000000" w:themeColor="text1"/>
        </w:rPr>
        <w:t>”.</w:t>
      </w:r>
    </w:p>
    <w:p w14:paraId="3A56CA4B" w14:textId="77777777" w:rsidR="0075182E" w:rsidRPr="0075182E" w:rsidRDefault="0075182E" w:rsidP="0075182E">
      <w:pPr>
        <w:spacing w:line="360" w:lineRule="auto"/>
        <w:ind w:firstLine="1134"/>
        <w:jc w:val="both"/>
        <w:rPr>
          <w:rFonts w:ascii="Arial" w:hAnsi="Arial" w:cs="Arial"/>
          <w:color w:val="000000" w:themeColor="text1"/>
          <w:lang w:val="es-ES"/>
        </w:rPr>
      </w:pPr>
    </w:p>
    <w:p w14:paraId="0DC7834B" w14:textId="097021D7" w:rsidR="006C6B97" w:rsidRDefault="006C6B97" w:rsidP="006C6B97">
      <w:pPr>
        <w:spacing w:line="360" w:lineRule="auto"/>
        <w:ind w:left="360"/>
        <w:jc w:val="both"/>
        <w:rPr>
          <w:rFonts w:ascii="Arial" w:hAnsi="Arial" w:cs="Arial"/>
          <w:b/>
          <w:bCs/>
          <w:color w:val="000000" w:themeColor="text1"/>
          <w:u w:val="single"/>
          <w:lang w:val="es-ES"/>
        </w:rPr>
      </w:pPr>
      <w:r>
        <w:rPr>
          <w:rFonts w:ascii="Arial" w:hAnsi="Arial" w:cs="Arial"/>
          <w:b/>
          <w:bCs/>
          <w:color w:val="000000" w:themeColor="text1"/>
          <w:u w:val="single"/>
          <w:lang w:val="es-ES"/>
        </w:rPr>
        <w:t>5.3. El derecho de acceso a los expedientes y las sentencias en el orden nacional y federal</w:t>
      </w:r>
    </w:p>
    <w:p w14:paraId="3292D9A2" w14:textId="77777777" w:rsidR="00C06FA4" w:rsidRDefault="00C06FA4" w:rsidP="001C3B3D">
      <w:pPr>
        <w:spacing w:line="360" w:lineRule="auto"/>
        <w:jc w:val="both"/>
        <w:rPr>
          <w:rFonts w:ascii="Arial" w:hAnsi="Arial" w:cs="Arial"/>
          <w:color w:val="000000" w:themeColor="text1"/>
          <w:u w:val="single"/>
          <w:lang w:val="es-ES"/>
        </w:rPr>
      </w:pPr>
    </w:p>
    <w:p w14:paraId="38E25936" w14:textId="7F557A0A" w:rsidR="00C06FA4" w:rsidRDefault="00C06FA4" w:rsidP="00C06FA4">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lastRenderedPageBreak/>
        <w:t>5.3.a.</w:t>
      </w:r>
      <w:r w:rsidR="009E351A">
        <w:rPr>
          <w:rFonts w:ascii="Arial" w:hAnsi="Arial" w:cs="Arial"/>
          <w:color w:val="000000" w:themeColor="text1"/>
          <w:u w:val="single"/>
          <w:lang w:val="es-ES"/>
        </w:rPr>
        <w:t>1</w:t>
      </w:r>
      <w:r>
        <w:rPr>
          <w:rFonts w:ascii="Arial" w:hAnsi="Arial" w:cs="Arial"/>
          <w:color w:val="000000" w:themeColor="text1"/>
          <w:u w:val="single"/>
          <w:lang w:val="es-ES"/>
        </w:rPr>
        <w:t xml:space="preserve">- </w:t>
      </w:r>
      <w:r w:rsidR="009E351A">
        <w:rPr>
          <w:rFonts w:ascii="Arial" w:hAnsi="Arial" w:cs="Arial"/>
          <w:color w:val="000000" w:themeColor="text1"/>
          <w:u w:val="single"/>
          <w:lang w:val="es-ES"/>
        </w:rPr>
        <w:t xml:space="preserve">La </w:t>
      </w:r>
      <w:r>
        <w:rPr>
          <w:rFonts w:ascii="Arial" w:hAnsi="Arial" w:cs="Arial"/>
          <w:color w:val="000000" w:themeColor="text1"/>
          <w:u w:val="single"/>
          <w:lang w:val="es-ES"/>
        </w:rPr>
        <w:t>Colección “Fallos de la CSJN</w:t>
      </w:r>
      <w:r w:rsidR="00513F32">
        <w:rPr>
          <w:rFonts w:ascii="Arial" w:hAnsi="Arial" w:cs="Arial"/>
          <w:color w:val="000000" w:themeColor="text1"/>
          <w:u w:val="single"/>
          <w:lang w:val="es-ES"/>
        </w:rPr>
        <w:t>”</w:t>
      </w:r>
    </w:p>
    <w:p w14:paraId="6FBDF71D" w14:textId="5E4303F8" w:rsidR="001C3B3D" w:rsidRDefault="001C3B3D" w:rsidP="001C3B3D">
      <w:pPr>
        <w:spacing w:line="360" w:lineRule="auto"/>
        <w:ind w:firstLine="1134"/>
        <w:jc w:val="both"/>
        <w:rPr>
          <w:rFonts w:ascii="Arial" w:hAnsi="Arial" w:cs="Arial"/>
          <w:color w:val="000000" w:themeColor="text1"/>
          <w:lang w:val="es-ES"/>
        </w:rPr>
      </w:pPr>
      <w:r w:rsidRPr="001C3B3D">
        <w:rPr>
          <w:rFonts w:ascii="Arial" w:hAnsi="Arial" w:cs="Arial"/>
          <w:color w:val="000000" w:themeColor="text1"/>
          <w:lang w:val="es-ES"/>
        </w:rPr>
        <w:t xml:space="preserve">En 1864, </w:t>
      </w:r>
      <w:r w:rsidRPr="001C3B3D">
        <w:rPr>
          <w:rFonts w:ascii="Arial" w:hAnsi="Arial" w:cs="Arial"/>
          <w:color w:val="000000" w:themeColor="text1"/>
        </w:rPr>
        <w:t>José Miguel Gustavino, primer secretario letrado de la CSJN, fue el encargado de publicar las sentencias. Lo hizo en un libro, cuyo formato se mantiene al día de hoy, llamado “Fallos de la Corte Suprema”</w:t>
      </w:r>
      <w:r>
        <w:rPr>
          <w:rFonts w:ascii="Arial" w:hAnsi="Arial" w:cs="Arial"/>
          <w:color w:val="000000" w:themeColor="text1"/>
        </w:rPr>
        <w:t xml:space="preserve">. Este primer tomo, tiene un prefacio en que Gustavino dice </w:t>
      </w:r>
      <w:r>
        <w:rPr>
          <w:rFonts w:ascii="Arial" w:hAnsi="Arial" w:cs="Arial"/>
          <w:color w:val="000000" w:themeColor="text1"/>
          <w:lang w:val="es-ES"/>
        </w:rPr>
        <w:t>s</w:t>
      </w:r>
      <w:r w:rsidRPr="001C3B3D">
        <w:rPr>
          <w:rFonts w:ascii="Arial" w:hAnsi="Arial" w:cs="Arial"/>
          <w:color w:val="000000" w:themeColor="text1"/>
          <w:lang w:val="es-ES"/>
        </w:rPr>
        <w:t>obre las decisiones del Máximo Tribunal, “</w:t>
      </w:r>
      <w:r w:rsidRPr="001C3B3D">
        <w:rPr>
          <w:rFonts w:ascii="Arial" w:hAnsi="Arial" w:cs="Arial"/>
          <w:i/>
          <w:iCs/>
          <w:color w:val="000000" w:themeColor="text1"/>
          <w:lang w:val="es-ES"/>
        </w:rPr>
        <w:t>es preciso que sean conocidas del pueblo (…) Al lado de la influencia y poder que ejercen sobre la garantía de los derechos y sobre la suerte y organización del país es necesario agregar la publicidad, no solo porque todos los que habitan el suelo de la República pueden ser en ellas heridos o respetados en sus derechos, sino también para levantar ante el tribunal de la Corte Suprema el poder de la opinión del pueblo</w:t>
      </w:r>
      <w:r w:rsidRPr="001C3B3D">
        <w:rPr>
          <w:rFonts w:ascii="Arial" w:hAnsi="Arial" w:cs="Arial"/>
          <w:color w:val="000000" w:themeColor="text1"/>
          <w:lang w:val="es-ES"/>
        </w:rPr>
        <w:t>”</w:t>
      </w:r>
      <w:r>
        <w:rPr>
          <w:rStyle w:val="Refdenotaalpie"/>
          <w:rFonts w:ascii="Arial" w:hAnsi="Arial"/>
          <w:color w:val="000000" w:themeColor="text1"/>
          <w:lang w:val="es-ES"/>
        </w:rPr>
        <w:footnoteReference w:id="28"/>
      </w:r>
      <w:r w:rsidRPr="001C3B3D">
        <w:rPr>
          <w:rFonts w:ascii="Arial" w:hAnsi="Arial" w:cs="Arial"/>
          <w:color w:val="000000" w:themeColor="text1"/>
          <w:lang w:val="es-ES"/>
        </w:rPr>
        <w:t>.</w:t>
      </w:r>
    </w:p>
    <w:p w14:paraId="0508897A" w14:textId="77777777" w:rsidR="009E351A" w:rsidRDefault="009E351A" w:rsidP="001C3B3D">
      <w:pPr>
        <w:spacing w:line="360" w:lineRule="auto"/>
        <w:ind w:firstLine="1134"/>
        <w:jc w:val="both"/>
        <w:rPr>
          <w:rFonts w:ascii="Arial" w:hAnsi="Arial" w:cs="Arial"/>
          <w:color w:val="000000" w:themeColor="text1"/>
          <w:lang w:val="es-ES"/>
        </w:rPr>
      </w:pPr>
    </w:p>
    <w:p w14:paraId="08BA8A70" w14:textId="7D229540" w:rsidR="009E351A" w:rsidRPr="009E351A" w:rsidRDefault="009E351A" w:rsidP="009E351A">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5.3.a.2- La Colección “Fallos de la CSJN, conforme los p</w:t>
      </w:r>
      <w:r w:rsidRPr="009E351A">
        <w:rPr>
          <w:rFonts w:ascii="Arial" w:hAnsi="Arial" w:cs="Arial"/>
          <w:color w:val="000000" w:themeColor="text1"/>
          <w:u w:val="single"/>
          <w:lang w:val="es-ES"/>
        </w:rPr>
        <w:t>arámetros para evaluar la publicidad procesal</w:t>
      </w:r>
    </w:p>
    <w:p w14:paraId="0857407C" w14:textId="338ECF7C" w:rsidR="00AC4F0D" w:rsidRDefault="00AC4F0D" w:rsidP="001C3B3D">
      <w:pPr>
        <w:spacing w:line="360" w:lineRule="auto"/>
        <w:ind w:firstLine="1134"/>
        <w:jc w:val="both"/>
        <w:rPr>
          <w:rFonts w:ascii="Arial" w:hAnsi="Arial" w:cs="Arial"/>
          <w:color w:val="000000" w:themeColor="text1"/>
          <w:lang w:val="es-ES"/>
        </w:rPr>
      </w:pPr>
      <w:r w:rsidRPr="00AC4F0D">
        <w:rPr>
          <w:rFonts w:ascii="Arial" w:hAnsi="Arial" w:cs="Arial"/>
          <w:color w:val="000000" w:themeColor="text1"/>
          <w:lang w:val="es-ES"/>
        </w:rPr>
        <w:t xml:space="preserve">Para 2025, la colección Fallos de la Corte Suprema alcanza el tomo 348, lo que evidencia una práctica arraigada en la cultura jurídica argentina que sostiene la presunción de publicidad (i), promueve la máxima divulgación (ii) y garantiza apertura (vi) y amplia legitimación (vii). Hoy, además, la colección es accesible en el sitio web de la CSJN </w:t>
      </w:r>
      <w:hyperlink r:id="rId8" w:history="1">
        <w:r w:rsidRPr="00AE3F42">
          <w:rPr>
            <w:rStyle w:val="Hipervnculo"/>
            <w:rFonts w:ascii="Arial" w:hAnsi="Arial" w:cs="Arial"/>
            <w:lang w:val="es-ES"/>
          </w:rPr>
          <w:t>https://sjservicios.csjn.gov.ar/sj/tomosFallos.do?method=iniciar</w:t>
        </w:r>
      </w:hyperlink>
      <w:r>
        <w:rPr>
          <w:rFonts w:ascii="Arial" w:hAnsi="Arial" w:cs="Arial"/>
          <w:color w:val="000000" w:themeColor="text1"/>
          <w:lang w:val="es-ES"/>
        </w:rPr>
        <w:t>.</w:t>
      </w:r>
    </w:p>
    <w:p w14:paraId="2A176E8A" w14:textId="77777777" w:rsidR="009E351A" w:rsidRDefault="009E351A" w:rsidP="001C3B3D">
      <w:pPr>
        <w:spacing w:line="360" w:lineRule="auto"/>
        <w:ind w:firstLine="1134"/>
        <w:jc w:val="both"/>
        <w:rPr>
          <w:rFonts w:ascii="Arial" w:hAnsi="Arial" w:cs="Arial"/>
          <w:color w:val="000000" w:themeColor="text1"/>
          <w:lang w:val="es-ES"/>
        </w:rPr>
      </w:pPr>
    </w:p>
    <w:p w14:paraId="28C871B5" w14:textId="63FA50F7" w:rsidR="00C06FA4" w:rsidRDefault="00C06FA4" w:rsidP="00C06FA4">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5.3.b.</w:t>
      </w:r>
      <w:r w:rsidR="009E351A">
        <w:rPr>
          <w:rFonts w:ascii="Arial" w:hAnsi="Arial" w:cs="Arial"/>
          <w:color w:val="000000" w:themeColor="text1"/>
          <w:u w:val="single"/>
          <w:lang w:val="es-ES"/>
        </w:rPr>
        <w:t>1.</w:t>
      </w:r>
      <w:r>
        <w:rPr>
          <w:rFonts w:ascii="Arial" w:hAnsi="Arial" w:cs="Arial"/>
          <w:color w:val="000000" w:themeColor="text1"/>
          <w:u w:val="single"/>
          <w:lang w:val="es-ES"/>
        </w:rPr>
        <w:t xml:space="preserve">- </w:t>
      </w:r>
      <w:r w:rsidR="009E351A">
        <w:rPr>
          <w:rFonts w:ascii="Arial" w:hAnsi="Arial" w:cs="Arial"/>
          <w:color w:val="000000" w:themeColor="text1"/>
          <w:u w:val="single"/>
          <w:lang w:val="es-ES"/>
        </w:rPr>
        <w:t xml:space="preserve">El </w:t>
      </w:r>
      <w:r>
        <w:rPr>
          <w:rFonts w:ascii="Arial" w:hAnsi="Arial" w:cs="Arial"/>
          <w:color w:val="000000" w:themeColor="text1"/>
          <w:u w:val="single"/>
          <w:lang w:val="es-ES"/>
        </w:rPr>
        <w:t>Reglamento para la Justicia Nacional</w:t>
      </w:r>
    </w:p>
    <w:p w14:paraId="71C87BDC" w14:textId="68F9FE0E" w:rsidR="00FF4996" w:rsidRDefault="00FF4996" w:rsidP="00FF4996">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Otro hito importante sobre la materia lo encontramos en el reglamento para la justicia nacional dictado por la CSJN con fecha 17.12.1942. El mismo establece sobre la revisión de los expedientes en su art. 63 que </w:t>
      </w:r>
      <w:r w:rsidRPr="00FF4996">
        <w:rPr>
          <w:rFonts w:ascii="Arial" w:hAnsi="Arial" w:cs="Arial"/>
          <w:i/>
          <w:iCs/>
          <w:color w:val="000000" w:themeColor="text1"/>
          <w:lang w:val="es-ES"/>
        </w:rPr>
        <w:t>“</w:t>
      </w:r>
      <w:r w:rsidRPr="00FF4996">
        <w:rPr>
          <w:rFonts w:ascii="Arial" w:hAnsi="Arial" w:cs="Arial" w:hint="cs"/>
          <w:i/>
          <w:iCs/>
          <w:color w:val="000000" w:themeColor="text1"/>
          <w:lang w:val="es-ES"/>
        </w:rPr>
        <w:t>Podrán revisar los expedientes:</w:t>
      </w:r>
      <w:r w:rsidRPr="00FF4996">
        <w:rPr>
          <w:rFonts w:ascii="Arial" w:hAnsi="Arial" w:cs="Arial"/>
          <w:i/>
          <w:iCs/>
          <w:color w:val="000000" w:themeColor="text1"/>
          <w:lang w:val="es-ES"/>
        </w:rPr>
        <w:t xml:space="preserve"> </w:t>
      </w:r>
      <w:r w:rsidRPr="00FF4996">
        <w:rPr>
          <w:rFonts w:ascii="Arial" w:hAnsi="Arial" w:cs="Arial" w:hint="cs"/>
          <w:i/>
          <w:iCs/>
          <w:color w:val="000000" w:themeColor="text1"/>
          <w:lang w:val="es-ES"/>
        </w:rPr>
        <w:t>a) Las partes, sus abogados, apoderados, representantes legales, y los peritos designados en el juicio. Los representantes de la Nación, las provincias, las municipalidades y reparticiones autárquicas podrán autorizar a un empleado suyo para que revise los expedientes en que aquéllas sean parte</w:t>
      </w:r>
      <w:r w:rsidRPr="00FF4996">
        <w:rPr>
          <w:rFonts w:ascii="Arial" w:hAnsi="Arial" w:cs="Arial"/>
          <w:i/>
          <w:iCs/>
          <w:color w:val="000000" w:themeColor="text1"/>
          <w:lang w:val="es-ES"/>
        </w:rPr>
        <w:t xml:space="preserve">; </w:t>
      </w:r>
      <w:r w:rsidRPr="00FF4996">
        <w:rPr>
          <w:rFonts w:ascii="Arial" w:hAnsi="Arial" w:cs="Arial" w:hint="cs"/>
          <w:i/>
          <w:iCs/>
          <w:color w:val="000000" w:themeColor="text1"/>
          <w:lang w:val="es-ES"/>
        </w:rPr>
        <w:t>b) Cualquier abogado, escribano o procurador, aunque no intervenga en el juicio, siempre que justifique su calidad de tal cuando no fuese conocida</w:t>
      </w:r>
      <w:r w:rsidRPr="00FF4996">
        <w:rPr>
          <w:rFonts w:ascii="Arial" w:hAnsi="Arial" w:cs="Arial"/>
          <w:i/>
          <w:iCs/>
          <w:color w:val="000000" w:themeColor="text1"/>
          <w:lang w:val="es-ES"/>
        </w:rPr>
        <w:t xml:space="preserve">; </w:t>
      </w:r>
      <w:r w:rsidRPr="00FF4996">
        <w:rPr>
          <w:rFonts w:ascii="Arial" w:hAnsi="Arial" w:cs="Arial" w:hint="cs"/>
          <w:i/>
          <w:iCs/>
          <w:color w:val="000000" w:themeColor="text1"/>
          <w:lang w:val="es-ES"/>
        </w:rPr>
        <w:t>c) Los periodistas, con motivo del fallo definitivo de la causa.</w:t>
      </w:r>
      <w:r w:rsidRPr="00FF4996">
        <w:rPr>
          <w:rFonts w:ascii="Arial" w:hAnsi="Arial" w:cs="Arial"/>
          <w:i/>
          <w:iCs/>
          <w:color w:val="000000" w:themeColor="text1"/>
          <w:lang w:val="es-ES"/>
        </w:rPr>
        <w:t>”</w:t>
      </w:r>
      <w:r>
        <w:rPr>
          <w:rFonts w:ascii="Arial" w:hAnsi="Arial" w:cs="Arial"/>
          <w:color w:val="000000" w:themeColor="text1"/>
          <w:lang w:val="es-ES"/>
        </w:rPr>
        <w:t xml:space="preserve">. Por otra parte, el art. 64 estable las excepciones: </w:t>
      </w:r>
      <w:r w:rsidRPr="00FF4996">
        <w:rPr>
          <w:rFonts w:ascii="Arial" w:hAnsi="Arial" w:cs="Arial"/>
          <w:i/>
          <w:iCs/>
          <w:color w:val="000000" w:themeColor="text1"/>
          <w:lang w:val="es-ES"/>
        </w:rPr>
        <w:t>“</w:t>
      </w:r>
      <w:r w:rsidRPr="00FF4996">
        <w:rPr>
          <w:rFonts w:ascii="Arial" w:hAnsi="Arial" w:cs="Arial" w:hint="cs"/>
          <w:i/>
          <w:iCs/>
          <w:color w:val="000000" w:themeColor="text1"/>
          <w:lang w:val="es-ES"/>
        </w:rPr>
        <w:t>a) Los expedientes que contengan actuaciones administrativas que tengan carácter reservado</w:t>
      </w:r>
      <w:r w:rsidRPr="00FF4996">
        <w:rPr>
          <w:rFonts w:ascii="Arial" w:hAnsi="Arial" w:cs="Arial"/>
          <w:i/>
          <w:iCs/>
          <w:color w:val="000000" w:themeColor="text1"/>
          <w:lang w:val="es-ES"/>
        </w:rPr>
        <w:t xml:space="preserve">; </w:t>
      </w:r>
      <w:r w:rsidRPr="00FF4996">
        <w:rPr>
          <w:rFonts w:ascii="Arial" w:hAnsi="Arial" w:cs="Arial" w:hint="cs"/>
          <w:i/>
          <w:iCs/>
          <w:color w:val="000000" w:themeColor="text1"/>
          <w:lang w:val="es-ES"/>
        </w:rPr>
        <w:t xml:space="preserve">b) Los expedientes referentes a cuestiones de derecho de familia (divorcio, filiación, nulidad de matrimonio, pérdidas de la patria potestad, tenencia de hijos, </w:t>
      </w:r>
      <w:r w:rsidRPr="00FF4996">
        <w:rPr>
          <w:rFonts w:ascii="Arial" w:hAnsi="Arial" w:cs="Arial" w:hint="cs"/>
          <w:i/>
          <w:iCs/>
          <w:color w:val="000000" w:themeColor="text1"/>
          <w:lang w:val="es-ES"/>
        </w:rPr>
        <w:lastRenderedPageBreak/>
        <w:t>insania, etc.), así como aquellos cuya reserva se ordene especialmente.</w:t>
      </w:r>
      <w:r w:rsidRPr="00FF4996">
        <w:rPr>
          <w:rFonts w:ascii="Arial" w:hAnsi="Arial" w:cs="Arial"/>
          <w:i/>
          <w:iCs/>
          <w:color w:val="000000" w:themeColor="text1"/>
          <w:lang w:val="es-ES"/>
        </w:rPr>
        <w:t>”</w:t>
      </w:r>
      <w:r>
        <w:rPr>
          <w:rFonts w:ascii="Arial" w:hAnsi="Arial" w:cs="Arial"/>
          <w:color w:val="000000" w:themeColor="text1"/>
          <w:lang w:val="es-ES"/>
        </w:rPr>
        <w:t>. El art. 65 expande la limitación a los sumarios criminales. Por último, el art. 66 establece que los particulares que quieran revisar un expediente deben hacerlo con patrocinio letrado o pedírselo al secretario del Tribunal.</w:t>
      </w:r>
    </w:p>
    <w:p w14:paraId="480FB816" w14:textId="77777777" w:rsidR="009E351A" w:rsidRDefault="009E351A" w:rsidP="00FF4996">
      <w:pPr>
        <w:spacing w:line="360" w:lineRule="auto"/>
        <w:ind w:firstLine="1134"/>
        <w:jc w:val="both"/>
        <w:rPr>
          <w:rFonts w:ascii="Arial" w:hAnsi="Arial" w:cs="Arial"/>
          <w:color w:val="000000" w:themeColor="text1"/>
          <w:lang w:val="es-ES"/>
        </w:rPr>
      </w:pPr>
    </w:p>
    <w:p w14:paraId="3597B88F" w14:textId="77777777" w:rsidR="009E351A" w:rsidRPr="009E351A" w:rsidRDefault="009E351A" w:rsidP="009E351A">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5.3.b.2.- El Reglamento para la Justicia Nacional, conforme los p</w:t>
      </w:r>
      <w:r w:rsidRPr="009E351A">
        <w:rPr>
          <w:rFonts w:ascii="Arial" w:hAnsi="Arial" w:cs="Arial"/>
          <w:color w:val="000000" w:themeColor="text1"/>
          <w:u w:val="single"/>
          <w:lang w:val="es-ES"/>
        </w:rPr>
        <w:t>arámetros para evaluar la publicidad procesal</w:t>
      </w:r>
    </w:p>
    <w:p w14:paraId="355A62F1" w14:textId="77777777" w:rsidR="003A1F07" w:rsidRDefault="003A1F07" w:rsidP="00FF4996">
      <w:pPr>
        <w:spacing w:line="360" w:lineRule="auto"/>
        <w:ind w:firstLine="1134"/>
        <w:jc w:val="both"/>
        <w:rPr>
          <w:rFonts w:ascii="Arial" w:hAnsi="Arial" w:cs="Arial"/>
          <w:color w:val="000000" w:themeColor="text1"/>
          <w:lang w:val="es-ES"/>
        </w:rPr>
      </w:pPr>
    </w:p>
    <w:p w14:paraId="4F4CC84E" w14:textId="46293170" w:rsidR="009E351A" w:rsidRDefault="009E351A" w:rsidP="00FF4996">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Si bien el sistema establece una presunción de publicidad (i), en cuanto a su legitimación (vii) establece y restringe el acceso a las partes, sus abogados, apoderados, representantes y peritos y solo podrán acceder fuera de los nombrados, ciertos profesionales calificados, y terceros solo podrán acceden en principio con patrocinio letrado. En cuanto a la disociación (v), los art. 64 y 65 consagran expresas excepciones. Por su parte, no establece un sistema de control (x), al no prever un sistema recursivo ante la resolución que deniegue el acceso al expediente.</w:t>
      </w:r>
    </w:p>
    <w:p w14:paraId="0DC1874E" w14:textId="2A84112C" w:rsidR="009E351A" w:rsidRDefault="009E351A" w:rsidP="00FF4996">
      <w:pPr>
        <w:spacing w:line="360" w:lineRule="auto"/>
        <w:ind w:firstLine="1134"/>
        <w:jc w:val="both"/>
        <w:rPr>
          <w:rFonts w:ascii="Arial" w:hAnsi="Arial" w:cs="Arial"/>
          <w:color w:val="000000" w:themeColor="text1"/>
          <w:lang w:val="es-ES"/>
        </w:rPr>
      </w:pPr>
    </w:p>
    <w:p w14:paraId="024810AC" w14:textId="5B66FB29" w:rsidR="00C06FA4" w:rsidRPr="00C06FA4" w:rsidRDefault="00C06FA4" w:rsidP="00C06FA4">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5.3.c.</w:t>
      </w:r>
      <w:r w:rsidR="003A1F07">
        <w:rPr>
          <w:rFonts w:ascii="Arial" w:hAnsi="Arial" w:cs="Arial"/>
          <w:color w:val="000000" w:themeColor="text1"/>
          <w:u w:val="single"/>
          <w:lang w:val="es-ES"/>
        </w:rPr>
        <w:t>1.</w:t>
      </w:r>
      <w:r>
        <w:rPr>
          <w:rFonts w:ascii="Arial" w:hAnsi="Arial" w:cs="Arial"/>
          <w:color w:val="000000" w:themeColor="text1"/>
          <w:u w:val="single"/>
          <w:lang w:val="es-ES"/>
        </w:rPr>
        <w:t xml:space="preserve">- </w:t>
      </w:r>
      <w:r w:rsidR="003A1F07">
        <w:rPr>
          <w:rFonts w:ascii="Arial" w:hAnsi="Arial" w:cs="Arial"/>
          <w:color w:val="000000" w:themeColor="text1"/>
          <w:u w:val="single"/>
          <w:lang w:val="es-ES"/>
        </w:rPr>
        <w:t xml:space="preserve">El </w:t>
      </w:r>
      <w:r>
        <w:rPr>
          <w:rFonts w:ascii="Arial" w:hAnsi="Arial" w:cs="Arial"/>
          <w:color w:val="000000" w:themeColor="text1"/>
          <w:u w:val="single"/>
          <w:lang w:val="es-ES"/>
        </w:rPr>
        <w:t>Código Procesal Civil y Comercial de la Nación (CPCCN)</w:t>
      </w:r>
    </w:p>
    <w:p w14:paraId="31E40014" w14:textId="4DF04371" w:rsidR="00C06FA4" w:rsidRDefault="00C06FA4" w:rsidP="00C06FA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El CPCCN dispone en su art. 125 que </w:t>
      </w:r>
      <w:r w:rsidRPr="002626C8">
        <w:rPr>
          <w:rFonts w:ascii="Arial" w:hAnsi="Arial" w:cs="Arial"/>
          <w:i/>
          <w:iCs/>
          <w:color w:val="000000" w:themeColor="text1"/>
          <w:lang w:val="es-ES"/>
        </w:rPr>
        <w:t>“</w:t>
      </w:r>
      <w:r w:rsidRPr="002626C8">
        <w:rPr>
          <w:rFonts w:ascii="Arial" w:hAnsi="Arial" w:cs="Arial" w:hint="cs"/>
          <w:i/>
          <w:iCs/>
          <w:color w:val="000000" w:themeColor="text1"/>
          <w:lang w:val="es-ES"/>
        </w:rPr>
        <w:t>Las audiencias, salvo disposición en contrario, se ajustarán a las siguientes reglas:</w:t>
      </w:r>
      <w:r w:rsidRPr="002626C8">
        <w:rPr>
          <w:rFonts w:ascii="Arial" w:hAnsi="Arial" w:cs="Arial"/>
          <w:i/>
          <w:iCs/>
          <w:color w:val="000000" w:themeColor="text1"/>
          <w:lang w:val="es-ES"/>
        </w:rPr>
        <w:t xml:space="preserve"> </w:t>
      </w:r>
      <w:r w:rsidRPr="002626C8">
        <w:rPr>
          <w:rFonts w:ascii="Arial" w:hAnsi="Arial" w:cs="Arial" w:hint="cs"/>
          <w:i/>
          <w:iCs/>
          <w:color w:val="000000" w:themeColor="text1"/>
          <w:lang w:val="es-ES"/>
        </w:rPr>
        <w:t>1) Serán públicas, bajo pena de nulidad, pero el tribunal resolver, aun de oficio, que total o parcialmente, se realicen a puertas cerradas cuando la publicidad, afecte la moral, el orden público, la seguridad o el derecho a la intimidad. La resolución, que será fundada, se hará constar en el acta. Desaparecida la causa de la clausura, se deberá permitir el acceso al público</w:t>
      </w:r>
      <w:r w:rsidRPr="002626C8">
        <w:rPr>
          <w:rFonts w:ascii="Arial" w:hAnsi="Arial" w:cs="Arial"/>
          <w:i/>
          <w:iCs/>
          <w:color w:val="000000" w:themeColor="text1"/>
          <w:lang w:val="es-ES"/>
        </w:rPr>
        <w:t>. (…)”</w:t>
      </w:r>
      <w:r w:rsidR="00662EE9">
        <w:rPr>
          <w:rFonts w:ascii="Arial" w:hAnsi="Arial" w:cs="Arial"/>
          <w:color w:val="000000" w:themeColor="text1"/>
          <w:lang w:val="es-ES"/>
        </w:rPr>
        <w:t>.</w:t>
      </w:r>
    </w:p>
    <w:p w14:paraId="0C10CCC3" w14:textId="7B8C07DD" w:rsidR="003A1F07" w:rsidRPr="00366512" w:rsidRDefault="00662EE9" w:rsidP="003A1F07">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Comentando tal artículo, </w:t>
      </w:r>
      <w:r w:rsidR="00882EA2" w:rsidRPr="002B74B3">
        <w:rPr>
          <w:rFonts w:ascii="Calibri" w:eastAsia="Calibri" w:hAnsi="Calibri"/>
          <w:smallCaps/>
          <w:kern w:val="2"/>
          <w:lang w:eastAsia="en-US"/>
        </w:rPr>
        <w:t>Alvarado Velloso</w:t>
      </w:r>
      <w:r w:rsidR="00882EA2">
        <w:rPr>
          <w:rFonts w:ascii="Arial" w:hAnsi="Arial" w:cs="Arial"/>
          <w:color w:val="000000" w:themeColor="text1"/>
          <w:lang w:val="es-ES"/>
        </w:rPr>
        <w:t xml:space="preserve"> </w:t>
      </w:r>
      <w:r>
        <w:rPr>
          <w:rFonts w:ascii="Arial" w:hAnsi="Arial" w:cs="Arial"/>
          <w:color w:val="000000" w:themeColor="text1"/>
          <w:lang w:val="es-ES"/>
        </w:rPr>
        <w:t xml:space="preserve">y </w:t>
      </w:r>
      <w:r w:rsidR="00882EA2" w:rsidRPr="002B74B3">
        <w:rPr>
          <w:rFonts w:ascii="Calibri" w:eastAsia="Calibri" w:hAnsi="Calibri"/>
          <w:smallCaps/>
          <w:kern w:val="2"/>
          <w:lang w:eastAsia="en-US"/>
        </w:rPr>
        <w:t>Palacio</w:t>
      </w:r>
      <w:r w:rsidR="00882EA2">
        <w:rPr>
          <w:rFonts w:ascii="Arial" w:hAnsi="Arial" w:cs="Arial"/>
          <w:color w:val="000000" w:themeColor="text1"/>
          <w:lang w:val="es-ES"/>
        </w:rPr>
        <w:t xml:space="preserve"> </w:t>
      </w:r>
      <w:r>
        <w:rPr>
          <w:rFonts w:ascii="Arial" w:hAnsi="Arial" w:cs="Arial"/>
          <w:color w:val="000000" w:themeColor="text1"/>
          <w:lang w:val="es-ES"/>
        </w:rPr>
        <w:t xml:space="preserve">dicen que </w:t>
      </w:r>
      <w:r w:rsidRPr="00662EE9">
        <w:rPr>
          <w:rFonts w:ascii="Arial" w:hAnsi="Arial" w:cs="Arial"/>
          <w:i/>
          <w:iCs/>
          <w:color w:val="000000" w:themeColor="text1"/>
          <w:lang w:val="es-ES"/>
        </w:rPr>
        <w:t>“cuadra observar que el sistema escriturario (…) sumado a las deficiencias infraestructurales que afectan en general a la administración de justicia, determina que, en la práctica, dicho principio carezca de virtualidad”.</w:t>
      </w:r>
      <w:r>
        <w:rPr>
          <w:rFonts w:ascii="Arial" w:hAnsi="Arial" w:cs="Arial"/>
          <w:color w:val="000000" w:themeColor="text1"/>
          <w:lang w:val="es-ES"/>
        </w:rPr>
        <w:t xml:space="preserve"> En cuanto a la realización de las audiencias a puertas cerradas, nos dicen: </w:t>
      </w:r>
      <w:r w:rsidRPr="00366512">
        <w:rPr>
          <w:rFonts w:ascii="Arial" w:hAnsi="Arial" w:cs="Arial"/>
          <w:i/>
          <w:iCs/>
          <w:color w:val="000000" w:themeColor="text1"/>
          <w:lang w:val="es-ES"/>
        </w:rPr>
        <w:t xml:space="preserve">“Las leyes sólo exigen que la resolución dictada al respecto sea fundada, habiéndose interpretado </w:t>
      </w:r>
      <w:r w:rsidR="00366512" w:rsidRPr="00366512">
        <w:rPr>
          <w:rFonts w:ascii="Arial" w:hAnsi="Arial" w:cs="Arial"/>
          <w:i/>
          <w:iCs/>
          <w:color w:val="000000" w:themeColor="text1"/>
          <w:lang w:val="es-ES"/>
        </w:rPr>
        <w:t xml:space="preserve">—como lo expresan los CPC de CBA, 115 y TUC 134— que contra ella no es admisible recurso alguno. La resolución debe empero considerarse recurrible cuando la reserva importe excluir la comparecencia del acto de alguna de las partes o de sus letrados apoderados. Por último, es obvio que, así como los jueces se hallan facultados para disponer el secreto de las audiencias pueden —a través de un simple argumento a maiore ad minus— restringir el número de asistentes al acto. Así lo prevé el CPC de LRI, 30 “por </w:t>
      </w:r>
      <w:r w:rsidR="00366512" w:rsidRPr="00366512">
        <w:rPr>
          <w:rFonts w:ascii="Arial" w:hAnsi="Arial" w:cs="Arial"/>
          <w:i/>
          <w:iCs/>
          <w:color w:val="000000" w:themeColor="text1"/>
          <w:lang w:val="es-ES"/>
        </w:rPr>
        <w:lastRenderedPageBreak/>
        <w:t>razones de salud e higiene pública”, aunque las facultades judiciales deben considerarse extensivas a cualquier otro tipo de causales.”</w:t>
      </w:r>
      <w:r w:rsidR="00366512">
        <w:rPr>
          <w:rStyle w:val="Refdenotaalpie"/>
          <w:rFonts w:ascii="Arial" w:hAnsi="Arial"/>
          <w:i/>
          <w:iCs/>
          <w:color w:val="000000" w:themeColor="text1"/>
          <w:lang w:val="es-ES"/>
        </w:rPr>
        <w:footnoteReference w:id="29"/>
      </w:r>
      <w:r w:rsidR="00366512">
        <w:rPr>
          <w:rFonts w:ascii="Arial" w:hAnsi="Arial" w:cs="Arial"/>
          <w:color w:val="000000" w:themeColor="text1"/>
          <w:lang w:val="es-ES"/>
        </w:rPr>
        <w:t>.</w:t>
      </w:r>
    </w:p>
    <w:p w14:paraId="001E1975" w14:textId="77777777" w:rsidR="002B74B3" w:rsidRDefault="00C06FA4" w:rsidP="002B74B3">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Sobre la publicidad de las sentencias, nos dice el art. 16</w:t>
      </w:r>
      <w:r w:rsidR="002B74B3">
        <w:rPr>
          <w:rFonts w:ascii="Arial" w:hAnsi="Arial" w:cs="Arial"/>
          <w:color w:val="000000" w:themeColor="text1"/>
          <w:lang w:val="es-ES"/>
        </w:rPr>
        <w:t>4</w:t>
      </w:r>
      <w:r>
        <w:rPr>
          <w:rFonts w:ascii="Arial" w:hAnsi="Arial" w:cs="Arial"/>
          <w:color w:val="000000" w:themeColor="text1"/>
          <w:lang w:val="es-ES"/>
        </w:rPr>
        <w:t xml:space="preserve"> del Código Procesal Civil y Comercial de la Nación: </w:t>
      </w:r>
      <w:r w:rsidRPr="002626C8">
        <w:rPr>
          <w:rFonts w:ascii="Arial" w:hAnsi="Arial" w:cs="Arial"/>
          <w:i/>
          <w:iCs/>
          <w:color w:val="000000" w:themeColor="text1"/>
          <w:lang w:val="es-ES"/>
        </w:rPr>
        <w:t>“</w:t>
      </w:r>
      <w:r w:rsidR="002B74B3">
        <w:rPr>
          <w:rFonts w:ascii="Arial" w:hAnsi="Arial" w:cs="Arial"/>
          <w:i/>
          <w:iCs/>
          <w:color w:val="000000" w:themeColor="text1"/>
          <w:lang w:val="es-ES"/>
        </w:rPr>
        <w:t>(…)</w:t>
      </w:r>
      <w:r w:rsidRPr="002626C8">
        <w:rPr>
          <w:rFonts w:ascii="Arial" w:hAnsi="Arial" w:cs="Arial"/>
          <w:i/>
          <w:iCs/>
          <w:color w:val="000000" w:themeColor="text1"/>
          <w:lang w:val="es-ES"/>
        </w:rPr>
        <w:t xml:space="preserve"> </w:t>
      </w:r>
      <w:r w:rsidRPr="002626C8">
        <w:rPr>
          <w:rFonts w:ascii="Arial" w:hAnsi="Arial" w:cs="Arial" w:hint="cs"/>
          <w:i/>
          <w:iCs/>
          <w:color w:val="000000" w:themeColor="text1"/>
          <w:lang w:val="es-ES"/>
        </w:rPr>
        <w:t>Las sentencias de cualquier instancia podrán ser dadas a publicidad salvo que, por la naturaleza del juicio, razones de decoro aconsejaren su reserva, en cuyo caso así se declarará. Si afectare la intimidad de las partes o de terceros, los nombres de éstos serán eliminados de las copias para la publicidad.</w:t>
      </w:r>
      <w:r w:rsidRPr="002626C8">
        <w:rPr>
          <w:rFonts w:ascii="Arial" w:hAnsi="Arial" w:cs="Arial"/>
          <w:i/>
          <w:iCs/>
          <w:color w:val="000000" w:themeColor="text1"/>
          <w:lang w:val="es-ES"/>
        </w:rPr>
        <w:t>”</w:t>
      </w:r>
      <w:r>
        <w:rPr>
          <w:rFonts w:ascii="Arial" w:hAnsi="Arial" w:cs="Arial"/>
          <w:color w:val="000000" w:themeColor="text1"/>
          <w:lang w:val="es-ES"/>
        </w:rPr>
        <w:t>.</w:t>
      </w:r>
      <w:r w:rsidR="002B74B3">
        <w:rPr>
          <w:rFonts w:ascii="Arial" w:hAnsi="Arial" w:cs="Arial"/>
          <w:color w:val="000000" w:themeColor="text1"/>
          <w:lang w:val="es-ES"/>
        </w:rPr>
        <w:t xml:space="preserve"> </w:t>
      </w:r>
    </w:p>
    <w:p w14:paraId="1CEFCFD8" w14:textId="7007433C" w:rsidR="002B74B3" w:rsidRDefault="002B74B3" w:rsidP="002B74B3">
      <w:pPr>
        <w:spacing w:line="360" w:lineRule="auto"/>
        <w:ind w:firstLine="1134"/>
        <w:jc w:val="both"/>
        <w:rPr>
          <w:rFonts w:ascii="Arial" w:hAnsi="Arial" w:cs="Arial"/>
          <w:color w:val="000000" w:themeColor="text1"/>
        </w:rPr>
      </w:pPr>
      <w:r>
        <w:rPr>
          <w:rFonts w:ascii="Arial" w:hAnsi="Arial" w:cs="Arial"/>
          <w:color w:val="000000" w:themeColor="text1"/>
          <w:lang w:val="es-ES"/>
        </w:rPr>
        <w:t xml:space="preserve">Nos dicen </w:t>
      </w:r>
      <w:r w:rsidRPr="002B74B3">
        <w:rPr>
          <w:rFonts w:ascii="Calibri" w:eastAsia="Calibri" w:hAnsi="Calibri"/>
          <w:smallCaps/>
          <w:kern w:val="2"/>
          <w:lang w:eastAsia="en-US"/>
        </w:rPr>
        <w:t>Alvarado Velloso</w:t>
      </w:r>
      <w:r>
        <w:rPr>
          <w:rFonts w:ascii="Arial" w:hAnsi="Arial" w:cs="Arial"/>
          <w:color w:val="000000" w:themeColor="text1"/>
          <w:lang w:val="es-ES"/>
        </w:rPr>
        <w:t xml:space="preserve"> y </w:t>
      </w:r>
      <w:r w:rsidRPr="002B74B3">
        <w:rPr>
          <w:rFonts w:ascii="Calibri" w:eastAsia="Calibri" w:hAnsi="Calibri"/>
          <w:smallCaps/>
          <w:kern w:val="2"/>
          <w:lang w:eastAsia="en-US"/>
        </w:rPr>
        <w:t>Palacio</w:t>
      </w:r>
      <w:r>
        <w:rPr>
          <w:rFonts w:ascii="Calibri" w:eastAsia="Calibri" w:hAnsi="Calibri"/>
          <w:smallCaps/>
          <w:kern w:val="2"/>
          <w:lang w:eastAsia="en-US"/>
        </w:rPr>
        <w:t xml:space="preserve"> </w:t>
      </w:r>
      <w:r>
        <w:rPr>
          <w:rFonts w:ascii="Arial" w:hAnsi="Arial" w:cs="Arial"/>
          <w:color w:val="000000" w:themeColor="text1"/>
        </w:rPr>
        <w:t>sobre esto:</w:t>
      </w:r>
      <w:r>
        <w:rPr>
          <w:rFonts w:ascii="Arial" w:hAnsi="Arial" w:cs="Arial"/>
          <w:color w:val="000000" w:themeColor="text1"/>
          <w:lang w:val="es-ES"/>
        </w:rPr>
        <w:t xml:space="preserve"> “</w:t>
      </w:r>
      <w:r w:rsidRPr="002B74B3">
        <w:rPr>
          <w:rFonts w:ascii="Arial" w:hAnsi="Arial" w:cs="Arial"/>
          <w:i/>
          <w:iCs/>
          <w:color w:val="000000" w:themeColor="text1"/>
        </w:rPr>
        <w:t>La difusión del texto de las sentencias por su publicación en la prensa común o especializada reviste superlativa importancia como fuente de información destinada no sólo a facilitar la labor de los profesionales del derecho y de los propios órganos judiciales, sino también a proporcionar a todos los ciudadanos el conocimiento de ciertas directivas susceptibles de encauzar debidamente su conducta en la esfera de las relaciones jurídicas. Pero si bien las sentencias de cualquier instancia pueden ser publicadas, y en el orden nacional el RJN, 63, c) admite a tal fin el acceso de los periodistas a los expedientes judiciales, el CPCN, 164, párrafo 2° y normas provinciales concordantes limitan ese principio frente a razones de decoro o afectación de la intimidad de las partes o de terceros. La concurrencia de las razones que tornen inconveniente la publicidad de la sentencia quedan libradas en cada caso al arbitrio del juez o tribunal, quienes deben disponer la reserva en el mismo pronunciamiento. En el supuesto contemplado por el párrafo final del CPCN, 164 es costumbre que en las copias entregadas para la publicidad se sustituya el nombre de los interesados por las iniciales de sus nombres y apellidos</w:t>
      </w:r>
      <w:r w:rsidRPr="002B74B3">
        <w:rPr>
          <w:rFonts w:ascii="Arial" w:hAnsi="Arial" w:cs="Arial"/>
          <w:color w:val="000000" w:themeColor="text1"/>
        </w:rPr>
        <w:t>.</w:t>
      </w:r>
      <w:r>
        <w:rPr>
          <w:rFonts w:ascii="Arial" w:hAnsi="Arial" w:cs="Arial"/>
          <w:color w:val="000000" w:themeColor="text1"/>
        </w:rPr>
        <w:t>”.</w:t>
      </w:r>
      <w:r>
        <w:rPr>
          <w:rStyle w:val="Refdenotaalpie"/>
          <w:rFonts w:ascii="Arial" w:hAnsi="Arial"/>
          <w:color w:val="000000" w:themeColor="text1"/>
        </w:rPr>
        <w:footnoteReference w:id="30"/>
      </w:r>
    </w:p>
    <w:p w14:paraId="22F19EB1" w14:textId="5E3A023F" w:rsidR="00B036D4" w:rsidRDefault="00B036D4" w:rsidP="00B036D4">
      <w:pPr>
        <w:spacing w:line="360" w:lineRule="auto"/>
        <w:ind w:firstLine="1134"/>
        <w:jc w:val="both"/>
        <w:rPr>
          <w:rFonts w:ascii="Arial" w:hAnsi="Arial" w:cs="Arial"/>
          <w:color w:val="000000" w:themeColor="text1"/>
        </w:rPr>
      </w:pPr>
      <w:r>
        <w:rPr>
          <w:rFonts w:ascii="Arial" w:hAnsi="Arial" w:cs="Arial"/>
          <w:color w:val="000000" w:themeColor="text1"/>
        </w:rPr>
        <w:t>Por último, el art. 439 establece que</w:t>
      </w:r>
      <w:r w:rsidRPr="00B036D4">
        <w:rPr>
          <w:rFonts w:ascii="Arial" w:hAnsi="Arial" w:cs="Arial"/>
          <w:color w:val="000000" w:themeColor="text1"/>
        </w:rPr>
        <w:t xml:space="preserve"> </w:t>
      </w:r>
      <w:r>
        <w:rPr>
          <w:rFonts w:ascii="Arial" w:hAnsi="Arial" w:cs="Arial"/>
          <w:color w:val="000000" w:themeColor="text1"/>
        </w:rPr>
        <w:t>“</w:t>
      </w:r>
      <w:r w:rsidRPr="00B036D4">
        <w:rPr>
          <w:rFonts w:ascii="Arial" w:hAnsi="Arial" w:cs="Arial"/>
          <w:i/>
          <w:iCs/>
          <w:color w:val="000000" w:themeColor="text1"/>
        </w:rPr>
        <w:t>Los testigos estarán en lugar desde donde no puedan oír las declaraciones de los otros. Serán llamados sucesiva y separadamente, alternándose, en lo posible, los del actor con los del demandado, a menos que el juzgado estableciere otro orden por razones especiales</w:t>
      </w:r>
      <w:r w:rsidRPr="00B036D4">
        <w:rPr>
          <w:rFonts w:ascii="Arial" w:hAnsi="Arial" w:cs="Arial"/>
          <w:color w:val="000000" w:themeColor="text1"/>
        </w:rPr>
        <w:t>.</w:t>
      </w:r>
      <w:r>
        <w:rPr>
          <w:rFonts w:ascii="Arial" w:hAnsi="Arial" w:cs="Arial"/>
          <w:color w:val="000000" w:themeColor="text1"/>
        </w:rPr>
        <w:t>”</w:t>
      </w:r>
    </w:p>
    <w:p w14:paraId="11D25C40" w14:textId="3D16DA8A" w:rsidR="00B036D4" w:rsidRDefault="00B036D4" w:rsidP="00B036D4">
      <w:pPr>
        <w:spacing w:line="360" w:lineRule="auto"/>
        <w:ind w:firstLine="1134"/>
        <w:jc w:val="both"/>
        <w:rPr>
          <w:rFonts w:ascii="Arial" w:hAnsi="Arial" w:cs="Arial"/>
          <w:color w:val="000000" w:themeColor="text1"/>
        </w:rPr>
      </w:pPr>
      <w:r>
        <w:rPr>
          <w:rFonts w:ascii="Arial" w:hAnsi="Arial" w:cs="Arial"/>
          <w:color w:val="000000" w:themeColor="text1"/>
        </w:rPr>
        <w:t xml:space="preserve">Explica </w:t>
      </w:r>
      <w:r w:rsidRPr="00B036D4">
        <w:rPr>
          <w:rFonts w:ascii="Calibri" w:eastAsia="Calibri" w:hAnsi="Calibri"/>
          <w:smallCaps/>
          <w:kern w:val="2"/>
          <w:lang w:eastAsia="en-US"/>
        </w:rPr>
        <w:t>Falcon</w:t>
      </w:r>
      <w:r>
        <w:rPr>
          <w:rFonts w:ascii="Arial" w:hAnsi="Arial" w:cs="Arial"/>
          <w:color w:val="000000" w:themeColor="text1"/>
        </w:rPr>
        <w:t xml:space="preserve"> que “</w:t>
      </w:r>
      <w:r w:rsidRPr="00B036D4">
        <w:rPr>
          <w:rFonts w:ascii="Arial" w:hAnsi="Arial" w:cs="Arial"/>
          <w:i/>
          <w:iCs/>
          <w:color w:val="000000" w:themeColor="text1"/>
        </w:rPr>
        <w:t xml:space="preserve">Si bien las audiencias son públicas (art. 125 inc. 1), no lo son para los testigos que aún no han declarado, con el fin de que no puedan ser inducidos por los hechos declarados por los restantes; pero también, respecto de los que han depuesto, para evitar la comunicación indebida de los testigos, y que concierten entre ellos las </w:t>
      </w:r>
      <w:r w:rsidRPr="00B036D4">
        <w:rPr>
          <w:rFonts w:ascii="Arial" w:hAnsi="Arial" w:cs="Arial"/>
          <w:i/>
          <w:iCs/>
          <w:color w:val="000000" w:themeColor="text1"/>
        </w:rPr>
        <w:lastRenderedPageBreak/>
        <w:t>respuestas, sobre la base de la información de los que han declarado. De esta manera, los testigos, que deben permanecer en la sede del juzgado hasta tanto termine la testimonial o, en su caso, los careos, no pueden escuchar la declaración ni de los anteriores ni de los posteriores. Éste es solamente un criterio. Si la prueba se toma en audiencia oral, nada impide que los testigos escuchen a los otros; para ello estará no sólo la posibilidad de interrogar de quien lo propone, sino de la contraria y del juez y las sanciones penales en caso de falso testimonio</w:t>
      </w:r>
      <w:r>
        <w:rPr>
          <w:rFonts w:ascii="Arial" w:hAnsi="Arial" w:cs="Arial"/>
          <w:color w:val="000000" w:themeColor="text1"/>
        </w:rPr>
        <w:t>.”</w:t>
      </w:r>
      <w:r>
        <w:rPr>
          <w:rStyle w:val="Refdenotaalpie"/>
          <w:rFonts w:ascii="Arial" w:hAnsi="Arial"/>
          <w:color w:val="000000" w:themeColor="text1"/>
        </w:rPr>
        <w:footnoteReference w:id="31"/>
      </w:r>
    </w:p>
    <w:p w14:paraId="7CF43BB8" w14:textId="7D8CACAE" w:rsidR="00FC31A4" w:rsidRDefault="00FC31A4" w:rsidP="00B036D4">
      <w:pPr>
        <w:spacing w:line="360" w:lineRule="auto"/>
        <w:ind w:firstLine="1134"/>
        <w:jc w:val="both"/>
        <w:rPr>
          <w:rFonts w:ascii="Arial" w:hAnsi="Arial" w:cs="Arial"/>
          <w:color w:val="000000" w:themeColor="text1"/>
        </w:rPr>
      </w:pPr>
      <w:r w:rsidRPr="002B74B3">
        <w:rPr>
          <w:rFonts w:ascii="Calibri" w:eastAsia="Calibri" w:hAnsi="Calibri"/>
          <w:smallCaps/>
          <w:kern w:val="2"/>
          <w:lang w:eastAsia="en-US"/>
        </w:rPr>
        <w:t>Alvarado Velloso</w:t>
      </w:r>
      <w:r>
        <w:rPr>
          <w:rFonts w:ascii="Arial" w:hAnsi="Arial" w:cs="Arial"/>
          <w:color w:val="000000" w:themeColor="text1"/>
          <w:lang w:val="es-ES"/>
        </w:rPr>
        <w:t xml:space="preserve"> y </w:t>
      </w:r>
      <w:r w:rsidRPr="002B74B3">
        <w:rPr>
          <w:rFonts w:ascii="Calibri" w:eastAsia="Calibri" w:hAnsi="Calibri"/>
          <w:smallCaps/>
          <w:kern w:val="2"/>
          <w:lang w:eastAsia="en-US"/>
        </w:rPr>
        <w:t>Palacio</w:t>
      </w:r>
      <w:r>
        <w:rPr>
          <w:rFonts w:ascii="Calibri" w:eastAsia="Calibri" w:hAnsi="Calibri"/>
          <w:smallCaps/>
          <w:kern w:val="2"/>
          <w:lang w:eastAsia="en-US"/>
        </w:rPr>
        <w:t xml:space="preserve"> </w:t>
      </w:r>
      <w:r>
        <w:rPr>
          <w:rFonts w:ascii="Arial" w:hAnsi="Arial" w:cs="Arial"/>
          <w:color w:val="000000" w:themeColor="text1"/>
        </w:rPr>
        <w:t>por su parte “</w:t>
      </w:r>
      <w:r w:rsidRPr="00B91968">
        <w:rPr>
          <w:rFonts w:ascii="Arial" w:hAnsi="Arial" w:cs="Arial"/>
          <w:i/>
          <w:iCs/>
          <w:color w:val="000000" w:themeColor="text1"/>
        </w:rPr>
        <w:t>La regla contenida en el CPCN, 439, párrafo 1 tiene fundamento en la circunstancia de que la comunicación entre los testigos que ya han declarado con aquéllos que aún no lo han hecho conspira, obviamente contra la espontaneidad del testimonio. Si un testigo, no obstante, por cualquier circunstancia, ha podido oír o ha presenciado la declaración de otro, ello no impide que a su vez preste declaración, sin perjuicio de que tal contingencia sea eventualmente valorada para determinar su eficacia probatoria</w:t>
      </w:r>
      <w:r>
        <w:rPr>
          <w:rFonts w:ascii="Arial" w:hAnsi="Arial" w:cs="Arial"/>
          <w:color w:val="000000" w:themeColor="text1"/>
        </w:rPr>
        <w:t>.</w:t>
      </w:r>
      <w:r w:rsidR="00B91968">
        <w:rPr>
          <w:rFonts w:ascii="Arial" w:hAnsi="Arial" w:cs="Arial"/>
          <w:color w:val="000000" w:themeColor="text1"/>
        </w:rPr>
        <w:t>”</w:t>
      </w:r>
      <w:r w:rsidR="00B91968">
        <w:rPr>
          <w:rStyle w:val="Refdenotaalpie"/>
          <w:rFonts w:ascii="Arial" w:hAnsi="Arial"/>
          <w:color w:val="000000" w:themeColor="text1"/>
        </w:rPr>
        <w:footnoteReference w:id="32"/>
      </w:r>
    </w:p>
    <w:p w14:paraId="07E7D799" w14:textId="77777777" w:rsidR="003A1F07" w:rsidRDefault="003A1F07" w:rsidP="00B036D4">
      <w:pPr>
        <w:spacing w:line="360" w:lineRule="auto"/>
        <w:ind w:firstLine="1134"/>
        <w:jc w:val="both"/>
        <w:rPr>
          <w:rFonts w:ascii="Arial" w:hAnsi="Arial" w:cs="Arial"/>
          <w:color w:val="000000" w:themeColor="text1"/>
        </w:rPr>
      </w:pPr>
    </w:p>
    <w:p w14:paraId="78641924" w14:textId="60C6F408" w:rsidR="003A1F07" w:rsidRPr="00C06FA4" w:rsidRDefault="003A1F07" w:rsidP="00F87C62">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5.3.c.</w:t>
      </w:r>
      <w:r w:rsidR="00D91AA5">
        <w:rPr>
          <w:rFonts w:ascii="Arial" w:hAnsi="Arial" w:cs="Arial"/>
          <w:color w:val="000000" w:themeColor="text1"/>
          <w:u w:val="single"/>
          <w:lang w:val="es-ES"/>
        </w:rPr>
        <w:t>2</w:t>
      </w:r>
      <w:r>
        <w:rPr>
          <w:rFonts w:ascii="Arial" w:hAnsi="Arial" w:cs="Arial"/>
          <w:color w:val="000000" w:themeColor="text1"/>
          <w:u w:val="single"/>
          <w:lang w:val="es-ES"/>
        </w:rPr>
        <w:t>.- El Código Procesal Civil y Comercial de la Nación (CPCCN) conforme los p</w:t>
      </w:r>
      <w:r w:rsidRPr="009E351A">
        <w:rPr>
          <w:rFonts w:ascii="Arial" w:hAnsi="Arial" w:cs="Arial"/>
          <w:color w:val="000000" w:themeColor="text1"/>
          <w:u w:val="single"/>
          <w:lang w:val="es-ES"/>
        </w:rPr>
        <w:t>arámetros para evaluar la publicidad procesal</w:t>
      </w:r>
    </w:p>
    <w:p w14:paraId="06DD71D1" w14:textId="3B3CCD10" w:rsidR="003A1F07" w:rsidRDefault="003A1F07" w:rsidP="00B036D4">
      <w:pPr>
        <w:spacing w:line="360" w:lineRule="auto"/>
        <w:ind w:firstLine="1134"/>
        <w:jc w:val="both"/>
        <w:rPr>
          <w:rFonts w:ascii="Arial" w:hAnsi="Arial" w:cs="Arial"/>
          <w:color w:val="000000" w:themeColor="text1"/>
        </w:rPr>
      </w:pPr>
      <w:r>
        <w:rPr>
          <w:rFonts w:ascii="Arial" w:hAnsi="Arial" w:cs="Arial"/>
          <w:color w:val="000000" w:themeColor="text1"/>
        </w:rPr>
        <w:t>Art. 125 – Publicidad de las audiencias:</w:t>
      </w:r>
    </w:p>
    <w:p w14:paraId="2BE77A75" w14:textId="77777777" w:rsidR="003A1F07" w:rsidRP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Presunción de publicidad (i): la regla es que las audiencias son públicas, bajo pena de nulidad. Esto es consistente con la presunción de publicidad como regla general.</w:t>
      </w:r>
    </w:p>
    <w:p w14:paraId="33A3B7F7" w14:textId="14DB56ED" w:rsidR="003A1F07" w:rsidRP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Excepciones limitadas (xi): el tribunal puede disponer, aun de oficio, que sean a puertas cerradas por moral, orden público, seguridad o intimidad. La norma exige que la resolución sea fundada y conste en acta. Se cumple la exigencia de fundamentación y proporcionalidad, aunque la amplitud de los conceptos deja cierto margen de discrecionalidad judicial.</w:t>
      </w:r>
    </w:p>
    <w:p w14:paraId="1BA6E496" w14:textId="341B92BF" w:rsidR="003A1F07" w:rsidRP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Control (x): doctrinariamente (Alvarado Velloso y Palacio) se discute si la decisión que clausura la audiencia es apelable. Que no lo sea debilita el principio de control, aunque ellos señalan que debería admitirse recurso cuando se afecta la participación de una parte</w:t>
      </w:r>
      <w:r>
        <w:rPr>
          <w:rFonts w:ascii="Arial" w:hAnsi="Arial" w:cs="Arial"/>
          <w:color w:val="000000" w:themeColor="text1"/>
          <w:sz w:val="24"/>
          <w:szCs w:val="24"/>
        </w:rPr>
        <w:t>, ahora bien, nada se señala con respecto a terceros.</w:t>
      </w:r>
    </w:p>
    <w:p w14:paraId="6092FF7B" w14:textId="37DCF9C7" w:rsidR="003A1F07" w:rsidRPr="00F87C62"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lastRenderedPageBreak/>
        <w:t>Máxima divulgación (ii) y amplia legitimación (vii): en la práctica, como señalan los autores, el sistema escriturario y las deficiencias de infraestructura vuelven ilusoria la apertura. Esto muestra la brecha entre la norma y su efectividad real</w:t>
      </w:r>
      <w:r>
        <w:rPr>
          <w:rFonts w:ascii="Arial" w:hAnsi="Arial" w:cs="Arial"/>
          <w:color w:val="000000" w:themeColor="text1"/>
          <w:sz w:val="24"/>
          <w:szCs w:val="24"/>
        </w:rPr>
        <w:t>.</w:t>
      </w:r>
    </w:p>
    <w:p w14:paraId="3C691A72" w14:textId="79E87AC2" w:rsidR="003A1F07" w:rsidRDefault="003A1F07" w:rsidP="003A1F07">
      <w:pPr>
        <w:spacing w:line="360" w:lineRule="auto"/>
        <w:ind w:firstLine="1134"/>
        <w:jc w:val="both"/>
        <w:rPr>
          <w:rFonts w:ascii="Arial" w:hAnsi="Arial" w:cs="Arial"/>
          <w:color w:val="000000" w:themeColor="text1"/>
        </w:rPr>
      </w:pPr>
      <w:r>
        <w:rPr>
          <w:rFonts w:ascii="Arial" w:hAnsi="Arial" w:cs="Arial"/>
          <w:color w:val="000000" w:themeColor="text1"/>
        </w:rPr>
        <w:t>Art. 164 – Publicidad de las sentencias:</w:t>
      </w:r>
    </w:p>
    <w:p w14:paraId="57F76AE8" w14:textId="77777777" w:rsidR="003A1F07" w:rsidRP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Presunción de publicidad (i): se admite la publicidad de sentencias “de cualquier instancia”.</w:t>
      </w:r>
    </w:p>
    <w:p w14:paraId="4415DCAE" w14:textId="77777777" w:rsidR="003A1F07" w:rsidRP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Disociación (v): se prevé eliminar nombres o datos que afecten la intimidad, lo que permite compatibilizar publicidad general con reserva puntual.</w:t>
      </w:r>
    </w:p>
    <w:p w14:paraId="6EFE4CF1" w14:textId="77777777" w:rsidR="003A1F07" w:rsidRP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Excepciones limitadas (xi): se mencionan expresamente dos motivos de reserva: razones de decoro e intimidad. Aquí las categorías son más acotadas, aunque su aplicación queda librada al arbitrio del juez.</w:t>
      </w:r>
    </w:p>
    <w:p w14:paraId="383E5D9B" w14:textId="77777777" w:rsidR="003A1F07" w:rsidRDefault="003A1F07" w:rsidP="003A1F07">
      <w:pPr>
        <w:pStyle w:val="Prrafodelista"/>
        <w:numPr>
          <w:ilvl w:val="0"/>
          <w:numId w:val="21"/>
        </w:numPr>
        <w:spacing w:line="360" w:lineRule="auto"/>
        <w:ind w:left="0" w:firstLine="1134"/>
        <w:jc w:val="both"/>
        <w:rPr>
          <w:rFonts w:ascii="Arial" w:hAnsi="Arial" w:cs="Arial"/>
          <w:color w:val="000000" w:themeColor="text1"/>
          <w:sz w:val="24"/>
          <w:szCs w:val="24"/>
        </w:rPr>
      </w:pPr>
      <w:r w:rsidRPr="003A1F07">
        <w:rPr>
          <w:rFonts w:ascii="Arial" w:hAnsi="Arial" w:cs="Arial"/>
          <w:color w:val="000000" w:themeColor="text1"/>
          <w:sz w:val="24"/>
          <w:szCs w:val="24"/>
        </w:rPr>
        <w:t>Máxima divulgación (ii) y apertura (vi): la norma admite publicidad, pero no impone obligación de publicación sistemática. Se requiere la mediación de prensa o jurisprudencia especializada, lo que limita el alcance universal.</w:t>
      </w:r>
    </w:p>
    <w:p w14:paraId="7E0952EF" w14:textId="53FD8F53" w:rsidR="00F87C62" w:rsidRDefault="00F87C62" w:rsidP="00F87C62">
      <w:pPr>
        <w:pStyle w:val="Prrafodelista"/>
        <w:spacing w:line="360" w:lineRule="auto"/>
        <w:ind w:left="1134"/>
        <w:jc w:val="both"/>
        <w:rPr>
          <w:rFonts w:ascii="Arial" w:hAnsi="Arial" w:cs="Arial"/>
          <w:color w:val="000000" w:themeColor="text1"/>
          <w:sz w:val="24"/>
          <w:szCs w:val="24"/>
        </w:rPr>
      </w:pPr>
      <w:r w:rsidRPr="00F87C62">
        <w:rPr>
          <w:rFonts w:ascii="Arial" w:hAnsi="Arial" w:cs="Arial"/>
          <w:color w:val="000000" w:themeColor="text1"/>
          <w:sz w:val="24"/>
          <w:szCs w:val="24"/>
        </w:rPr>
        <w:t xml:space="preserve">Art. </w:t>
      </w:r>
      <w:r>
        <w:rPr>
          <w:rFonts w:ascii="Arial" w:hAnsi="Arial" w:cs="Arial"/>
          <w:color w:val="000000" w:themeColor="text1"/>
          <w:sz w:val="24"/>
          <w:szCs w:val="24"/>
        </w:rPr>
        <w:t>439</w:t>
      </w:r>
      <w:r w:rsidRPr="00F87C62">
        <w:rPr>
          <w:rFonts w:ascii="Arial" w:hAnsi="Arial" w:cs="Arial"/>
          <w:color w:val="000000" w:themeColor="text1"/>
          <w:sz w:val="24"/>
          <w:szCs w:val="24"/>
        </w:rPr>
        <w:t xml:space="preserve"> – Publicidad de </w:t>
      </w:r>
      <w:r>
        <w:rPr>
          <w:rFonts w:ascii="Arial" w:hAnsi="Arial" w:cs="Arial"/>
          <w:color w:val="000000" w:themeColor="text1"/>
          <w:sz w:val="24"/>
          <w:szCs w:val="24"/>
        </w:rPr>
        <w:t>las audiencias testimoniales</w:t>
      </w:r>
      <w:r w:rsidRPr="00F87C62">
        <w:rPr>
          <w:rFonts w:ascii="Arial" w:hAnsi="Arial" w:cs="Arial"/>
          <w:color w:val="000000" w:themeColor="text1"/>
          <w:sz w:val="24"/>
          <w:szCs w:val="24"/>
        </w:rPr>
        <w:t>:</w:t>
      </w:r>
    </w:p>
    <w:p w14:paraId="73D3C42E" w14:textId="77777777" w:rsidR="00F87C62" w:rsidRPr="00F87C62" w:rsidRDefault="00F87C62" w:rsidP="00F87C62">
      <w:pPr>
        <w:pStyle w:val="Prrafodelista"/>
        <w:numPr>
          <w:ilvl w:val="0"/>
          <w:numId w:val="21"/>
        </w:numPr>
        <w:spacing w:line="360" w:lineRule="auto"/>
        <w:ind w:left="-142" w:firstLine="1276"/>
        <w:jc w:val="both"/>
        <w:rPr>
          <w:rFonts w:ascii="Arial" w:hAnsi="Arial" w:cs="Arial"/>
          <w:color w:val="000000" w:themeColor="text1"/>
          <w:sz w:val="24"/>
          <w:szCs w:val="24"/>
        </w:rPr>
      </w:pPr>
      <w:r w:rsidRPr="00F87C62">
        <w:rPr>
          <w:rFonts w:ascii="Arial" w:hAnsi="Arial" w:cs="Arial"/>
          <w:color w:val="000000" w:themeColor="text1"/>
          <w:sz w:val="24"/>
          <w:szCs w:val="24"/>
        </w:rPr>
        <w:t>Presunción de publicidad (i): la audiencia en sí es pública.</w:t>
      </w:r>
    </w:p>
    <w:p w14:paraId="0D0FD99A" w14:textId="77777777" w:rsidR="00F87C62" w:rsidRPr="00F87C62" w:rsidRDefault="00F87C62" w:rsidP="00F87C62">
      <w:pPr>
        <w:pStyle w:val="Prrafodelista"/>
        <w:numPr>
          <w:ilvl w:val="0"/>
          <w:numId w:val="21"/>
        </w:numPr>
        <w:spacing w:line="360" w:lineRule="auto"/>
        <w:ind w:left="-142" w:firstLine="1276"/>
        <w:jc w:val="both"/>
        <w:rPr>
          <w:rFonts w:ascii="Arial" w:hAnsi="Arial" w:cs="Arial"/>
          <w:color w:val="000000" w:themeColor="text1"/>
          <w:sz w:val="24"/>
          <w:szCs w:val="24"/>
        </w:rPr>
      </w:pPr>
      <w:r w:rsidRPr="00F87C62">
        <w:rPr>
          <w:rFonts w:ascii="Arial" w:hAnsi="Arial" w:cs="Arial"/>
          <w:color w:val="000000" w:themeColor="text1"/>
          <w:sz w:val="24"/>
          <w:szCs w:val="24"/>
        </w:rPr>
        <w:t>Excepción puntual (xi): se limita la presencia de testigos que no declararon aún. Esta excepción tiene un fundamento objetivo: preservar la espontaneidad y sinceridad del testimonio.</w:t>
      </w:r>
    </w:p>
    <w:p w14:paraId="4425F787" w14:textId="77777777" w:rsidR="00F87C62" w:rsidRPr="00F87C62" w:rsidRDefault="00F87C62" w:rsidP="00F87C62">
      <w:pPr>
        <w:pStyle w:val="Prrafodelista"/>
        <w:numPr>
          <w:ilvl w:val="0"/>
          <w:numId w:val="21"/>
        </w:numPr>
        <w:spacing w:line="360" w:lineRule="auto"/>
        <w:ind w:left="-142" w:firstLine="1276"/>
        <w:jc w:val="both"/>
        <w:rPr>
          <w:rFonts w:ascii="Arial" w:hAnsi="Arial" w:cs="Arial"/>
          <w:color w:val="000000" w:themeColor="text1"/>
          <w:sz w:val="24"/>
          <w:szCs w:val="24"/>
        </w:rPr>
      </w:pPr>
      <w:r w:rsidRPr="00F87C62">
        <w:rPr>
          <w:rFonts w:ascii="Arial" w:hAnsi="Arial" w:cs="Arial"/>
          <w:color w:val="000000" w:themeColor="text1"/>
          <w:sz w:val="24"/>
          <w:szCs w:val="24"/>
        </w:rPr>
        <w:t>Disociación (v): no se cierran las audiencias en general, sino que se excluye únicamente a los testigos, con una finalidad precisa. Esto encaja perfectamente en la técnica de publicidad con reservas parciales.</w:t>
      </w:r>
    </w:p>
    <w:p w14:paraId="78B04B3C" w14:textId="7DAF38C2" w:rsidR="003A1F07" w:rsidRPr="00F87C62" w:rsidRDefault="00F87C62" w:rsidP="00F87C62">
      <w:pPr>
        <w:pStyle w:val="Prrafodelista"/>
        <w:numPr>
          <w:ilvl w:val="0"/>
          <w:numId w:val="21"/>
        </w:numPr>
        <w:spacing w:line="360" w:lineRule="auto"/>
        <w:ind w:left="-142" w:firstLine="1276"/>
        <w:jc w:val="both"/>
        <w:rPr>
          <w:rFonts w:ascii="Arial" w:hAnsi="Arial" w:cs="Arial"/>
          <w:color w:val="000000" w:themeColor="text1"/>
          <w:sz w:val="24"/>
          <w:szCs w:val="24"/>
        </w:rPr>
      </w:pPr>
      <w:r w:rsidRPr="00F87C62">
        <w:rPr>
          <w:rFonts w:ascii="Arial" w:hAnsi="Arial" w:cs="Arial"/>
          <w:color w:val="000000" w:themeColor="text1"/>
          <w:sz w:val="24"/>
          <w:szCs w:val="24"/>
        </w:rPr>
        <w:t>Control (x): la doctrina (Falcón, Alvarado Velloso, Palacio) explica que incluso si un testigo escucha indebidamente otra declaración, ello no invalida automáticamente su testimonio, pero sí puede ponderarse en su valoración. Esto da un marco de control probatorio.</w:t>
      </w:r>
    </w:p>
    <w:p w14:paraId="7BACFC4B" w14:textId="7B480B54" w:rsidR="00C06FA4" w:rsidRPr="00C06FA4" w:rsidRDefault="00C06FA4" w:rsidP="00C06FA4">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5.3.d.</w:t>
      </w:r>
      <w:r w:rsidR="007E3FA0">
        <w:rPr>
          <w:rFonts w:ascii="Arial" w:hAnsi="Arial" w:cs="Arial"/>
          <w:color w:val="000000" w:themeColor="text1"/>
          <w:u w:val="single"/>
          <w:lang w:val="es-ES"/>
        </w:rPr>
        <w:t>1.</w:t>
      </w:r>
      <w:r>
        <w:rPr>
          <w:rFonts w:ascii="Arial" w:hAnsi="Arial" w:cs="Arial"/>
          <w:color w:val="000000" w:themeColor="text1"/>
          <w:u w:val="single"/>
          <w:lang w:val="es-ES"/>
        </w:rPr>
        <w:t xml:space="preserve">- </w:t>
      </w:r>
      <w:r w:rsidR="007E3FA0">
        <w:rPr>
          <w:rFonts w:ascii="Arial" w:hAnsi="Arial" w:cs="Arial"/>
          <w:color w:val="000000" w:themeColor="text1"/>
          <w:u w:val="single"/>
          <w:lang w:val="es-ES"/>
        </w:rPr>
        <w:t xml:space="preserve">El </w:t>
      </w:r>
      <w:r>
        <w:rPr>
          <w:rFonts w:ascii="Arial" w:hAnsi="Arial" w:cs="Arial"/>
          <w:color w:val="000000" w:themeColor="text1"/>
          <w:u w:val="single"/>
          <w:lang w:val="es-ES"/>
        </w:rPr>
        <w:t>Código Procesal Penal de la Nación (CPPN)</w:t>
      </w:r>
    </w:p>
    <w:p w14:paraId="4749924B" w14:textId="6D106A79" w:rsidR="00C06FA4" w:rsidRDefault="00C06FA4" w:rsidP="00C06FA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Por su parte, el CPPN dispone en su art. 204 que </w:t>
      </w:r>
      <w:r w:rsidRPr="001239D5">
        <w:rPr>
          <w:rFonts w:ascii="Arial" w:hAnsi="Arial" w:cs="Arial"/>
          <w:i/>
          <w:iCs/>
          <w:color w:val="000000" w:themeColor="text1"/>
          <w:lang w:val="es-ES"/>
        </w:rPr>
        <w:t>“</w:t>
      </w:r>
      <w:r w:rsidRPr="001239D5">
        <w:rPr>
          <w:rFonts w:ascii="Arial" w:hAnsi="Arial" w:cs="Arial" w:hint="cs"/>
          <w:i/>
          <w:iCs/>
          <w:color w:val="000000" w:themeColor="text1"/>
          <w:lang w:val="es-ES"/>
        </w:rPr>
        <w:t>El sumario será público para las partes y sus defensores, que lo podrán examinar después de la indagatoria, dejando a salvo el derecho establecido en el segundo párrafo del artículo 106. Pero el juez podrá ordenar el secreto por resolución fundada siempre que la publicidad ponga en peligro el descubrimiento de la verdad, exceptuándose los actos definitivos e irreproducibles, que nunca serán secretos para aquéllos.</w:t>
      </w:r>
      <w:r w:rsidRPr="001239D5">
        <w:rPr>
          <w:rFonts w:ascii="Arial" w:hAnsi="Arial" w:cs="Arial"/>
          <w:i/>
          <w:iCs/>
          <w:color w:val="000000" w:themeColor="text1"/>
          <w:lang w:val="es-ES"/>
        </w:rPr>
        <w:t xml:space="preserve"> </w:t>
      </w:r>
      <w:r w:rsidRPr="001239D5">
        <w:rPr>
          <w:rFonts w:ascii="Arial" w:hAnsi="Arial" w:cs="Arial" w:hint="cs"/>
          <w:i/>
          <w:iCs/>
          <w:color w:val="000000" w:themeColor="text1"/>
          <w:lang w:val="es-ES"/>
        </w:rPr>
        <w:t xml:space="preserve">La reserva no podrá durar más de diez (10) días y será </w:t>
      </w:r>
      <w:r w:rsidRPr="001239D5">
        <w:rPr>
          <w:rFonts w:ascii="Arial" w:hAnsi="Arial" w:cs="Arial" w:hint="cs"/>
          <w:i/>
          <w:iCs/>
          <w:color w:val="000000" w:themeColor="text1"/>
          <w:lang w:val="es-ES"/>
        </w:rPr>
        <w:lastRenderedPageBreak/>
        <w:t>decretada sólo una vez, a menos que la gravedad del hecho o la dificultad de la investigación exijan que aquélla sea prolongada hasta por otro tanto. No obstante, podrá decretarse nuevamente</w:t>
      </w:r>
      <w:r w:rsidRPr="001239D5">
        <w:rPr>
          <w:rFonts w:ascii="Arial" w:hAnsi="Arial" w:cs="Arial" w:hint="cs"/>
          <w:color w:val="000000" w:themeColor="text1"/>
          <w:lang w:val="es-ES"/>
        </w:rPr>
        <w:t xml:space="preserve"> </w:t>
      </w:r>
      <w:r w:rsidRPr="001239D5">
        <w:rPr>
          <w:rFonts w:ascii="Arial" w:hAnsi="Arial" w:cs="Arial" w:hint="cs"/>
          <w:i/>
          <w:iCs/>
          <w:color w:val="000000" w:themeColor="text1"/>
          <w:lang w:val="es-ES"/>
        </w:rPr>
        <w:t>si aparecieren otros imputados.</w:t>
      </w:r>
      <w:r w:rsidRPr="001239D5">
        <w:rPr>
          <w:rFonts w:ascii="Arial" w:hAnsi="Arial" w:cs="Arial"/>
          <w:i/>
          <w:iCs/>
          <w:color w:val="000000" w:themeColor="text1"/>
          <w:lang w:val="es-ES"/>
        </w:rPr>
        <w:t xml:space="preserve"> </w:t>
      </w:r>
      <w:r w:rsidRPr="001239D5">
        <w:rPr>
          <w:rFonts w:ascii="Arial" w:hAnsi="Arial" w:cs="Arial" w:hint="cs"/>
          <w:i/>
          <w:iCs/>
          <w:color w:val="000000" w:themeColor="text1"/>
          <w:lang w:val="es-ES"/>
        </w:rPr>
        <w:t>El sumario será siempre secreto para los extraños.</w:t>
      </w:r>
      <w:r w:rsidRPr="001239D5">
        <w:rPr>
          <w:rFonts w:ascii="Arial" w:hAnsi="Arial" w:cs="Arial"/>
          <w:i/>
          <w:iCs/>
          <w:color w:val="000000" w:themeColor="text1"/>
          <w:lang w:val="es-ES"/>
        </w:rPr>
        <w:t xml:space="preserve">” </w:t>
      </w:r>
      <w:r>
        <w:rPr>
          <w:rFonts w:ascii="Arial" w:hAnsi="Arial" w:cs="Arial"/>
          <w:color w:val="000000" w:themeColor="text1"/>
          <w:lang w:val="es-ES"/>
        </w:rPr>
        <w:t>El segundo párrafo del art. 106 al que se refiere el citado dice</w:t>
      </w:r>
      <w:r w:rsidRPr="001239D5">
        <w:rPr>
          <w:rFonts w:ascii="Arial" w:hAnsi="Arial" w:cs="Arial"/>
          <w:i/>
          <w:iCs/>
          <w:color w:val="000000" w:themeColor="text1"/>
          <w:lang w:val="es-ES"/>
        </w:rPr>
        <w:t>: “</w:t>
      </w:r>
      <w:r w:rsidRPr="001239D5">
        <w:rPr>
          <w:rFonts w:ascii="Arial" w:hAnsi="Arial" w:cs="Arial" w:hint="cs"/>
          <w:i/>
          <w:iCs/>
          <w:color w:val="000000" w:themeColor="text1"/>
          <w:lang w:val="es-ES"/>
        </w:rPr>
        <w:t>El defensor tendrá derecho a examinar los autos antes de aceptar el cargo, salvo el caso de secreto del sumario.</w:t>
      </w:r>
      <w:r>
        <w:rPr>
          <w:rFonts w:ascii="Arial" w:hAnsi="Arial" w:cs="Arial"/>
          <w:i/>
          <w:iCs/>
          <w:color w:val="000000" w:themeColor="text1"/>
          <w:lang w:val="es-ES"/>
        </w:rPr>
        <w:t>”</w:t>
      </w:r>
      <w:r>
        <w:rPr>
          <w:rFonts w:ascii="Arial" w:hAnsi="Arial" w:cs="Arial"/>
          <w:color w:val="000000" w:themeColor="text1"/>
          <w:lang w:val="es-ES"/>
        </w:rPr>
        <w:t>.</w:t>
      </w:r>
    </w:p>
    <w:p w14:paraId="6C7E30F8" w14:textId="77777777" w:rsidR="00C06FA4" w:rsidRDefault="00C06FA4" w:rsidP="00C06FA4">
      <w:pPr>
        <w:spacing w:line="360" w:lineRule="auto"/>
        <w:ind w:firstLine="1134"/>
        <w:jc w:val="both"/>
        <w:rPr>
          <w:rFonts w:ascii="Arial" w:hAnsi="Arial" w:cs="Arial"/>
          <w:i/>
          <w:iCs/>
          <w:color w:val="000000" w:themeColor="text1"/>
          <w:lang w:val="es-ES"/>
        </w:rPr>
      </w:pPr>
      <w:r>
        <w:rPr>
          <w:rFonts w:ascii="Arial" w:hAnsi="Arial" w:cs="Arial"/>
          <w:color w:val="000000" w:themeColor="text1"/>
          <w:lang w:val="es-ES"/>
        </w:rPr>
        <w:t xml:space="preserve">El art. 363 del mismo cuerpo normativo nos dice </w:t>
      </w:r>
      <w:r w:rsidRPr="001239D5">
        <w:rPr>
          <w:rFonts w:ascii="Arial" w:hAnsi="Arial" w:cs="Arial"/>
          <w:i/>
          <w:iCs/>
          <w:color w:val="000000" w:themeColor="text1"/>
          <w:lang w:val="es-ES"/>
        </w:rPr>
        <w:t>“</w:t>
      </w:r>
      <w:r w:rsidRPr="001239D5">
        <w:rPr>
          <w:rFonts w:ascii="Arial" w:hAnsi="Arial" w:cs="Arial" w:hint="cs"/>
          <w:i/>
          <w:iCs/>
          <w:color w:val="000000" w:themeColor="text1"/>
          <w:lang w:val="es-ES"/>
        </w:rPr>
        <w:t>El debate será oral y público, bajo pena de nulidad; pero el tribunal podrá resolver, aún de oficio, que total o parcialmente se realice a puertas cerradas cuando la publicidad afecte la moral, el orden público o la seguridad.</w:t>
      </w:r>
      <w:r w:rsidRPr="001239D5">
        <w:rPr>
          <w:rFonts w:ascii="Arial" w:hAnsi="Arial" w:cs="Arial"/>
          <w:i/>
          <w:iCs/>
          <w:color w:val="000000" w:themeColor="text1"/>
          <w:lang w:val="es-ES"/>
        </w:rPr>
        <w:t xml:space="preserve"> </w:t>
      </w:r>
      <w:r w:rsidRPr="001239D5">
        <w:rPr>
          <w:rFonts w:ascii="Arial" w:hAnsi="Arial" w:cs="Arial" w:hint="cs"/>
          <w:i/>
          <w:iCs/>
          <w:color w:val="000000" w:themeColor="text1"/>
          <w:lang w:val="es-ES"/>
        </w:rPr>
        <w:t>La resolución será fundada, se hará constar en el acta y será irrecurrible. Desaparecida la causa de la clausura, se deberá permitir el acceso al público.</w:t>
      </w:r>
      <w:r w:rsidRPr="001239D5">
        <w:rPr>
          <w:rFonts w:ascii="Arial" w:hAnsi="Arial" w:cs="Arial"/>
          <w:i/>
          <w:iCs/>
          <w:color w:val="000000" w:themeColor="text1"/>
          <w:lang w:val="es-ES"/>
        </w:rPr>
        <w:t>”</w:t>
      </w:r>
      <w:r>
        <w:rPr>
          <w:rFonts w:ascii="Arial" w:hAnsi="Arial" w:cs="Arial"/>
          <w:color w:val="000000" w:themeColor="text1"/>
          <w:lang w:val="es-ES"/>
        </w:rPr>
        <w:t xml:space="preserve">. El 364, establece que </w:t>
      </w:r>
      <w:r w:rsidRPr="001239D5">
        <w:rPr>
          <w:rFonts w:ascii="Arial" w:hAnsi="Arial" w:cs="Arial"/>
          <w:i/>
          <w:iCs/>
          <w:color w:val="000000" w:themeColor="text1"/>
          <w:lang w:val="es-ES"/>
        </w:rPr>
        <w:t>“No tendrán acceso a la sala de audiencias los menores de dieciocho (18) años, los condenados y procesados por delitos reprimidos con pena corporal, los dementes y los ebrios. Por razones de orden, higiene, moralidad o decoro el tribunal podrá ordenar también el alejamiento de toda persona cuya presencia no sea necesaria o limitar la admisión a un determinado número.”.</w:t>
      </w:r>
    </w:p>
    <w:p w14:paraId="4AA1D199" w14:textId="77777777" w:rsidR="007E3FA0" w:rsidRDefault="007E3FA0" w:rsidP="00C06FA4">
      <w:pPr>
        <w:spacing w:line="360" w:lineRule="auto"/>
        <w:ind w:firstLine="1134"/>
        <w:jc w:val="both"/>
        <w:rPr>
          <w:rFonts w:ascii="Arial" w:hAnsi="Arial" w:cs="Arial"/>
          <w:i/>
          <w:iCs/>
          <w:color w:val="000000" w:themeColor="text1"/>
          <w:lang w:val="es-ES"/>
        </w:rPr>
      </w:pPr>
    </w:p>
    <w:p w14:paraId="722DB127" w14:textId="77777777" w:rsidR="007E3FA0" w:rsidRDefault="007E3FA0" w:rsidP="007E3FA0">
      <w:pPr>
        <w:spacing w:line="360" w:lineRule="auto"/>
        <w:ind w:firstLine="1134"/>
        <w:jc w:val="both"/>
        <w:rPr>
          <w:rFonts w:ascii="Arial" w:hAnsi="Arial" w:cs="Arial"/>
          <w:color w:val="000000" w:themeColor="text1"/>
          <w:u w:val="single"/>
          <w:lang w:val="es-ES"/>
        </w:rPr>
      </w:pPr>
      <w:r w:rsidRPr="007E3FA0">
        <w:rPr>
          <w:rFonts w:ascii="Arial" w:hAnsi="Arial" w:cs="Arial"/>
          <w:color w:val="000000" w:themeColor="text1"/>
          <w:u w:val="single"/>
          <w:lang w:val="es-ES"/>
        </w:rPr>
        <w:t>5.3.d.2.- Código Procesal Penal de la Nación (CPPN) conforme los parámetros para evaluar la publicidad procesal</w:t>
      </w:r>
    </w:p>
    <w:p w14:paraId="1D33CE6C" w14:textId="5915DD66" w:rsidR="007E3FA0" w:rsidRPr="007E3FA0" w:rsidRDefault="007E3FA0" w:rsidP="007E3FA0">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En cuanto al acceso al sumario, el mismo establece la regla de la publicidad (i) pero con una legitimación (vii) reducida a las partes y sus defensores </w:t>
      </w:r>
      <w:r w:rsidRPr="003C41DF">
        <w:rPr>
          <w:rFonts w:ascii="Arial" w:hAnsi="Arial" w:cs="Arial"/>
          <w:color w:val="000000" w:themeColor="text1"/>
          <w:lang w:val="es-ES"/>
        </w:rPr>
        <w:t>—</w:t>
      </w:r>
      <w:r>
        <w:rPr>
          <w:rFonts w:ascii="Arial" w:hAnsi="Arial" w:cs="Arial"/>
          <w:color w:val="000000" w:themeColor="text1"/>
          <w:lang w:val="es-ES"/>
        </w:rPr>
        <w:t>o pretenso defensor, quien lo podrá examinar el expediente antes de aceptar el cargo</w:t>
      </w:r>
      <w:r w:rsidRPr="003C41DF">
        <w:rPr>
          <w:rFonts w:ascii="Arial" w:hAnsi="Arial" w:cs="Arial"/>
          <w:color w:val="000000" w:themeColor="text1"/>
          <w:lang w:val="es-ES"/>
        </w:rPr>
        <w:t>—</w:t>
      </w:r>
      <w:r>
        <w:rPr>
          <w:rFonts w:ascii="Arial" w:hAnsi="Arial" w:cs="Arial"/>
          <w:color w:val="000000" w:themeColor="text1"/>
          <w:lang w:val="es-ES"/>
        </w:rPr>
        <w:t>. Asimismo, el secreto de sumario lo establece como excepción (xi) limitada en el tiempo. No establece régimen recursivo contra la decisión que imponga el secreto de sumario (x).</w:t>
      </w:r>
    </w:p>
    <w:p w14:paraId="4933A00C" w14:textId="244E24FC" w:rsidR="007E3FA0" w:rsidRDefault="007E3FA0" w:rsidP="00C06FA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Por su parte, en cuanto a la publicidad de la audiencia</w:t>
      </w:r>
      <w:r w:rsidR="00B5661D">
        <w:rPr>
          <w:rFonts w:ascii="Arial" w:hAnsi="Arial" w:cs="Arial"/>
          <w:color w:val="000000" w:themeColor="text1"/>
          <w:lang w:val="es-ES"/>
        </w:rPr>
        <w:t xml:space="preserve"> establece el debate oral y público bajo pena de nulidad (i), como excepción cuando la publicidad afecte la </w:t>
      </w:r>
      <w:r w:rsidR="00B5661D" w:rsidRPr="00B5661D">
        <w:rPr>
          <w:rFonts w:ascii="Arial" w:hAnsi="Arial" w:cs="Arial"/>
          <w:color w:val="000000" w:themeColor="text1"/>
          <w:lang w:val="es-ES"/>
        </w:rPr>
        <w:t>moral, el orden público o la seguridad</w:t>
      </w:r>
      <w:r w:rsidR="00B5661D">
        <w:rPr>
          <w:rFonts w:ascii="Arial" w:hAnsi="Arial" w:cs="Arial"/>
          <w:color w:val="000000" w:themeColor="text1"/>
          <w:lang w:val="es-ES"/>
        </w:rPr>
        <w:t>, criterio que queda a la discrecionalidad del juzgador, y deberá ser por un periodo de tiempo determinado, mientras dure la causal. Establece la prohibición de acceso (vii) a los menores de edad, a determinados condenados, dementes y ebrios, como así tambi</w:t>
      </w:r>
      <w:r w:rsidR="00513F32">
        <w:rPr>
          <w:rFonts w:ascii="Arial" w:hAnsi="Arial" w:cs="Arial"/>
          <w:color w:val="000000" w:themeColor="text1"/>
          <w:lang w:val="es-ES"/>
        </w:rPr>
        <w:t>é</w:t>
      </w:r>
      <w:r w:rsidR="00B5661D">
        <w:rPr>
          <w:rFonts w:ascii="Arial" w:hAnsi="Arial" w:cs="Arial"/>
          <w:color w:val="000000" w:themeColor="text1"/>
          <w:lang w:val="es-ES"/>
        </w:rPr>
        <w:t>n el alejamiento a toda persona cuya presencia no sea necesaria o limitarla a un determinado número.</w:t>
      </w:r>
    </w:p>
    <w:p w14:paraId="1C28A8F6" w14:textId="77777777" w:rsidR="007E3FA0" w:rsidRPr="007E3FA0" w:rsidRDefault="007E3FA0" w:rsidP="00C06FA4">
      <w:pPr>
        <w:spacing w:line="360" w:lineRule="auto"/>
        <w:ind w:firstLine="1134"/>
        <w:jc w:val="both"/>
        <w:rPr>
          <w:rFonts w:ascii="Arial" w:hAnsi="Arial" w:cs="Arial"/>
          <w:color w:val="000000" w:themeColor="text1"/>
          <w:lang w:val="es-ES"/>
        </w:rPr>
      </w:pPr>
    </w:p>
    <w:p w14:paraId="763E42DC" w14:textId="71D0C6CB" w:rsidR="00C06FA4" w:rsidRPr="00C06FA4" w:rsidRDefault="00C06FA4" w:rsidP="00C06FA4">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5.3.e.</w:t>
      </w:r>
      <w:r w:rsidR="002303A2">
        <w:rPr>
          <w:rFonts w:ascii="Arial" w:hAnsi="Arial" w:cs="Arial"/>
          <w:color w:val="000000" w:themeColor="text1"/>
          <w:u w:val="single"/>
          <w:lang w:val="es-ES"/>
        </w:rPr>
        <w:t>1.</w:t>
      </w:r>
      <w:r>
        <w:rPr>
          <w:rFonts w:ascii="Arial" w:hAnsi="Arial" w:cs="Arial"/>
          <w:color w:val="000000" w:themeColor="text1"/>
          <w:u w:val="single"/>
          <w:lang w:val="es-ES"/>
        </w:rPr>
        <w:t xml:space="preserve">- </w:t>
      </w:r>
      <w:r w:rsidR="002303A2">
        <w:rPr>
          <w:rFonts w:ascii="Arial" w:hAnsi="Arial" w:cs="Arial"/>
          <w:color w:val="000000" w:themeColor="text1"/>
          <w:u w:val="single"/>
          <w:lang w:val="es-ES"/>
        </w:rPr>
        <w:t xml:space="preserve">El </w:t>
      </w:r>
      <w:r>
        <w:rPr>
          <w:rFonts w:ascii="Arial" w:hAnsi="Arial" w:cs="Arial"/>
          <w:color w:val="000000" w:themeColor="text1"/>
          <w:u w:val="single"/>
          <w:lang w:val="es-ES"/>
        </w:rPr>
        <w:t>Código Procesal Penal Federal (CPPF)</w:t>
      </w:r>
    </w:p>
    <w:p w14:paraId="2EAAEE92" w14:textId="77777777" w:rsidR="00B5661D" w:rsidRDefault="00B5661D" w:rsidP="00B5661D">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lastRenderedPageBreak/>
        <w:t xml:space="preserve">El nuevo cuerpo normativo, por último, suplanta el antiguo sumario, por legajos de investigación. El art. 76 establece que </w:t>
      </w:r>
      <w:r w:rsidRPr="006F4C47">
        <w:rPr>
          <w:rFonts w:ascii="Arial" w:hAnsi="Arial" w:cs="Arial"/>
          <w:i/>
          <w:iCs/>
          <w:color w:val="000000" w:themeColor="text1"/>
          <w:lang w:val="es-ES"/>
        </w:rPr>
        <w:t xml:space="preserve">“(…) </w:t>
      </w:r>
      <w:r w:rsidRPr="006F4C47">
        <w:rPr>
          <w:rFonts w:ascii="Arial" w:hAnsi="Arial" w:cs="Arial" w:hint="cs"/>
          <w:i/>
          <w:iCs/>
          <w:color w:val="000000" w:themeColor="text1"/>
          <w:lang w:val="es-ES"/>
        </w:rPr>
        <w:t>En todos los casos el defensor tendrá derecho a conocer las actuaciones realizadas, antes de la aceptación del cargo, salvo los supuestos en los que proceda la reserva del legajo.</w:t>
      </w:r>
      <w:r w:rsidRPr="006F4C47">
        <w:rPr>
          <w:rFonts w:ascii="Arial" w:hAnsi="Arial" w:cs="Arial"/>
          <w:i/>
          <w:iCs/>
          <w:color w:val="000000" w:themeColor="text1"/>
          <w:lang w:val="es-ES"/>
        </w:rPr>
        <w:t xml:space="preserve"> (…)”</w:t>
      </w:r>
      <w:r>
        <w:rPr>
          <w:rFonts w:ascii="Arial" w:hAnsi="Arial" w:cs="Arial"/>
          <w:color w:val="000000" w:themeColor="text1"/>
          <w:lang w:val="es-ES"/>
        </w:rPr>
        <w:t xml:space="preserve">. El art. 230 que </w:t>
      </w:r>
      <w:r w:rsidRPr="006F4C47">
        <w:rPr>
          <w:rFonts w:ascii="Arial" w:hAnsi="Arial" w:cs="Arial"/>
          <w:i/>
          <w:iCs/>
          <w:color w:val="000000" w:themeColor="text1"/>
          <w:lang w:val="es-ES"/>
        </w:rPr>
        <w:t xml:space="preserve">“(…) </w:t>
      </w:r>
      <w:r w:rsidRPr="006F4C47">
        <w:rPr>
          <w:rFonts w:ascii="Arial" w:hAnsi="Arial" w:cs="Arial" w:hint="cs"/>
          <w:i/>
          <w:iCs/>
          <w:color w:val="000000" w:themeColor="text1"/>
          <w:lang w:val="es-ES"/>
        </w:rPr>
        <w:t>La defensa deberá acceder a toda la información que se haya recolectado en el legajo de investigación, luego de su formalización.</w:t>
      </w:r>
      <w:r w:rsidRPr="006F4C47">
        <w:rPr>
          <w:rFonts w:ascii="Arial" w:hAnsi="Arial" w:cs="Arial"/>
          <w:i/>
          <w:iCs/>
          <w:color w:val="000000" w:themeColor="text1"/>
          <w:lang w:val="es-ES"/>
        </w:rPr>
        <w:t xml:space="preserve"> (…)”</w:t>
      </w:r>
      <w:r>
        <w:rPr>
          <w:rFonts w:ascii="Arial" w:hAnsi="Arial" w:cs="Arial"/>
          <w:color w:val="000000" w:themeColor="text1"/>
          <w:lang w:val="es-ES"/>
        </w:rPr>
        <w:t xml:space="preserve">. El art. 233 establece que </w:t>
      </w:r>
      <w:r w:rsidRPr="006F4C47">
        <w:rPr>
          <w:rFonts w:ascii="Arial" w:hAnsi="Arial" w:cs="Arial"/>
          <w:i/>
          <w:iCs/>
          <w:color w:val="000000" w:themeColor="text1"/>
          <w:lang w:val="es-ES"/>
        </w:rPr>
        <w:t>“</w:t>
      </w:r>
      <w:r w:rsidRPr="006F4C47">
        <w:rPr>
          <w:rFonts w:ascii="Arial" w:hAnsi="Arial" w:cs="Arial" w:hint="cs"/>
          <w:i/>
          <w:iCs/>
          <w:color w:val="000000" w:themeColor="text1"/>
          <w:lang w:val="es-ES"/>
        </w:rPr>
        <w:t>La investigación preparatoria será pública para las partes o sus representantes, pero no para terceros, salvo las audiencias, siempre que ello no afecte el orden público, la seguridad o el éxito de la investigación.</w:t>
      </w:r>
      <w:r w:rsidRPr="006F4C47">
        <w:rPr>
          <w:rFonts w:ascii="Arial" w:hAnsi="Arial" w:cs="Arial"/>
          <w:i/>
          <w:iCs/>
          <w:color w:val="000000" w:themeColor="text1"/>
          <w:lang w:val="es-ES"/>
        </w:rPr>
        <w:t xml:space="preserve"> </w:t>
      </w:r>
      <w:r w:rsidRPr="006F4C47">
        <w:rPr>
          <w:rFonts w:ascii="Arial" w:hAnsi="Arial" w:cs="Arial" w:hint="cs"/>
          <w:i/>
          <w:iCs/>
          <w:color w:val="000000" w:themeColor="text1"/>
          <w:lang w:val="es-ES"/>
        </w:rPr>
        <w:t>Los abogados que invoquen un interés legítimo serán informados sobre el hecho que se investiga y sobre los imputados o detenidos que existan.</w:t>
      </w:r>
      <w:r w:rsidRPr="006F4C47">
        <w:rPr>
          <w:rFonts w:ascii="Arial" w:hAnsi="Arial" w:cs="Arial"/>
          <w:i/>
          <w:iCs/>
          <w:color w:val="000000" w:themeColor="text1"/>
          <w:lang w:val="es-ES"/>
        </w:rPr>
        <w:t xml:space="preserve"> </w:t>
      </w:r>
      <w:r w:rsidRPr="006F4C47">
        <w:rPr>
          <w:rFonts w:ascii="Arial" w:hAnsi="Arial" w:cs="Arial" w:hint="cs"/>
          <w:i/>
          <w:iCs/>
          <w:color w:val="000000" w:themeColor="text1"/>
          <w:lang w:val="es-ES"/>
        </w:rPr>
        <w:t>La información que recabe la defensa en su legajo de investigación no será pública para las restantes partes y podrá ser presentada al representante del MINISTERIO PÚBLICO FISCAL durante la investigación penal preparatoria, utilizada en las audiencias preliminares para avalar sus pretensiones o al momento de la audiencia de control de la acusación.</w:t>
      </w:r>
      <w:r w:rsidRPr="006F4C47">
        <w:rPr>
          <w:rFonts w:ascii="Arial" w:hAnsi="Arial" w:cs="Arial"/>
          <w:i/>
          <w:iCs/>
          <w:color w:val="000000" w:themeColor="text1"/>
          <w:lang w:val="es-ES"/>
        </w:rPr>
        <w:t>”</w:t>
      </w:r>
      <w:r>
        <w:rPr>
          <w:rFonts w:ascii="Arial" w:hAnsi="Arial" w:cs="Arial"/>
          <w:color w:val="000000" w:themeColor="text1"/>
          <w:lang w:val="es-ES"/>
        </w:rPr>
        <w:t>.</w:t>
      </w:r>
    </w:p>
    <w:p w14:paraId="40297F3F" w14:textId="0CA210DA" w:rsidR="00C06FA4" w:rsidRDefault="00B5661D" w:rsidP="00C06FA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cuanto al Juicio propiamente dicho, e</w:t>
      </w:r>
      <w:r w:rsidR="00C06FA4">
        <w:rPr>
          <w:rFonts w:ascii="Arial" w:hAnsi="Arial" w:cs="Arial"/>
          <w:color w:val="000000" w:themeColor="text1"/>
          <w:lang w:val="es-ES"/>
        </w:rPr>
        <w:t>l CPPF trata, en su art. 2, 111 y 223, a la publicidad como un principio procesal (no como una regla). En su art. 285 establece que “</w:t>
      </w:r>
      <w:r w:rsidR="00C06FA4" w:rsidRPr="00080EE5">
        <w:rPr>
          <w:rFonts w:ascii="Arial" w:hAnsi="Arial" w:cs="Arial" w:hint="cs"/>
          <w:i/>
          <w:iCs/>
          <w:color w:val="000000" w:themeColor="text1"/>
          <w:lang w:val="es-ES"/>
        </w:rPr>
        <w:t>El debate será oral y público, bajo pena de nulidad. No obstante, el tribunal podrá disponer, fundadamente y si no existiere ningún medio alternativo, una o más de las siguientes medidas para proteger la intimidad o seguridad de cualquier persona que debiere tomar parte en el debate, o para evitar la divulgación de un secreto cuya revelación sea punible o afecte gravemente la seguridad del Estado:</w:t>
      </w:r>
      <w:r w:rsidR="00C06FA4" w:rsidRPr="00080EE5">
        <w:rPr>
          <w:rFonts w:ascii="Arial" w:hAnsi="Arial" w:cs="Arial"/>
          <w:i/>
          <w:iCs/>
          <w:color w:val="000000" w:themeColor="text1"/>
          <w:lang w:val="es-ES"/>
        </w:rPr>
        <w:t xml:space="preserve"> </w:t>
      </w:r>
      <w:r w:rsidR="00C06FA4" w:rsidRPr="00080EE5">
        <w:rPr>
          <w:rFonts w:ascii="Arial" w:hAnsi="Arial" w:cs="Arial" w:hint="cs"/>
          <w:i/>
          <w:iCs/>
          <w:color w:val="000000" w:themeColor="text1"/>
          <w:lang w:val="es-ES"/>
        </w:rPr>
        <w:t>a. Impedir el acceso u ordenar la salida de personas determinadas de la sala donde se efectúe la audiencia;</w:t>
      </w:r>
      <w:r w:rsidR="00C06FA4" w:rsidRPr="00080EE5">
        <w:rPr>
          <w:rFonts w:ascii="Arial" w:hAnsi="Arial" w:cs="Arial"/>
          <w:i/>
          <w:iCs/>
          <w:color w:val="000000" w:themeColor="text1"/>
          <w:lang w:val="es-ES"/>
        </w:rPr>
        <w:t xml:space="preserve"> </w:t>
      </w:r>
      <w:r w:rsidR="00C06FA4" w:rsidRPr="00080EE5">
        <w:rPr>
          <w:rFonts w:ascii="Arial" w:hAnsi="Arial" w:cs="Arial" w:hint="cs"/>
          <w:i/>
          <w:iCs/>
          <w:color w:val="000000" w:themeColor="text1"/>
          <w:lang w:val="es-ES"/>
        </w:rPr>
        <w:t>b. Impedir el acceso del público en general u ordenar su salida temporaria para la práctica de pruebas específicas;</w:t>
      </w:r>
      <w:r w:rsidR="00C06FA4" w:rsidRPr="00080EE5">
        <w:rPr>
          <w:rFonts w:ascii="Arial" w:hAnsi="Arial" w:cs="Arial"/>
          <w:i/>
          <w:iCs/>
          <w:color w:val="000000" w:themeColor="text1"/>
          <w:lang w:val="es-ES"/>
        </w:rPr>
        <w:t xml:space="preserve"> </w:t>
      </w:r>
      <w:r w:rsidR="00C06FA4" w:rsidRPr="00080EE5">
        <w:rPr>
          <w:rFonts w:ascii="Arial" w:hAnsi="Arial" w:cs="Arial" w:hint="cs"/>
          <w:i/>
          <w:iCs/>
          <w:color w:val="000000" w:themeColor="text1"/>
          <w:lang w:val="es-ES"/>
        </w:rPr>
        <w:t>c. Prohibir a las partes, testigos, peritos, intérpretes y demás intervinientes que divulguen información o formulen declaraciones a los medios de comunicación durante el desarrollo del juicio sobre cuestiones que hayan sido excluidas de la publicidad en los términos del primer párrafo.</w:t>
      </w:r>
      <w:r w:rsidR="00C06FA4" w:rsidRPr="00080EE5">
        <w:rPr>
          <w:rFonts w:ascii="Arial" w:hAnsi="Arial" w:cs="Arial"/>
          <w:i/>
          <w:iCs/>
          <w:color w:val="000000" w:themeColor="text1"/>
          <w:lang w:val="es-ES"/>
        </w:rPr>
        <w:t xml:space="preserve"> </w:t>
      </w:r>
      <w:r w:rsidR="00C06FA4" w:rsidRPr="00080EE5">
        <w:rPr>
          <w:rFonts w:ascii="Arial" w:hAnsi="Arial" w:cs="Arial" w:hint="cs"/>
          <w:i/>
          <w:iCs/>
          <w:color w:val="000000" w:themeColor="text1"/>
          <w:lang w:val="es-ES"/>
        </w:rPr>
        <w:t>Las restricciones indicadas precedentemente sólo podrán ser dispuestas de oficio si la persona a proteger no estuviere representada en el juicio, o se tratare de un secreto cuya revelación fuere punible o afectare gravemente la seguridad del Estado. Las partes podrán deducir el recurso de reposición.</w:t>
      </w:r>
      <w:r w:rsidR="00C06FA4" w:rsidRPr="00080EE5">
        <w:rPr>
          <w:rFonts w:ascii="Arial" w:hAnsi="Arial" w:cs="Arial"/>
          <w:i/>
          <w:iCs/>
          <w:color w:val="000000" w:themeColor="text1"/>
          <w:lang w:val="es-ES"/>
        </w:rPr>
        <w:t xml:space="preserve"> </w:t>
      </w:r>
      <w:r w:rsidR="00C06FA4" w:rsidRPr="00080EE5">
        <w:rPr>
          <w:rFonts w:ascii="Arial" w:hAnsi="Arial" w:cs="Arial" w:hint="cs"/>
          <w:i/>
          <w:iCs/>
          <w:color w:val="000000" w:themeColor="text1"/>
          <w:lang w:val="es-ES"/>
        </w:rPr>
        <w:t>Desaparecida la causa de la restricción, el tribunal permitirá nuevamente el ingreso del público</w:t>
      </w:r>
      <w:r w:rsidR="00C06FA4" w:rsidRPr="00080EE5">
        <w:rPr>
          <w:rFonts w:ascii="Arial" w:hAnsi="Arial" w:cs="Arial" w:hint="cs"/>
          <w:color w:val="000000" w:themeColor="text1"/>
          <w:lang w:val="es-ES"/>
        </w:rPr>
        <w:t>.</w:t>
      </w:r>
      <w:r w:rsidR="00C06FA4">
        <w:rPr>
          <w:rFonts w:ascii="Arial" w:hAnsi="Arial" w:cs="Arial"/>
          <w:color w:val="000000" w:themeColor="text1"/>
          <w:lang w:val="es-ES"/>
        </w:rPr>
        <w:t>”</w:t>
      </w:r>
    </w:p>
    <w:p w14:paraId="130375F9" w14:textId="3C438DF9" w:rsidR="00C06FA4" w:rsidRDefault="00C06FA4" w:rsidP="00C06FA4">
      <w:pPr>
        <w:spacing w:line="360" w:lineRule="auto"/>
        <w:ind w:firstLine="1134"/>
        <w:jc w:val="both"/>
        <w:rPr>
          <w:rFonts w:ascii="Arial" w:hAnsi="Arial" w:cs="Arial"/>
          <w:i/>
          <w:iCs/>
          <w:color w:val="000000" w:themeColor="text1"/>
          <w:lang w:val="es-ES"/>
        </w:rPr>
      </w:pPr>
      <w:r>
        <w:rPr>
          <w:rFonts w:ascii="Arial" w:hAnsi="Arial" w:cs="Arial"/>
          <w:color w:val="000000" w:themeColor="text1"/>
          <w:lang w:val="es-ES"/>
        </w:rPr>
        <w:t xml:space="preserve">El art. 286 otorga acceso del público: </w:t>
      </w:r>
      <w:r w:rsidRPr="00080EE5">
        <w:rPr>
          <w:rFonts w:ascii="Arial" w:hAnsi="Arial" w:cs="Arial"/>
          <w:i/>
          <w:iCs/>
          <w:color w:val="000000" w:themeColor="text1"/>
          <w:lang w:val="es-ES"/>
        </w:rPr>
        <w:t>“</w:t>
      </w:r>
      <w:r w:rsidRPr="00080EE5">
        <w:rPr>
          <w:rFonts w:ascii="Arial" w:hAnsi="Arial" w:cs="Arial" w:hint="cs"/>
          <w:i/>
          <w:iCs/>
          <w:color w:val="000000" w:themeColor="text1"/>
          <w:lang w:val="es-ES"/>
        </w:rPr>
        <w:t>Todas las personas tendrán derecho a acceder a la sala de audiencias. Los menores de DOCE (12) años deberán hacerlo acompañados de un mayor de edad que responda por su conducta.</w:t>
      </w:r>
      <w:r w:rsidRPr="00080EE5">
        <w:rPr>
          <w:rFonts w:ascii="Arial" w:hAnsi="Arial" w:cs="Arial"/>
          <w:i/>
          <w:iCs/>
          <w:color w:val="000000" w:themeColor="text1"/>
          <w:lang w:val="es-ES"/>
        </w:rPr>
        <w:t xml:space="preserve"> </w:t>
      </w:r>
      <w:r w:rsidRPr="00080EE5">
        <w:rPr>
          <w:rFonts w:ascii="Arial" w:hAnsi="Arial" w:cs="Arial" w:hint="cs"/>
          <w:i/>
          <w:iCs/>
          <w:color w:val="000000" w:themeColor="text1"/>
          <w:lang w:val="es-ES"/>
        </w:rPr>
        <w:t xml:space="preserve">El tribunal podrá limitar </w:t>
      </w:r>
      <w:r w:rsidRPr="00080EE5">
        <w:rPr>
          <w:rFonts w:ascii="Arial" w:hAnsi="Arial" w:cs="Arial" w:hint="cs"/>
          <w:i/>
          <w:iCs/>
          <w:color w:val="000000" w:themeColor="text1"/>
          <w:lang w:val="es-ES"/>
        </w:rPr>
        <w:lastRenderedPageBreak/>
        <w:t>el acceso a la sala en función de su capacidad, aunque procurará que las audiencias se realicen en lugares que cuenten con el espacio necesario. Se priorizará la presencia de la víctima, de los familiares de las partes y de los medios de comunicación.</w:t>
      </w:r>
      <w:r w:rsidRPr="00080EE5">
        <w:rPr>
          <w:rFonts w:ascii="Arial" w:hAnsi="Arial" w:cs="Arial"/>
          <w:i/>
          <w:iCs/>
          <w:color w:val="000000" w:themeColor="text1"/>
          <w:lang w:val="es-ES"/>
        </w:rPr>
        <w:t>”.</w:t>
      </w:r>
    </w:p>
    <w:p w14:paraId="06D17C05" w14:textId="77777777" w:rsidR="00C06FA4" w:rsidRDefault="00C06FA4" w:rsidP="00C06FA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A su vez, trae una novedad, al regular en el art. 287 el acceso de los medios de comunicación: “</w:t>
      </w:r>
      <w:r w:rsidRPr="00080EE5">
        <w:rPr>
          <w:rFonts w:ascii="Arial" w:hAnsi="Arial" w:cs="Arial" w:hint="cs"/>
          <w:i/>
          <w:iCs/>
          <w:color w:val="000000" w:themeColor="text1"/>
          <w:lang w:val="es-ES"/>
        </w:rPr>
        <w:t>Los medios de comunicación podrán acceder a la sala de audiencias en las mismas condiciones que el público en general.</w:t>
      </w:r>
      <w:r w:rsidRPr="00080EE5">
        <w:rPr>
          <w:rFonts w:ascii="Arial" w:hAnsi="Arial" w:cs="Arial"/>
          <w:i/>
          <w:iCs/>
          <w:color w:val="000000" w:themeColor="text1"/>
          <w:lang w:val="es-ES"/>
        </w:rPr>
        <w:t xml:space="preserve"> </w:t>
      </w:r>
      <w:r w:rsidRPr="00080EE5">
        <w:rPr>
          <w:rFonts w:ascii="Arial" w:hAnsi="Arial" w:cs="Arial" w:hint="cs"/>
          <w:i/>
          <w:iCs/>
          <w:color w:val="000000" w:themeColor="text1"/>
          <w:lang w:val="es-ES"/>
        </w:rPr>
        <w:t>En caso de que los medios de comunicación soliciten el ingreso a la sala para la transmisión en directo de la audiencia, se los autorizará a instalar los equipos técnicos que fueran necesarios, aunque su ubicación se dispondrá de modo tal que no afecte el normal desarrollo del juicio.</w:t>
      </w:r>
      <w:r w:rsidRPr="00080EE5">
        <w:rPr>
          <w:rFonts w:ascii="Arial" w:hAnsi="Arial" w:cs="Arial"/>
          <w:i/>
          <w:iCs/>
          <w:color w:val="000000" w:themeColor="text1"/>
          <w:lang w:val="es-ES"/>
        </w:rPr>
        <w:t xml:space="preserve"> </w:t>
      </w:r>
      <w:r w:rsidRPr="00080EE5">
        <w:rPr>
          <w:rFonts w:ascii="Arial" w:hAnsi="Arial" w:cs="Arial" w:hint="cs"/>
          <w:i/>
          <w:iCs/>
          <w:color w:val="000000" w:themeColor="text1"/>
          <w:lang w:val="es-ES"/>
        </w:rPr>
        <w:t>En caso de que el acceso sea restringido por límites en la capacidad de la sala, se les proveerá de los registros realizados en función del artículo 311, último párrafo</w:t>
      </w:r>
      <w:r>
        <w:rPr>
          <w:rStyle w:val="Refdenotaalpie"/>
          <w:rFonts w:ascii="Arial" w:hAnsi="Arial"/>
          <w:i/>
          <w:iCs/>
          <w:color w:val="000000" w:themeColor="text1"/>
          <w:lang w:val="es-ES"/>
        </w:rPr>
        <w:footnoteReference w:id="33"/>
      </w:r>
      <w:r w:rsidRPr="00080EE5">
        <w:rPr>
          <w:rFonts w:ascii="Arial" w:hAnsi="Arial" w:cs="Arial" w:hint="cs"/>
          <w:i/>
          <w:iCs/>
          <w:color w:val="000000" w:themeColor="text1"/>
          <w:lang w:val="es-ES"/>
        </w:rPr>
        <w:t>.</w:t>
      </w:r>
      <w:r w:rsidRPr="00080EE5">
        <w:rPr>
          <w:rFonts w:ascii="Arial" w:hAnsi="Arial" w:cs="Arial"/>
          <w:i/>
          <w:iCs/>
          <w:color w:val="000000" w:themeColor="text1"/>
          <w:lang w:val="es-ES"/>
        </w:rPr>
        <w:t xml:space="preserve"> </w:t>
      </w:r>
      <w:r w:rsidRPr="00080EE5">
        <w:rPr>
          <w:rFonts w:ascii="Arial" w:hAnsi="Arial" w:cs="Arial" w:hint="cs"/>
          <w:i/>
          <w:iCs/>
          <w:color w:val="000000" w:themeColor="text1"/>
          <w:lang w:val="es-ES"/>
        </w:rPr>
        <w:t>El tribunal deberá informar a las partes y a los testigos sobre la presencia de los medios de comunicación en la sala de audiencias.</w:t>
      </w:r>
      <w:r w:rsidRPr="00080EE5">
        <w:rPr>
          <w:rFonts w:ascii="Arial" w:hAnsi="Arial" w:cs="Arial"/>
          <w:i/>
          <w:iCs/>
          <w:color w:val="000000" w:themeColor="text1"/>
          <w:lang w:val="es-ES"/>
        </w:rPr>
        <w:t xml:space="preserve"> </w:t>
      </w:r>
      <w:r w:rsidRPr="00080EE5">
        <w:rPr>
          <w:rFonts w:ascii="Arial" w:hAnsi="Arial" w:cs="Arial" w:hint="cs"/>
          <w:i/>
          <w:iCs/>
          <w:color w:val="000000" w:themeColor="text1"/>
          <w:lang w:val="es-ES"/>
        </w:rPr>
        <w:t>Si la víctima, un testigo o el imputado solicitaran que no se difundan ni su voz ni su imagen en resguardo de su pudor o seguridad, el tribunal, luego de oír a las partes, examinará los motivos y resolverá fundadamente teniendo en cuenta los diversos intereses comprometidos. El tribunal podrá ordenar la distorsión de la imagen o de la voz como mecanismos menos restrictivos que la prohibición de la difusión.</w:t>
      </w:r>
      <w:r w:rsidRPr="00080EE5">
        <w:rPr>
          <w:rFonts w:ascii="Arial" w:hAnsi="Arial" w:cs="Arial"/>
          <w:i/>
          <w:iCs/>
          <w:color w:val="000000" w:themeColor="text1"/>
          <w:lang w:val="es-ES"/>
        </w:rPr>
        <w:t xml:space="preserve"> </w:t>
      </w:r>
      <w:r w:rsidRPr="00080EE5">
        <w:rPr>
          <w:rFonts w:ascii="Arial" w:hAnsi="Arial" w:cs="Arial" w:hint="cs"/>
          <w:i/>
          <w:iCs/>
          <w:color w:val="000000" w:themeColor="text1"/>
          <w:lang w:val="es-ES"/>
        </w:rPr>
        <w:t>El tribunal no autorizará la transmisión audiovisual en los casos del artículo 163</w:t>
      </w:r>
      <w:r>
        <w:rPr>
          <w:rStyle w:val="Refdenotaalpie"/>
          <w:rFonts w:ascii="Arial" w:hAnsi="Arial"/>
          <w:i/>
          <w:iCs/>
          <w:color w:val="000000" w:themeColor="text1"/>
          <w:lang w:val="es-ES"/>
        </w:rPr>
        <w:footnoteReference w:id="34"/>
      </w:r>
      <w:r w:rsidRPr="00080EE5">
        <w:rPr>
          <w:rFonts w:ascii="Arial" w:hAnsi="Arial" w:cs="Arial" w:hint="cs"/>
          <w:i/>
          <w:iCs/>
          <w:color w:val="000000" w:themeColor="text1"/>
          <w:lang w:val="es-ES"/>
        </w:rPr>
        <w:t xml:space="preserve"> o si el testigo fuera un menor de edad</w:t>
      </w:r>
      <w:r w:rsidRPr="00080EE5">
        <w:rPr>
          <w:rFonts w:ascii="Arial" w:hAnsi="Arial" w:cs="Arial" w:hint="cs"/>
          <w:color w:val="000000" w:themeColor="text1"/>
          <w:lang w:val="es-ES"/>
        </w:rPr>
        <w:t>.</w:t>
      </w:r>
      <w:r>
        <w:rPr>
          <w:rFonts w:ascii="Arial" w:hAnsi="Arial" w:cs="Arial"/>
          <w:color w:val="000000" w:themeColor="text1"/>
          <w:lang w:val="es-ES"/>
        </w:rPr>
        <w:t>”.</w:t>
      </w:r>
    </w:p>
    <w:p w14:paraId="25654CC7" w14:textId="388583D7" w:rsidR="002303A2" w:rsidRDefault="002303A2" w:rsidP="002303A2">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 xml:space="preserve">5.3.e.2.- Código Procesal Penal Federal (CPPF) </w:t>
      </w:r>
      <w:r w:rsidRPr="002303A2">
        <w:rPr>
          <w:rFonts w:ascii="Arial" w:hAnsi="Arial" w:cs="Arial"/>
          <w:color w:val="000000" w:themeColor="text1"/>
          <w:u w:val="single"/>
          <w:lang w:val="es-ES"/>
        </w:rPr>
        <w:t>conforme los parámetros para evaluar la publicidad procesal</w:t>
      </w:r>
    </w:p>
    <w:p w14:paraId="5848589D" w14:textId="29285BA6" w:rsidR="002303A2" w:rsidRDefault="002303A2" w:rsidP="002303A2">
      <w:pPr>
        <w:spacing w:line="360" w:lineRule="auto"/>
        <w:ind w:firstLine="1134"/>
        <w:jc w:val="both"/>
        <w:rPr>
          <w:rFonts w:ascii="Arial" w:hAnsi="Arial" w:cs="Arial"/>
          <w:color w:val="000000" w:themeColor="text1"/>
          <w:lang w:val="es-ES"/>
        </w:rPr>
      </w:pPr>
      <w:r w:rsidRPr="002303A2">
        <w:rPr>
          <w:rFonts w:ascii="Arial" w:hAnsi="Arial" w:cs="Arial"/>
          <w:color w:val="000000" w:themeColor="text1"/>
          <w:lang w:val="es-ES"/>
        </w:rPr>
        <w:t>En cuanto al acceso al sumario, trae la novedad de los legajos de investigación, del cual el del imputado es secreto, lo cual es un acierto puesto que no es información pública la investigación que hace la parte para sostener su teoría del caso</w:t>
      </w:r>
      <w:r>
        <w:rPr>
          <w:rFonts w:ascii="Arial" w:hAnsi="Arial" w:cs="Arial"/>
          <w:color w:val="000000" w:themeColor="text1"/>
          <w:lang w:val="es-ES"/>
        </w:rPr>
        <w:t>, diferente a lo que ocurre con el legajo del fiscal, cuya investigación no le pertenece a él, sino al estado.</w:t>
      </w:r>
    </w:p>
    <w:p w14:paraId="36ACFCA6" w14:textId="5ED3C46C" w:rsidR="002303A2" w:rsidRDefault="002303A2" w:rsidP="00C06FA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cuanto a las audiencias el sistema es muy similar al del CPPN, a lo que podemos acotar que para la limitación del nro. de personas “</w:t>
      </w:r>
      <w:r w:rsidRPr="002303A2">
        <w:rPr>
          <w:rFonts w:ascii="Arial" w:hAnsi="Arial" w:cs="Arial"/>
          <w:i/>
          <w:iCs/>
          <w:color w:val="000000" w:themeColor="text1"/>
          <w:lang w:val="es-ES"/>
        </w:rPr>
        <w:t>Se priorizará la presencia de la víctima, de los familiares de las partes y de los medios de comunicación</w:t>
      </w:r>
      <w:r>
        <w:rPr>
          <w:rFonts w:ascii="Arial" w:hAnsi="Arial" w:cs="Arial"/>
          <w:color w:val="000000" w:themeColor="text1"/>
          <w:lang w:val="es-ES"/>
        </w:rPr>
        <w:t>”, regulando el ingreso a la prensa.</w:t>
      </w:r>
    </w:p>
    <w:p w14:paraId="5037C20B" w14:textId="77777777" w:rsidR="002303A2" w:rsidRDefault="002303A2" w:rsidP="00C06FA4">
      <w:pPr>
        <w:spacing w:line="360" w:lineRule="auto"/>
        <w:ind w:firstLine="1134"/>
        <w:jc w:val="both"/>
        <w:rPr>
          <w:rFonts w:ascii="Arial" w:hAnsi="Arial" w:cs="Arial"/>
          <w:color w:val="000000" w:themeColor="text1"/>
          <w:lang w:val="es-ES"/>
        </w:rPr>
      </w:pPr>
    </w:p>
    <w:p w14:paraId="22316584" w14:textId="35A4A4AC" w:rsidR="00F07F27" w:rsidRPr="00C06FA4" w:rsidRDefault="00F07F27" w:rsidP="00F07F27">
      <w:pPr>
        <w:spacing w:line="360" w:lineRule="auto"/>
        <w:ind w:firstLine="1134"/>
        <w:rPr>
          <w:rFonts w:ascii="Arial" w:hAnsi="Arial" w:cs="Arial"/>
          <w:color w:val="000000" w:themeColor="text1"/>
          <w:u w:val="single"/>
          <w:lang w:val="es-ES"/>
        </w:rPr>
      </w:pPr>
      <w:r>
        <w:rPr>
          <w:rFonts w:ascii="Arial" w:hAnsi="Arial" w:cs="Arial"/>
          <w:color w:val="000000" w:themeColor="text1"/>
          <w:u w:val="single"/>
          <w:lang w:val="es-ES"/>
        </w:rPr>
        <w:lastRenderedPageBreak/>
        <w:t>5.3.f.- La a</w:t>
      </w:r>
      <w:r w:rsidRPr="00F07F27">
        <w:rPr>
          <w:rFonts w:ascii="Arial" w:hAnsi="Arial" w:cs="Arial"/>
          <w:color w:val="000000" w:themeColor="text1"/>
          <w:u w:val="single"/>
          <w:lang w:val="es-ES"/>
        </w:rPr>
        <w:t>cordada 29/2008</w:t>
      </w:r>
    </w:p>
    <w:p w14:paraId="0D0F620E" w14:textId="5A3F00BD" w:rsidR="00F07F27" w:rsidRDefault="00F07F27" w:rsidP="00F07F27">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La acordada en cuestión, y con el objeto de garantizar el derecho a la información a los casos de trascendencia, la </w:t>
      </w:r>
      <w:r w:rsidRPr="00F07F27">
        <w:rPr>
          <w:rFonts w:ascii="Arial" w:hAnsi="Arial" w:cs="Arial"/>
          <w:color w:val="000000" w:themeColor="text1"/>
          <w:lang w:val="es-ES"/>
        </w:rPr>
        <w:t>acordada 29/2008</w:t>
      </w:r>
      <w:r>
        <w:rPr>
          <w:rFonts w:ascii="Arial" w:hAnsi="Arial" w:cs="Arial"/>
          <w:color w:val="000000" w:themeColor="text1"/>
          <w:lang w:val="es-ES"/>
        </w:rPr>
        <w:t xml:space="preserve"> reglamento la difusión radial y televisiva de juicios orales.</w:t>
      </w:r>
    </w:p>
    <w:p w14:paraId="760265ED" w14:textId="15C1EFFF" w:rsidR="00F07F27" w:rsidRDefault="00F07F27" w:rsidP="00F07F27">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Así establecido que </w:t>
      </w:r>
      <w:r w:rsidRPr="00F07F27">
        <w:rPr>
          <w:rFonts w:ascii="Arial" w:hAnsi="Arial" w:cs="Arial"/>
          <w:i/>
          <w:iCs/>
          <w:color w:val="000000" w:themeColor="text1"/>
          <w:lang w:val="es-ES"/>
        </w:rPr>
        <w:t>“En los juicios orales el tribunal a cargo de las actuaciones permitirá la difusión radial y televisiva de los siguientes actos:</w:t>
      </w:r>
      <w:r w:rsidRPr="00F07F27">
        <w:rPr>
          <w:i/>
          <w:iCs/>
        </w:rPr>
        <w:t xml:space="preserve"> </w:t>
      </w:r>
      <w:r w:rsidRPr="00F07F27">
        <w:rPr>
          <w:rFonts w:ascii="Arial" w:hAnsi="Arial" w:cs="Arial"/>
          <w:i/>
          <w:iCs/>
          <w:color w:val="000000" w:themeColor="text1"/>
          <w:lang w:val="es-ES"/>
        </w:rPr>
        <w:t>a) Actos iniciales del juicio (artículos 374 y 378 del Código Procesal Penal de la Nación); b) Discusión final: los alegatos (artículo 393 del Código Procesal Penal de Nación); c) Lectura de la sentencia, en su parte dispositiva y fundamentos (artículo 400 del Código Procesal Penal de la Nación).”</w:t>
      </w:r>
      <w:r>
        <w:rPr>
          <w:rFonts w:ascii="Arial" w:hAnsi="Arial" w:cs="Arial"/>
          <w:color w:val="000000" w:themeColor="text1"/>
          <w:lang w:val="es-ES"/>
        </w:rPr>
        <w:t>.</w:t>
      </w:r>
    </w:p>
    <w:p w14:paraId="1F2651A8" w14:textId="701BE61C" w:rsidR="00F07F27" w:rsidRPr="00F07F27" w:rsidRDefault="00F07F27" w:rsidP="00F07F27">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Por otra parte, determinó que </w:t>
      </w:r>
      <w:r w:rsidRPr="00F07F27">
        <w:rPr>
          <w:rFonts w:ascii="Arial" w:hAnsi="Arial" w:cs="Arial"/>
          <w:i/>
          <w:iCs/>
          <w:color w:val="000000" w:themeColor="text1"/>
          <w:lang w:val="es-ES"/>
        </w:rPr>
        <w:t>“La cobertura periodística se ajustará a las siguientes reglas: a) Los medios de comunicación que tengan la intención de efectuar la cobertura de un juicio oral deberán solicitar la acreditación correspondiente ante el tribunal a cargo del proceso. No se permitirá el acceso al recinto, durante el juicio de los periodistas no acreditados; b) Los periodistas acreditados deberán respetar las normas adecuadas de ingreso y permanencia que establezca el tribunal para el público en general; c) El periodista que ingrese en la sala se compromete a asistir en carácter de oyente, a ocupar exclusivamente el sector destinado a la prensa y a no interferir en el desarrollo del juicio oral (art. 369 del Código Procesal Penal de la Nación); d) La ubicación de las cámaras de televisión y de los reporteros gráficos para realizar la cobertura de las instancias del proceso permitidas, será determinada por el tribunal, que arbitrará, en la medida de sus posibilidades, los medios necesarios (físicos y técnicos) para garantizar el mejor registro de imágenes posible, teniendo en cuenta que su disposición en la sala no interfiera con el desarrollo del juicio; e) Las consultas, entrevistas o preguntas a las partes no podrán realizarse dentro del ámbito del tribunal. Se asignará, cuando fuera posible, un espacio específico para este fin; f) El tribunal requerirá a un medio televisivo local o nacional, preferentemente público, la toma de imágenes para su posterior distribución entre las emisoras televisivas que cubran el proceso y que no pudieran ingresar a la sala de audiencias por insuficiencia del espacio físico destinado a esa finalidad; g) Los medios periodísticos, tanto gráficos como audiovisuales, no podrán tomar registros de audio o de imágenes durante la etapa de prueba, ni de los testimonios, ni de las pericias.”</w:t>
      </w:r>
    </w:p>
    <w:p w14:paraId="575577C9" w14:textId="2F7FE740" w:rsidR="00C06FA4" w:rsidRPr="00C06FA4" w:rsidRDefault="00C06FA4" w:rsidP="00C06FA4">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w:t>
      </w:r>
      <w:r w:rsidR="00F07F27">
        <w:rPr>
          <w:rFonts w:ascii="Arial" w:hAnsi="Arial" w:cs="Arial"/>
          <w:color w:val="000000" w:themeColor="text1"/>
          <w:u w:val="single"/>
          <w:lang w:val="es-ES"/>
        </w:rPr>
        <w:t>g</w:t>
      </w:r>
      <w:r>
        <w:rPr>
          <w:rFonts w:ascii="Arial" w:hAnsi="Arial" w:cs="Arial"/>
          <w:color w:val="000000" w:themeColor="text1"/>
          <w:u w:val="single"/>
          <w:lang w:val="es-ES"/>
        </w:rPr>
        <w:t>.</w:t>
      </w:r>
      <w:r w:rsidR="002303A2">
        <w:rPr>
          <w:rFonts w:ascii="Arial" w:hAnsi="Arial" w:cs="Arial"/>
          <w:color w:val="000000" w:themeColor="text1"/>
          <w:u w:val="single"/>
          <w:lang w:val="es-ES"/>
        </w:rPr>
        <w:t>1</w:t>
      </w:r>
      <w:r>
        <w:rPr>
          <w:rFonts w:ascii="Arial" w:hAnsi="Arial" w:cs="Arial"/>
          <w:color w:val="000000" w:themeColor="text1"/>
          <w:u w:val="single"/>
          <w:lang w:val="es-ES"/>
        </w:rPr>
        <w:t>- La ley 26.</w:t>
      </w:r>
      <w:r w:rsidR="00513F32">
        <w:rPr>
          <w:rFonts w:ascii="Arial" w:hAnsi="Arial" w:cs="Arial"/>
          <w:color w:val="000000" w:themeColor="text1"/>
          <w:u w:val="single"/>
          <w:lang w:val="es-ES"/>
        </w:rPr>
        <w:t>8</w:t>
      </w:r>
      <w:r>
        <w:rPr>
          <w:rFonts w:ascii="Arial" w:hAnsi="Arial" w:cs="Arial"/>
          <w:color w:val="000000" w:themeColor="text1"/>
          <w:u w:val="single"/>
          <w:lang w:val="es-ES"/>
        </w:rPr>
        <w:t>56</w:t>
      </w:r>
    </w:p>
    <w:p w14:paraId="68DE2C9D" w14:textId="05D8B4E0" w:rsidR="00CC6504" w:rsidRDefault="00C06FA4" w:rsidP="001C3B3D">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No</w:t>
      </w:r>
      <w:r w:rsidR="00CC6504" w:rsidRPr="00CC6504">
        <w:rPr>
          <w:rFonts w:ascii="Arial" w:hAnsi="Arial" w:cs="Arial"/>
          <w:color w:val="000000" w:themeColor="text1"/>
          <w:lang w:val="es-ES"/>
        </w:rPr>
        <w:t xml:space="preserve"> es casual que en 2013 el oficialismo</w:t>
      </w:r>
      <w:r w:rsidR="001C3B3D">
        <w:rPr>
          <w:rFonts w:ascii="Arial" w:hAnsi="Arial" w:cs="Arial"/>
          <w:color w:val="000000" w:themeColor="text1"/>
          <w:lang w:val="es-ES"/>
        </w:rPr>
        <w:t xml:space="preserve"> de aquel entonces, encabezado por la expresidente Cristina Fernández de </w:t>
      </w:r>
      <w:r w:rsidR="00C538C2" w:rsidRPr="00C538C2">
        <w:rPr>
          <w:rFonts w:ascii="Arial" w:hAnsi="Arial" w:cs="Arial"/>
          <w:color w:val="000000" w:themeColor="text1"/>
          <w:lang w:val="es-ES"/>
        </w:rPr>
        <w:t>Kirchner</w:t>
      </w:r>
      <w:r w:rsidR="001C3B3D">
        <w:rPr>
          <w:rFonts w:ascii="Arial" w:hAnsi="Arial" w:cs="Arial"/>
          <w:color w:val="000000" w:themeColor="text1"/>
          <w:lang w:val="es-ES"/>
        </w:rPr>
        <w:t>,</w:t>
      </w:r>
      <w:r w:rsidR="00CC6504" w:rsidRPr="00CC6504">
        <w:rPr>
          <w:rFonts w:ascii="Arial" w:hAnsi="Arial" w:cs="Arial"/>
          <w:color w:val="000000" w:themeColor="text1"/>
          <w:lang w:val="es-ES"/>
        </w:rPr>
        <w:t xml:space="preserve"> impulsara un conjunto de normas —conocido informalmente como “paquete de leyes”— entre ellas la ley 26.855, que modificaba el </w:t>
      </w:r>
      <w:r w:rsidR="00CC6504" w:rsidRPr="00CC6504">
        <w:rPr>
          <w:rFonts w:ascii="Arial" w:hAnsi="Arial" w:cs="Arial"/>
          <w:color w:val="000000" w:themeColor="text1"/>
          <w:lang w:val="es-ES"/>
        </w:rPr>
        <w:lastRenderedPageBreak/>
        <w:t>régimen del Consejo de la Magistratura y habilitaba la elección popular de sus consejeros (aspecto luego declarado inconstitucional por la CSJN en “Rizzo”, Fallos: 336:760), y la ley 26.861, sobre el “Ingreso democrático e igualitario de personal al Poder Judicial de la Nación y al Ministerio Público de la Nación”. Aun cuando pueda no compartirse, el eje de esa reforma fue la supuesta falta de legitimación del Poder Judicial y el intento de dotarlo de ella mediante dichas leyes. En ese mismo marco se sancionó la ley 26.856, que dispuso la publicación íntegra de acordadas y resoluciones de la CSJN y de los tribunales inferiores.</w:t>
      </w:r>
    </w:p>
    <w:p w14:paraId="7ED8882A" w14:textId="350D8E10" w:rsidR="007740DC" w:rsidRPr="007740DC" w:rsidRDefault="007740DC" w:rsidP="007740DC">
      <w:pPr>
        <w:spacing w:line="360" w:lineRule="auto"/>
        <w:ind w:firstLine="1134"/>
        <w:jc w:val="both"/>
        <w:rPr>
          <w:rFonts w:ascii="Arial" w:hAnsi="Arial" w:cs="Arial"/>
          <w:color w:val="000000" w:themeColor="text1"/>
          <w:lang w:val="es-ES"/>
        </w:rPr>
      </w:pPr>
      <w:r w:rsidRPr="007740DC">
        <w:rPr>
          <w:rFonts w:ascii="Arial" w:hAnsi="Arial" w:cs="Arial"/>
          <w:color w:val="000000" w:themeColor="text1"/>
          <w:lang w:val="es-ES"/>
        </w:rPr>
        <w:t xml:space="preserve">La ley impone obligaciones de </w:t>
      </w:r>
      <w:r>
        <w:rPr>
          <w:rFonts w:ascii="Arial" w:hAnsi="Arial" w:cs="Arial"/>
          <w:color w:val="000000" w:themeColor="text1"/>
          <w:lang w:val="es-ES"/>
        </w:rPr>
        <w:t>publicidad de la actividad</w:t>
      </w:r>
      <w:r w:rsidRPr="007740DC">
        <w:rPr>
          <w:rFonts w:ascii="Arial" w:hAnsi="Arial" w:cs="Arial"/>
          <w:color w:val="000000" w:themeColor="text1"/>
          <w:lang w:val="es-ES"/>
        </w:rPr>
        <w:t xml:space="preserve"> </w:t>
      </w:r>
      <w:r>
        <w:rPr>
          <w:rFonts w:ascii="Arial" w:hAnsi="Arial" w:cs="Arial"/>
          <w:color w:val="000000" w:themeColor="text1"/>
          <w:lang w:val="es-ES"/>
        </w:rPr>
        <w:t>del</w:t>
      </w:r>
      <w:r w:rsidRPr="007740DC">
        <w:rPr>
          <w:rFonts w:ascii="Arial" w:hAnsi="Arial" w:cs="Arial"/>
          <w:color w:val="000000" w:themeColor="text1"/>
          <w:lang w:val="es-ES"/>
        </w:rPr>
        <w:t xml:space="preserve"> Poder Judicial de la Nación</w:t>
      </w:r>
      <w:r>
        <w:rPr>
          <w:rFonts w:ascii="Arial" w:hAnsi="Arial" w:cs="Arial"/>
          <w:color w:val="000000" w:themeColor="text1"/>
          <w:lang w:val="es-ES"/>
        </w:rPr>
        <w:t>. Así establece:</w:t>
      </w:r>
    </w:p>
    <w:p w14:paraId="53ECAE5D" w14:textId="090DCE22" w:rsidR="007740DC" w:rsidRPr="007740DC" w:rsidRDefault="007740DC" w:rsidP="001C3B3D">
      <w:pPr>
        <w:numPr>
          <w:ilvl w:val="0"/>
          <w:numId w:val="17"/>
        </w:numPr>
        <w:spacing w:line="360" w:lineRule="auto"/>
        <w:ind w:left="0" w:firstLine="1134"/>
        <w:jc w:val="both"/>
        <w:rPr>
          <w:rFonts w:ascii="Arial" w:hAnsi="Arial" w:cs="Arial"/>
          <w:color w:val="000000" w:themeColor="text1"/>
          <w:lang w:val="es-ES"/>
        </w:rPr>
      </w:pPr>
      <w:r w:rsidRPr="007740DC">
        <w:rPr>
          <w:rFonts w:ascii="Arial" w:hAnsi="Arial" w:cs="Arial"/>
          <w:color w:val="000000" w:themeColor="text1"/>
          <w:lang w:val="es-ES"/>
        </w:rPr>
        <w:t xml:space="preserve">Art. 1. La CSJN y </w:t>
      </w:r>
      <w:r>
        <w:rPr>
          <w:rFonts w:ascii="Arial" w:hAnsi="Arial" w:cs="Arial"/>
          <w:color w:val="000000" w:themeColor="text1"/>
          <w:lang w:val="es-ES"/>
        </w:rPr>
        <w:t>los Tribunales inferiores</w:t>
      </w:r>
      <w:r w:rsidRPr="007740DC">
        <w:rPr>
          <w:rFonts w:ascii="Arial" w:hAnsi="Arial" w:cs="Arial"/>
          <w:color w:val="000000" w:themeColor="text1"/>
          <w:lang w:val="es-ES"/>
        </w:rPr>
        <w:t xml:space="preserve"> deben publicar íntegramente sus acordadas y resoluciones el mismo día de su dictado; las sentencias se publican una vez notificadas a todas las partes.</w:t>
      </w:r>
    </w:p>
    <w:p w14:paraId="39EA1069" w14:textId="77777777" w:rsidR="007740DC" w:rsidRPr="007740DC" w:rsidRDefault="007740DC" w:rsidP="001C3B3D">
      <w:pPr>
        <w:numPr>
          <w:ilvl w:val="0"/>
          <w:numId w:val="17"/>
        </w:numPr>
        <w:spacing w:line="360" w:lineRule="auto"/>
        <w:ind w:left="0" w:firstLine="1134"/>
        <w:jc w:val="both"/>
        <w:rPr>
          <w:rFonts w:ascii="Arial" w:hAnsi="Arial" w:cs="Arial"/>
          <w:color w:val="000000" w:themeColor="text1"/>
          <w:lang w:val="es-ES"/>
        </w:rPr>
      </w:pPr>
      <w:r w:rsidRPr="007740DC">
        <w:rPr>
          <w:rFonts w:ascii="Arial" w:hAnsi="Arial" w:cs="Arial"/>
          <w:color w:val="000000" w:themeColor="text1"/>
          <w:lang w:val="es-ES"/>
        </w:rPr>
        <w:t>Art. 2. La CSJN y los tribunales inferiores deben mantener una lista diaria y actualizada de todas las causas en trámite, indicando: número de expediente, carátula y objeto, fuero de origen, fecha de inicio, estado procesal y fecha de ingreso al tribunal.</w:t>
      </w:r>
    </w:p>
    <w:p w14:paraId="638451D3" w14:textId="30B7C186" w:rsidR="007740DC" w:rsidRPr="007740DC" w:rsidRDefault="007740DC" w:rsidP="001C3B3D">
      <w:pPr>
        <w:numPr>
          <w:ilvl w:val="0"/>
          <w:numId w:val="17"/>
        </w:numPr>
        <w:spacing w:line="360" w:lineRule="auto"/>
        <w:ind w:left="0" w:firstLine="1134"/>
        <w:jc w:val="both"/>
        <w:rPr>
          <w:rFonts w:ascii="Arial" w:hAnsi="Arial" w:cs="Arial"/>
          <w:color w:val="000000" w:themeColor="text1"/>
          <w:lang w:val="es-ES"/>
        </w:rPr>
      </w:pPr>
      <w:r w:rsidRPr="007740DC">
        <w:rPr>
          <w:rFonts w:ascii="Arial" w:hAnsi="Arial" w:cs="Arial"/>
          <w:color w:val="000000" w:themeColor="text1"/>
          <w:lang w:val="es-ES"/>
        </w:rPr>
        <w:t>Art. 3. La publicación se realiza mediante un “diario judicial” digital, de acceso público y gratuito en el sitio de la CSJN</w:t>
      </w:r>
      <w:r>
        <w:rPr>
          <w:rFonts w:ascii="Arial" w:hAnsi="Arial" w:cs="Arial"/>
          <w:color w:val="000000" w:themeColor="text1"/>
          <w:lang w:val="es-ES"/>
        </w:rPr>
        <w:t>. También establece las excepciones:</w:t>
      </w:r>
      <w:r w:rsidRPr="007740DC">
        <w:rPr>
          <w:rFonts w:ascii="Arial" w:hAnsi="Arial" w:cs="Arial"/>
          <w:color w:val="000000" w:themeColor="text1"/>
          <w:lang w:val="es-ES"/>
        </w:rPr>
        <w:t xml:space="preserve"> </w:t>
      </w:r>
      <w:r>
        <w:rPr>
          <w:rFonts w:ascii="Arial" w:hAnsi="Arial" w:cs="Arial"/>
          <w:color w:val="000000" w:themeColor="text1"/>
          <w:lang w:val="es-ES"/>
        </w:rPr>
        <w:t>resguardo de</w:t>
      </w:r>
      <w:r w:rsidRPr="007740DC">
        <w:rPr>
          <w:rFonts w:ascii="Arial" w:hAnsi="Arial" w:cs="Arial"/>
          <w:color w:val="000000" w:themeColor="text1"/>
          <w:lang w:val="es-ES"/>
        </w:rPr>
        <w:t xml:space="preserve"> la intimidad, dignidad y honor de las personas, con especial tutela de trabajadores, niños, niñas y adolescentes</w:t>
      </w:r>
      <w:r>
        <w:rPr>
          <w:rFonts w:ascii="Arial" w:hAnsi="Arial" w:cs="Arial"/>
          <w:color w:val="000000" w:themeColor="text1"/>
          <w:lang w:val="es-ES"/>
        </w:rPr>
        <w:t>.</w:t>
      </w:r>
    </w:p>
    <w:p w14:paraId="66440901" w14:textId="77777777" w:rsidR="007740DC" w:rsidRPr="007740DC" w:rsidRDefault="007740DC" w:rsidP="001C3B3D">
      <w:pPr>
        <w:numPr>
          <w:ilvl w:val="0"/>
          <w:numId w:val="17"/>
        </w:numPr>
        <w:spacing w:line="360" w:lineRule="auto"/>
        <w:ind w:left="0" w:firstLine="1134"/>
        <w:jc w:val="both"/>
        <w:rPr>
          <w:rFonts w:ascii="Arial" w:hAnsi="Arial" w:cs="Arial"/>
          <w:color w:val="000000" w:themeColor="text1"/>
          <w:lang w:val="es-ES"/>
        </w:rPr>
      </w:pPr>
      <w:r w:rsidRPr="007740DC">
        <w:rPr>
          <w:rFonts w:ascii="Arial" w:hAnsi="Arial" w:cs="Arial"/>
          <w:color w:val="000000" w:themeColor="text1"/>
          <w:lang w:val="es-ES"/>
        </w:rPr>
        <w:t>Art. 5. Los costos se cubren con el presupuesto del Poder Judicial de la Nación.</w:t>
      </w:r>
    </w:p>
    <w:p w14:paraId="4C147567" w14:textId="7CE1CC69" w:rsidR="007740DC" w:rsidRPr="000551C9" w:rsidRDefault="007740DC" w:rsidP="001C3B3D">
      <w:pPr>
        <w:numPr>
          <w:ilvl w:val="0"/>
          <w:numId w:val="17"/>
        </w:numPr>
        <w:spacing w:line="360" w:lineRule="auto"/>
        <w:ind w:left="0" w:firstLine="1134"/>
        <w:jc w:val="both"/>
        <w:rPr>
          <w:rFonts w:ascii="Arial" w:hAnsi="Arial" w:cs="Arial"/>
          <w:color w:val="000000" w:themeColor="text1"/>
          <w:lang w:val="es-ES"/>
        </w:rPr>
      </w:pPr>
      <w:r w:rsidRPr="007740DC">
        <w:rPr>
          <w:rFonts w:ascii="Arial" w:hAnsi="Arial" w:cs="Arial"/>
          <w:color w:val="000000" w:themeColor="text1"/>
          <w:lang w:val="es-ES"/>
        </w:rPr>
        <w:t>Art. 7. Se invita a las Provincias y a la Ciudad Autónoma de Buenos Aires a dictar normas equivalentes en sus jurisdicciones.</w:t>
      </w:r>
    </w:p>
    <w:p w14:paraId="31B26AF1" w14:textId="4F976EEA" w:rsidR="007740DC" w:rsidRDefault="007740DC" w:rsidP="007740DC">
      <w:pPr>
        <w:spacing w:line="360" w:lineRule="auto"/>
        <w:ind w:firstLine="1134"/>
        <w:jc w:val="both"/>
        <w:rPr>
          <w:rFonts w:ascii="Arial" w:hAnsi="Arial" w:cs="Arial"/>
          <w:color w:val="000000" w:themeColor="text1"/>
        </w:rPr>
      </w:pPr>
      <w:r>
        <w:rPr>
          <w:rFonts w:ascii="Arial" w:hAnsi="Arial" w:cs="Arial"/>
          <w:color w:val="000000" w:themeColor="text1"/>
          <w:lang w:val="es-ES"/>
        </w:rPr>
        <w:t>Es en virtud de ello que la CSJN dicta la ac</w:t>
      </w:r>
      <w:r w:rsidR="000551C9">
        <w:rPr>
          <w:rFonts w:ascii="Arial" w:hAnsi="Arial" w:cs="Arial"/>
          <w:color w:val="000000" w:themeColor="text1"/>
          <w:lang w:val="es-ES"/>
        </w:rPr>
        <w:t>ordada nro. 15/2013, por la cual se resuelve la publicación de las sentencias de los tribunales inferiores en el portal del Centro de Información Judicial “CIJ”, aprobando luego, por acordada 24/2013 un “</w:t>
      </w:r>
      <w:r w:rsidR="000551C9" w:rsidRPr="000551C9">
        <w:rPr>
          <w:rFonts w:ascii="Arial" w:hAnsi="Arial" w:cs="Arial"/>
          <w:color w:val="000000" w:themeColor="text1"/>
        </w:rPr>
        <w:t>"Protocolo de registro de acordadas resoluciones administrativas"</w:t>
      </w:r>
      <w:r w:rsidR="000551C9">
        <w:rPr>
          <w:rFonts w:ascii="Arial" w:hAnsi="Arial" w:cs="Arial"/>
          <w:color w:val="000000" w:themeColor="text1"/>
        </w:rPr>
        <w:t>. Así es que a través del sitio web del centro de información judicial (</w:t>
      </w:r>
      <w:hyperlink r:id="rId9" w:history="1">
        <w:r w:rsidR="000551C9" w:rsidRPr="00E20774">
          <w:rPr>
            <w:rStyle w:val="Hipervnculo"/>
            <w:rFonts w:ascii="Arial" w:hAnsi="Arial" w:cs="Arial"/>
          </w:rPr>
          <w:t>https://www.cij.gov.ar/sentencias</w:t>
        </w:r>
      </w:hyperlink>
      <w:r w:rsidR="000551C9">
        <w:rPr>
          <w:rFonts w:ascii="Arial" w:hAnsi="Arial" w:cs="Arial"/>
          <w:color w:val="000000" w:themeColor="text1"/>
        </w:rPr>
        <w:t xml:space="preserve">, </w:t>
      </w:r>
      <w:r w:rsidR="000551C9">
        <w:rPr>
          <w:rFonts w:ascii="Arial" w:hAnsi="Arial" w:cs="Arial"/>
          <w:color w:val="000000" w:themeColor="text1"/>
          <w:lang w:val="es-ES"/>
        </w:rPr>
        <w:t>hoy, sitio deshabilitado)</w:t>
      </w:r>
      <w:r w:rsidR="000551C9">
        <w:rPr>
          <w:rFonts w:ascii="Arial" w:hAnsi="Arial" w:cs="Arial"/>
          <w:color w:val="000000" w:themeColor="text1"/>
        </w:rPr>
        <w:t xml:space="preserve"> se podía ingresar a consultar las sentencias, a través del sistema LEX100 (</w:t>
      </w:r>
      <w:hyperlink r:id="rId10" w:history="1">
        <w:r w:rsidR="000551C9" w:rsidRPr="00E20774">
          <w:rPr>
            <w:rStyle w:val="Hipervnculo"/>
            <w:rFonts w:ascii="Arial" w:hAnsi="Arial" w:cs="Arial"/>
          </w:rPr>
          <w:t>https://scw.pjn.gov.ar/scw/home.seam</w:t>
        </w:r>
      </w:hyperlink>
      <w:r w:rsidR="000551C9">
        <w:rPr>
          <w:rFonts w:ascii="Arial" w:hAnsi="Arial" w:cs="Arial"/>
          <w:color w:val="000000" w:themeColor="text1"/>
        </w:rPr>
        <w:t xml:space="preserve"> ) las causas en trámite, y por medio de la página de la CSJN se permite consultar las sentencias, acordadas y resoluciones de la Corte.</w:t>
      </w:r>
    </w:p>
    <w:p w14:paraId="2056440A" w14:textId="049CC158" w:rsidR="000551C9" w:rsidRDefault="000551C9" w:rsidP="007C5B04">
      <w:pPr>
        <w:spacing w:line="360" w:lineRule="auto"/>
        <w:ind w:firstLine="1134"/>
        <w:jc w:val="both"/>
        <w:rPr>
          <w:rFonts w:ascii="Arial" w:hAnsi="Arial" w:cs="Arial"/>
          <w:color w:val="000000" w:themeColor="text1"/>
        </w:rPr>
      </w:pPr>
      <w:r>
        <w:rPr>
          <w:rFonts w:ascii="Arial" w:hAnsi="Arial" w:cs="Arial"/>
          <w:color w:val="000000" w:themeColor="text1"/>
        </w:rPr>
        <w:t xml:space="preserve">Advierta el </w:t>
      </w:r>
      <w:r w:rsidR="0040172B">
        <w:rPr>
          <w:rFonts w:ascii="Arial" w:hAnsi="Arial" w:cs="Arial"/>
          <w:color w:val="000000" w:themeColor="text1"/>
        </w:rPr>
        <w:t>lector</w:t>
      </w:r>
      <w:r>
        <w:rPr>
          <w:rFonts w:ascii="Arial" w:hAnsi="Arial" w:cs="Arial"/>
          <w:color w:val="000000" w:themeColor="text1"/>
        </w:rPr>
        <w:t xml:space="preserve"> que cuando nos referimos al centro de información judicial se lo hace en pasado</w:t>
      </w:r>
      <w:r w:rsidR="0040172B">
        <w:rPr>
          <w:rFonts w:ascii="Arial" w:hAnsi="Arial" w:cs="Arial"/>
          <w:color w:val="000000" w:themeColor="text1"/>
        </w:rPr>
        <w:t>, lo cual no constituye una casualidad.</w:t>
      </w:r>
      <w:r w:rsidR="00ED2AC9">
        <w:rPr>
          <w:rFonts w:ascii="Arial" w:hAnsi="Arial" w:cs="Arial"/>
          <w:color w:val="000000" w:themeColor="text1"/>
        </w:rPr>
        <w:t xml:space="preserve"> Es que por resolución nro. </w:t>
      </w:r>
      <w:r w:rsidR="00ED2AC9" w:rsidRPr="00ED2AC9">
        <w:rPr>
          <w:rFonts w:ascii="Arial" w:hAnsi="Arial" w:cs="Arial"/>
          <w:color w:val="000000" w:themeColor="text1"/>
        </w:rPr>
        <w:lastRenderedPageBreak/>
        <w:t>2512/2024</w:t>
      </w:r>
      <w:r w:rsidR="007C5B04">
        <w:rPr>
          <w:rStyle w:val="Refdenotaalpie"/>
          <w:rFonts w:ascii="Arial" w:hAnsi="Arial"/>
          <w:color w:val="000000" w:themeColor="text1"/>
        </w:rPr>
        <w:footnoteReference w:id="35"/>
      </w:r>
      <w:r w:rsidR="00ED2AC9">
        <w:rPr>
          <w:rFonts w:ascii="Arial" w:hAnsi="Arial" w:cs="Arial"/>
          <w:color w:val="000000" w:themeColor="text1"/>
        </w:rPr>
        <w:t xml:space="preserve"> la CSJN resolvió</w:t>
      </w:r>
      <w:r w:rsidR="007C5B04">
        <w:rPr>
          <w:rFonts w:ascii="Arial" w:hAnsi="Arial" w:cs="Arial"/>
          <w:color w:val="000000" w:themeColor="text1"/>
        </w:rPr>
        <w:t xml:space="preserve"> por mayoría (compuesta por Rosenkrantz, Maqueda y Rosati), </w:t>
      </w:r>
      <w:r w:rsidR="007C5B04" w:rsidRPr="007C5B04">
        <w:rPr>
          <w:rFonts w:ascii="Arial" w:hAnsi="Arial" w:cs="Arial"/>
          <w:i/>
          <w:iCs/>
          <w:color w:val="000000" w:themeColor="text1"/>
        </w:rPr>
        <w:t>“Crear un Portal de la Justicia Argentina, con el objetivo de generar, sistematizar y difundir información sobre la estructura, organización y funcionamiento de la justicia de nuestro país, articulando con las distintas jurisdicciones las acciones que resulten necesarias a tal fin”</w:t>
      </w:r>
      <w:r w:rsidR="007C5B04">
        <w:rPr>
          <w:rFonts w:ascii="Arial" w:hAnsi="Arial" w:cs="Arial"/>
          <w:color w:val="000000" w:themeColor="text1"/>
        </w:rPr>
        <w:t xml:space="preserve">. La disidencia fue de Lorenzetti. En virtud de ello fue disuelto el Centro de Información Judicial por acordada </w:t>
      </w:r>
      <w:r w:rsidR="007C5B04" w:rsidRPr="007C5B04">
        <w:rPr>
          <w:rFonts w:ascii="Arial" w:hAnsi="Arial" w:cs="Arial"/>
          <w:color w:val="000000" w:themeColor="text1"/>
        </w:rPr>
        <w:t>10/2025</w:t>
      </w:r>
      <w:r w:rsidR="007C5B04">
        <w:rPr>
          <w:rStyle w:val="Refdenotaalpie"/>
          <w:rFonts w:ascii="Arial" w:hAnsi="Arial"/>
          <w:color w:val="000000" w:themeColor="text1"/>
        </w:rPr>
        <w:footnoteReference w:id="36"/>
      </w:r>
      <w:r w:rsidR="007C5B04">
        <w:rPr>
          <w:rFonts w:ascii="Arial" w:hAnsi="Arial" w:cs="Arial"/>
          <w:color w:val="000000" w:themeColor="text1"/>
        </w:rPr>
        <w:t xml:space="preserve"> de fecha 29.05.2025.</w:t>
      </w:r>
    </w:p>
    <w:p w14:paraId="2AA61B9C" w14:textId="13F19569" w:rsidR="00080EE5" w:rsidRDefault="007137CD" w:rsidP="00C06FA4">
      <w:pPr>
        <w:spacing w:line="360" w:lineRule="auto"/>
        <w:ind w:firstLine="1134"/>
        <w:jc w:val="both"/>
        <w:rPr>
          <w:rFonts w:ascii="Arial" w:hAnsi="Arial" w:cs="Arial"/>
          <w:color w:val="000000" w:themeColor="text1"/>
          <w:lang w:val="es-ES"/>
        </w:rPr>
      </w:pPr>
      <w:r w:rsidRPr="007137CD">
        <w:rPr>
          <w:rFonts w:ascii="Arial" w:hAnsi="Arial" w:cs="Arial"/>
          <w:color w:val="000000" w:themeColor="text1"/>
          <w:lang w:val="es-ES"/>
        </w:rPr>
        <w:t>De este modo se puso en marcha un sistema</w:t>
      </w:r>
      <w:r w:rsidR="00C06FA4">
        <w:rPr>
          <w:rFonts w:ascii="Arial" w:hAnsi="Arial" w:cs="Arial"/>
          <w:color w:val="000000" w:themeColor="text1"/>
          <w:lang w:val="es-ES"/>
        </w:rPr>
        <w:t xml:space="preserve"> </w:t>
      </w:r>
      <w:r w:rsidR="00C06FA4">
        <w:rPr>
          <w:rFonts w:ascii="Arial" w:hAnsi="Arial" w:cs="Arial"/>
          <w:color w:val="000000" w:themeColor="text1"/>
        </w:rPr>
        <w:t>denominado “Justicia.ar” (</w:t>
      </w:r>
      <w:hyperlink r:id="rId11" w:history="1">
        <w:r w:rsidR="00C06FA4" w:rsidRPr="00E20774">
          <w:rPr>
            <w:rStyle w:val="Hipervnculo"/>
            <w:rFonts w:ascii="Arial" w:hAnsi="Arial" w:cs="Arial"/>
          </w:rPr>
          <w:t>https://www.justicia.ar/</w:t>
        </w:r>
      </w:hyperlink>
      <w:r w:rsidR="00C06FA4">
        <w:rPr>
          <w:rFonts w:ascii="Arial" w:hAnsi="Arial" w:cs="Arial"/>
          <w:color w:val="000000" w:themeColor="text1"/>
        </w:rPr>
        <w:t xml:space="preserve">) </w:t>
      </w:r>
      <w:r w:rsidR="00C06FA4">
        <w:rPr>
          <w:rFonts w:ascii="Arial" w:hAnsi="Arial" w:cs="Arial"/>
          <w:color w:val="000000" w:themeColor="text1"/>
          <w:lang w:val="es-ES"/>
        </w:rPr>
        <w:t xml:space="preserve">por el cual se puede acceder </w:t>
      </w:r>
      <w:r w:rsidRPr="007137CD">
        <w:rPr>
          <w:rFonts w:ascii="Arial" w:hAnsi="Arial" w:cs="Arial"/>
          <w:color w:val="000000" w:themeColor="text1"/>
          <w:lang w:val="es-ES"/>
        </w:rPr>
        <w:t>tanto a las</w:t>
      </w:r>
      <w:r w:rsidR="00AC302F">
        <w:rPr>
          <w:rFonts w:ascii="Arial" w:hAnsi="Arial" w:cs="Arial"/>
          <w:color w:val="000000" w:themeColor="text1"/>
          <w:lang w:val="es-ES"/>
        </w:rPr>
        <w:t xml:space="preserve"> causas</w:t>
      </w:r>
      <w:r w:rsidRPr="007137CD">
        <w:rPr>
          <w:rFonts w:ascii="Arial" w:hAnsi="Arial" w:cs="Arial"/>
          <w:color w:val="000000" w:themeColor="text1"/>
          <w:lang w:val="es-ES"/>
        </w:rPr>
        <w:t xml:space="preserve"> </w:t>
      </w:r>
      <w:r w:rsidR="00AB6F47">
        <w:rPr>
          <w:rFonts w:ascii="Arial" w:hAnsi="Arial" w:cs="Arial"/>
          <w:color w:val="000000" w:themeColor="text1"/>
          <w:lang w:val="es-ES"/>
        </w:rPr>
        <w:t xml:space="preserve">y </w:t>
      </w:r>
      <w:r w:rsidRPr="007137CD">
        <w:rPr>
          <w:rFonts w:ascii="Arial" w:hAnsi="Arial" w:cs="Arial"/>
          <w:color w:val="000000" w:themeColor="text1"/>
          <w:lang w:val="es-ES"/>
        </w:rPr>
        <w:t xml:space="preserve">sentencias de los tribunales </w:t>
      </w:r>
      <w:r w:rsidR="00AB6F47">
        <w:rPr>
          <w:rFonts w:ascii="Arial" w:hAnsi="Arial" w:cs="Arial"/>
          <w:color w:val="000000" w:themeColor="text1"/>
          <w:lang w:val="es-ES"/>
        </w:rPr>
        <w:t>N</w:t>
      </w:r>
      <w:r w:rsidRPr="007137CD">
        <w:rPr>
          <w:rFonts w:ascii="Arial" w:hAnsi="Arial" w:cs="Arial"/>
          <w:color w:val="000000" w:themeColor="text1"/>
          <w:lang w:val="es-ES"/>
        </w:rPr>
        <w:t>acionales</w:t>
      </w:r>
      <w:r w:rsidR="00AB6F47">
        <w:rPr>
          <w:rFonts w:ascii="Arial" w:hAnsi="Arial" w:cs="Arial"/>
          <w:color w:val="000000" w:themeColor="text1"/>
          <w:lang w:val="es-ES"/>
        </w:rPr>
        <w:t xml:space="preserve"> y Federales</w:t>
      </w:r>
      <w:r w:rsidRPr="007137CD">
        <w:rPr>
          <w:rFonts w:ascii="Arial" w:hAnsi="Arial" w:cs="Arial"/>
          <w:color w:val="000000" w:themeColor="text1"/>
          <w:lang w:val="es-ES"/>
        </w:rPr>
        <w:t xml:space="preserve"> como, mediante la colaboración con los superiores tribunales provinciales y de la CABA, a las</w:t>
      </w:r>
      <w:r w:rsidR="00AC302F">
        <w:rPr>
          <w:rFonts w:ascii="Arial" w:hAnsi="Arial" w:cs="Arial"/>
          <w:color w:val="000000" w:themeColor="text1"/>
          <w:lang w:val="es-ES"/>
        </w:rPr>
        <w:t xml:space="preserve"> causas en trámite y</w:t>
      </w:r>
      <w:r w:rsidRPr="007137CD">
        <w:rPr>
          <w:rFonts w:ascii="Arial" w:hAnsi="Arial" w:cs="Arial"/>
          <w:color w:val="000000" w:themeColor="text1"/>
          <w:lang w:val="es-ES"/>
        </w:rPr>
        <w:t xml:space="preserve"> resoluciones que estos emitan.</w:t>
      </w:r>
    </w:p>
    <w:p w14:paraId="72C0AC5F" w14:textId="5964CAFB" w:rsidR="002303A2" w:rsidRDefault="002303A2" w:rsidP="002303A2">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5.3.g.2- La ley 26.</w:t>
      </w:r>
      <w:r w:rsidR="00513F32">
        <w:rPr>
          <w:rFonts w:ascii="Arial" w:hAnsi="Arial" w:cs="Arial"/>
          <w:color w:val="000000" w:themeColor="text1"/>
          <w:u w:val="single"/>
          <w:lang w:val="es-ES"/>
        </w:rPr>
        <w:t>8</w:t>
      </w:r>
      <w:r>
        <w:rPr>
          <w:rFonts w:ascii="Arial" w:hAnsi="Arial" w:cs="Arial"/>
          <w:color w:val="000000" w:themeColor="text1"/>
          <w:u w:val="single"/>
          <w:lang w:val="es-ES"/>
        </w:rPr>
        <w:t xml:space="preserve">56 </w:t>
      </w:r>
      <w:r w:rsidRPr="002303A2">
        <w:rPr>
          <w:rFonts w:ascii="Arial" w:hAnsi="Arial" w:cs="Arial"/>
          <w:color w:val="000000" w:themeColor="text1"/>
          <w:u w:val="single"/>
          <w:lang w:val="es-ES"/>
        </w:rPr>
        <w:t>conforme los parámetros para evaluar la publicidad procesal</w:t>
      </w:r>
    </w:p>
    <w:p w14:paraId="23ECD4F4" w14:textId="2A6616BF" w:rsidR="002303A2" w:rsidRDefault="003761FA" w:rsidP="003761FA">
      <w:pPr>
        <w:spacing w:line="360" w:lineRule="auto"/>
        <w:ind w:firstLine="1134"/>
        <w:jc w:val="both"/>
        <w:rPr>
          <w:rFonts w:ascii="Arial" w:hAnsi="Arial" w:cs="Arial"/>
          <w:color w:val="000000" w:themeColor="text1"/>
          <w:lang w:val="es-ES"/>
        </w:rPr>
      </w:pPr>
      <w:r w:rsidRPr="003761FA">
        <w:rPr>
          <w:rFonts w:ascii="Arial" w:hAnsi="Arial" w:cs="Arial"/>
          <w:color w:val="000000" w:themeColor="text1"/>
          <w:lang w:val="es-ES"/>
        </w:rPr>
        <w:t xml:space="preserve">El sistema establece la publicidad como </w:t>
      </w:r>
      <w:r>
        <w:rPr>
          <w:rFonts w:ascii="Arial" w:hAnsi="Arial" w:cs="Arial"/>
          <w:color w:val="000000" w:themeColor="text1"/>
          <w:lang w:val="es-ES"/>
        </w:rPr>
        <w:t>regla</w:t>
      </w:r>
      <w:r w:rsidRPr="003761FA">
        <w:rPr>
          <w:rFonts w:ascii="Arial" w:hAnsi="Arial" w:cs="Arial"/>
          <w:color w:val="000000" w:themeColor="text1"/>
          <w:lang w:val="es-ES"/>
        </w:rPr>
        <w:t>, imponiendo la publicación íntegra de acordadas, resoluciones y sentencias (arts. 1-3) lo que se corresponde directamente con la presunción de publicidad (i) y la máxima divulgación (ii): todas las decisiones judiciales deben ser públicas con limitadas excepciones.</w:t>
      </w:r>
      <w:r>
        <w:rPr>
          <w:rFonts w:ascii="Arial" w:hAnsi="Arial" w:cs="Arial"/>
          <w:color w:val="000000" w:themeColor="text1"/>
          <w:lang w:val="es-ES"/>
        </w:rPr>
        <w:t xml:space="preserve"> En este sentido obliga a publicar todas las resoluciones y a mantener un listado diario de causa en trámite (número, carátula, estado procesal, etc.), lo que va más allá de un acceso eventual. Garantiza un acceso estructurado y permanente, lo que cumple con la máxima divulgación (ii) y máximo acceso (iv), con excepciones limitadas, taxativas y razonables (xi). El art. 3 crea un “diario judicial digital” , lo que se ajusta plenamente a la apertura (vi) y gratuidad (ix), y al ser público, y no requerir un interés calificado para acceder satisface la amplia legitimación (vii). </w:t>
      </w:r>
      <w:r w:rsidRPr="003761FA">
        <w:rPr>
          <w:rFonts w:ascii="Arial" w:hAnsi="Arial" w:cs="Arial"/>
          <w:color w:val="000000" w:themeColor="text1"/>
        </w:rPr>
        <w:t>Aunque la ley no regula un recurso específico</w:t>
      </w:r>
      <w:r>
        <w:rPr>
          <w:rFonts w:ascii="Arial" w:hAnsi="Arial" w:cs="Arial"/>
          <w:color w:val="000000" w:themeColor="text1"/>
        </w:rPr>
        <w:t xml:space="preserve"> (x), entendemos la exigencia de publicar </w:t>
      </w:r>
      <w:r w:rsidRPr="003761FA">
        <w:rPr>
          <w:rFonts w:ascii="Arial" w:hAnsi="Arial" w:cs="Arial"/>
          <w:color w:val="000000" w:themeColor="text1"/>
        </w:rPr>
        <w:t>“el mismo día” y mantener listas actualizadas impone un estándar verificable que habilita control</w:t>
      </w:r>
      <w:r>
        <w:rPr>
          <w:rFonts w:ascii="Arial" w:hAnsi="Arial" w:cs="Arial"/>
          <w:color w:val="000000" w:themeColor="text1"/>
        </w:rPr>
        <w:t xml:space="preserve"> judicial posterior por vía judicial (por ej. amparo).</w:t>
      </w:r>
    </w:p>
    <w:p w14:paraId="05B096A2" w14:textId="77777777" w:rsidR="002303A2" w:rsidRPr="006F4C47" w:rsidRDefault="002303A2" w:rsidP="00C06FA4">
      <w:pPr>
        <w:spacing w:line="360" w:lineRule="auto"/>
        <w:ind w:firstLine="1134"/>
        <w:jc w:val="both"/>
        <w:rPr>
          <w:rFonts w:ascii="Arial" w:hAnsi="Arial" w:cs="Arial"/>
          <w:color w:val="000000" w:themeColor="text1"/>
          <w:lang w:val="es-ES"/>
        </w:rPr>
      </w:pPr>
    </w:p>
    <w:p w14:paraId="77053A2F" w14:textId="77777777" w:rsidR="00EB0471" w:rsidRDefault="00C538C2" w:rsidP="00080EE5">
      <w:pPr>
        <w:spacing w:line="360" w:lineRule="auto"/>
        <w:ind w:firstLine="1134"/>
        <w:jc w:val="both"/>
        <w:rPr>
          <w:rFonts w:ascii="Arial" w:hAnsi="Arial"/>
          <w:color w:val="000000" w:themeColor="text1"/>
          <w:lang w:val="es-ES"/>
        </w:rPr>
      </w:pPr>
      <w:r>
        <w:rPr>
          <w:rFonts w:ascii="Arial" w:hAnsi="Arial" w:cs="Arial"/>
          <w:color w:val="000000" w:themeColor="text1"/>
          <w:u w:val="single"/>
          <w:lang w:val="es-ES"/>
        </w:rPr>
        <w:t>5.3.</w:t>
      </w:r>
      <w:r w:rsidR="00F07F27">
        <w:rPr>
          <w:rFonts w:ascii="Arial" w:hAnsi="Arial" w:cs="Arial"/>
          <w:color w:val="000000" w:themeColor="text1"/>
          <w:u w:val="single"/>
          <w:lang w:val="es-ES"/>
        </w:rPr>
        <w:t>h</w:t>
      </w:r>
      <w:r>
        <w:rPr>
          <w:rFonts w:ascii="Arial" w:hAnsi="Arial" w:cs="Arial"/>
          <w:color w:val="000000" w:themeColor="text1"/>
          <w:u w:val="single"/>
          <w:lang w:val="es-ES"/>
        </w:rPr>
        <w:t>.- El caso “milagro sala”</w:t>
      </w:r>
      <w:r w:rsidR="00017407" w:rsidRPr="00017407">
        <w:rPr>
          <w:rStyle w:val="Refdenotaalpie"/>
          <w:rFonts w:ascii="Arial" w:hAnsi="Arial"/>
          <w:color w:val="000000" w:themeColor="text1"/>
          <w:lang w:val="es-ES"/>
        </w:rPr>
        <w:t xml:space="preserve"> </w:t>
      </w:r>
      <w:r w:rsidR="00017407">
        <w:rPr>
          <w:rStyle w:val="Refdenotaalpie"/>
          <w:rFonts w:ascii="Arial" w:hAnsi="Arial"/>
          <w:color w:val="000000" w:themeColor="text1"/>
          <w:lang w:val="es-ES"/>
        </w:rPr>
        <w:footnoteReference w:id="37"/>
      </w:r>
    </w:p>
    <w:p w14:paraId="6CBC3342" w14:textId="2494AEDE" w:rsidR="00080EE5" w:rsidRDefault="00017407" w:rsidP="00080EE5">
      <w:pPr>
        <w:spacing w:line="360" w:lineRule="auto"/>
        <w:ind w:firstLine="1134"/>
        <w:jc w:val="both"/>
        <w:rPr>
          <w:rFonts w:ascii="Arial" w:hAnsi="Arial" w:cs="Arial"/>
          <w:color w:val="000000" w:themeColor="text1"/>
          <w:lang w:val="es-ES"/>
        </w:rPr>
      </w:pPr>
      <w:r w:rsidRPr="00017407">
        <w:rPr>
          <w:rFonts w:ascii="Arial" w:hAnsi="Arial" w:cs="Arial"/>
          <w:color w:val="000000" w:themeColor="text1"/>
          <w:lang w:val="es-ES"/>
        </w:rPr>
        <w:lastRenderedPageBreak/>
        <w:t xml:space="preserve">Un caso emblemático en materia de publicidad de audiencias es el de la dirigente </w:t>
      </w:r>
      <w:r w:rsidR="00F07F27">
        <w:rPr>
          <w:rFonts w:ascii="Arial" w:hAnsi="Arial" w:cs="Arial"/>
          <w:color w:val="000000" w:themeColor="text1"/>
          <w:lang w:val="es-ES"/>
        </w:rPr>
        <w:t>J</w:t>
      </w:r>
      <w:r w:rsidRPr="00017407">
        <w:rPr>
          <w:rFonts w:ascii="Arial" w:hAnsi="Arial" w:cs="Arial"/>
          <w:color w:val="000000" w:themeColor="text1"/>
          <w:lang w:val="es-ES"/>
        </w:rPr>
        <w:t>ujeña Milagro Sala, condenada como autora del delito de asociación ilícita, con sentencia confirmada por el Superior Tribunal de Justicia de la Provincia de Jujuy</w:t>
      </w:r>
      <w:r>
        <w:rPr>
          <w:rFonts w:ascii="Arial" w:hAnsi="Arial" w:cs="Arial"/>
          <w:color w:val="000000" w:themeColor="text1"/>
          <w:lang w:val="es-ES"/>
        </w:rPr>
        <w:t xml:space="preserve">. </w:t>
      </w:r>
    </w:p>
    <w:p w14:paraId="50543B9E" w14:textId="1212924F" w:rsidR="00017407" w:rsidRDefault="00017407" w:rsidP="00080EE5">
      <w:pPr>
        <w:spacing w:line="360" w:lineRule="auto"/>
        <w:ind w:firstLine="1134"/>
        <w:jc w:val="both"/>
        <w:rPr>
          <w:rFonts w:ascii="Arial" w:hAnsi="Arial" w:cs="Arial"/>
          <w:color w:val="000000" w:themeColor="text1"/>
        </w:rPr>
      </w:pPr>
      <w:r w:rsidRPr="00017407">
        <w:rPr>
          <w:rFonts w:ascii="Arial" w:hAnsi="Arial" w:cs="Arial"/>
          <w:color w:val="000000" w:themeColor="text1"/>
          <w:lang w:val="es-ES"/>
        </w:rPr>
        <w:t>La defensa de Sala deduce recurso de queja contra la resolución que denegó el recurso extraordinario federal. El agravio central radica en el rechazo del planteo de nulidad por violación del principio de publicidad del juicio, máxime considerando que la imputada fue expulsada del debate a modo de sanción</w:t>
      </w:r>
      <w:r>
        <w:rPr>
          <w:rFonts w:ascii="Arial" w:hAnsi="Arial" w:cs="Arial"/>
          <w:color w:val="000000" w:themeColor="text1"/>
          <w:lang w:val="es-ES"/>
        </w:rPr>
        <w:t>.</w:t>
      </w:r>
      <w:r w:rsidR="00BB00A5">
        <w:rPr>
          <w:rFonts w:ascii="Arial" w:hAnsi="Arial" w:cs="Arial"/>
          <w:color w:val="000000" w:themeColor="text1"/>
          <w:lang w:val="es-ES"/>
        </w:rPr>
        <w:t xml:space="preserve"> El Tribunal Cimero declaro inadmisible y bien denegado por cuanto </w:t>
      </w:r>
      <w:r w:rsidR="00BB00A5">
        <w:rPr>
          <w:rFonts w:ascii="Arial" w:hAnsi="Arial" w:cs="Arial"/>
          <w:color w:val="000000" w:themeColor="text1"/>
        </w:rPr>
        <w:t>no existe</w:t>
      </w:r>
      <w:r w:rsidR="00BB00A5" w:rsidRPr="00BB00A5">
        <w:rPr>
          <w:rFonts w:ascii="Arial" w:hAnsi="Arial" w:cs="Arial"/>
          <w:color w:val="000000" w:themeColor="text1"/>
        </w:rPr>
        <w:t xml:space="preserve"> lesión a un derecho de raigambre federal o graves defectos de fundamentación o razonamiento</w:t>
      </w:r>
      <w:r w:rsidR="00BB00A5">
        <w:rPr>
          <w:rFonts w:ascii="Arial" w:hAnsi="Arial" w:cs="Arial"/>
          <w:color w:val="000000" w:themeColor="text1"/>
        </w:rPr>
        <w:t xml:space="preserve"> de la sentencia por la cual la misma</w:t>
      </w:r>
      <w:r w:rsidR="00BB00A5" w:rsidRPr="00BB00A5">
        <w:rPr>
          <w:rFonts w:ascii="Arial" w:hAnsi="Arial" w:cs="Arial"/>
          <w:color w:val="000000" w:themeColor="text1"/>
        </w:rPr>
        <w:t xml:space="preserve"> no constituya una derivación razonada del derecho vigente, aplicado a las circunstancias de la causa</w:t>
      </w:r>
      <w:r w:rsidR="00BB00A5">
        <w:rPr>
          <w:rFonts w:ascii="Arial" w:hAnsi="Arial" w:cs="Arial"/>
          <w:color w:val="000000" w:themeColor="text1"/>
        </w:rPr>
        <w:t>.</w:t>
      </w:r>
    </w:p>
    <w:p w14:paraId="6EC69243" w14:textId="6FB8EC4C" w:rsidR="00BB00A5" w:rsidRDefault="00A915A3" w:rsidP="00A2151F">
      <w:pPr>
        <w:spacing w:line="360" w:lineRule="auto"/>
        <w:ind w:firstLine="1134"/>
        <w:jc w:val="both"/>
        <w:rPr>
          <w:rFonts w:ascii="Arial" w:hAnsi="Arial" w:cs="Arial"/>
          <w:color w:val="000000" w:themeColor="text1"/>
        </w:rPr>
      </w:pPr>
      <w:r>
        <w:rPr>
          <w:rFonts w:ascii="Arial" w:hAnsi="Arial" w:cs="Arial"/>
          <w:color w:val="000000" w:themeColor="text1"/>
        </w:rPr>
        <w:t>Para así hacerlo, analizo las disposiciones previstas en la normativa procesal de dicha provincia que faculta expresamente a restringir la publicidad, a ordenar el alejamiento de toda persona cuya presencia no sea necesaria y limitarla a un cierto número de personas. Tuvo en cuenta que la ley prohíbe que los testigos antes de su declaración sean informados de lo que ocurre en la audiencia porque puede repercutir en su testimonio, afectando su espontaneidad</w:t>
      </w:r>
      <w:r w:rsidR="00A2151F">
        <w:rPr>
          <w:rFonts w:ascii="Arial" w:hAnsi="Arial" w:cs="Arial"/>
          <w:color w:val="000000" w:themeColor="text1"/>
        </w:rPr>
        <w:t xml:space="preserve"> “</w:t>
      </w:r>
      <w:r w:rsidR="00BB00A5" w:rsidRPr="00A915A3">
        <w:rPr>
          <w:rFonts w:ascii="Arial" w:hAnsi="Arial" w:cs="Arial"/>
          <w:i/>
          <w:iCs/>
          <w:color w:val="000000" w:themeColor="text1"/>
        </w:rPr>
        <w:t>modificando o adecuando su testimonio de acuerdo al relato efectuado por los anteriores</w:t>
      </w:r>
      <w:r w:rsidR="00A2151F">
        <w:rPr>
          <w:rFonts w:ascii="Arial" w:hAnsi="Arial" w:cs="Arial"/>
          <w:i/>
          <w:iCs/>
          <w:color w:val="000000" w:themeColor="text1"/>
        </w:rPr>
        <w:t>”</w:t>
      </w:r>
      <w:r w:rsidR="00A2151F">
        <w:rPr>
          <w:rFonts w:ascii="Arial" w:hAnsi="Arial" w:cs="Arial"/>
          <w:color w:val="000000" w:themeColor="text1"/>
        </w:rPr>
        <w:t>.</w:t>
      </w:r>
    </w:p>
    <w:p w14:paraId="34A797C8" w14:textId="037D0F19" w:rsidR="00A2151F" w:rsidRPr="00A2151F" w:rsidRDefault="00A2151F" w:rsidP="00A2151F">
      <w:pPr>
        <w:spacing w:line="360" w:lineRule="auto"/>
        <w:ind w:firstLine="1134"/>
        <w:jc w:val="both"/>
        <w:rPr>
          <w:rFonts w:ascii="Arial" w:hAnsi="Arial" w:cs="Arial"/>
          <w:color w:val="000000" w:themeColor="text1"/>
        </w:rPr>
      </w:pPr>
      <w:r>
        <w:rPr>
          <w:rFonts w:ascii="Arial" w:hAnsi="Arial" w:cs="Arial"/>
          <w:color w:val="000000" w:themeColor="text1"/>
        </w:rPr>
        <w:t>Con cita al a</w:t>
      </w:r>
      <w:r w:rsidR="00513F32">
        <w:rPr>
          <w:rFonts w:ascii="Arial" w:hAnsi="Arial" w:cs="Arial"/>
          <w:color w:val="000000" w:themeColor="text1"/>
        </w:rPr>
        <w:t xml:space="preserve"> </w:t>
      </w:r>
      <w:r>
        <w:rPr>
          <w:rFonts w:ascii="Arial" w:hAnsi="Arial" w:cs="Arial"/>
          <w:color w:val="000000" w:themeColor="text1"/>
        </w:rPr>
        <w:t>quo, concluy</w:t>
      </w:r>
      <w:r w:rsidR="00513F32">
        <w:rPr>
          <w:rFonts w:ascii="Arial" w:hAnsi="Arial" w:cs="Arial"/>
          <w:color w:val="000000" w:themeColor="text1"/>
        </w:rPr>
        <w:t>ó</w:t>
      </w:r>
      <w:r>
        <w:rPr>
          <w:rFonts w:ascii="Arial" w:hAnsi="Arial" w:cs="Arial"/>
          <w:color w:val="000000" w:themeColor="text1"/>
        </w:rPr>
        <w:t xml:space="preserve"> que </w:t>
      </w:r>
      <w:r w:rsidRPr="00A2151F">
        <w:rPr>
          <w:rFonts w:ascii="Arial" w:hAnsi="Arial" w:cs="Arial"/>
          <w:i/>
          <w:iCs/>
          <w:color w:val="000000" w:themeColor="text1"/>
        </w:rPr>
        <w:t>“de secreto, este debate no tuvo nada. No hubo más que una restricción por razones de orden y de espacio físico”</w:t>
      </w:r>
      <w:r>
        <w:rPr>
          <w:rFonts w:ascii="Arial" w:hAnsi="Arial" w:cs="Arial"/>
          <w:color w:val="000000" w:themeColor="text1"/>
        </w:rPr>
        <w:t>.</w:t>
      </w:r>
    </w:p>
    <w:p w14:paraId="77162350" w14:textId="3C722519" w:rsidR="00A915A3" w:rsidRPr="00A915A3" w:rsidRDefault="00A915A3" w:rsidP="00A915A3">
      <w:pPr>
        <w:spacing w:line="360" w:lineRule="auto"/>
        <w:ind w:firstLine="1134"/>
        <w:jc w:val="both"/>
        <w:rPr>
          <w:rFonts w:ascii="Arial" w:hAnsi="Arial" w:cs="Arial"/>
          <w:color w:val="000000" w:themeColor="text1"/>
        </w:rPr>
      </w:pPr>
      <w:r>
        <w:rPr>
          <w:rFonts w:ascii="Arial" w:hAnsi="Arial" w:cs="Arial"/>
          <w:color w:val="000000" w:themeColor="text1"/>
        </w:rPr>
        <w:t>Idéntica solución brinda al desestimar el agravio sobre la expulsión de la condenada de la sala de audiencia durante el juicio. En tal sentido la CSJN apoyándose en la normativa local que permite tal sanción de los cuales la recurrente no planteo su inconstitucionalidad y que la sanción fue razonable y proporcional, luego de un apercibimiento y, como tal, no fue arbitraria.</w:t>
      </w:r>
    </w:p>
    <w:p w14:paraId="61CD623A" w14:textId="1E80FA80" w:rsidR="0039684F" w:rsidRDefault="00F07F27" w:rsidP="0039684F">
      <w:pPr>
        <w:spacing w:line="360" w:lineRule="auto"/>
        <w:ind w:firstLine="1134"/>
        <w:jc w:val="both"/>
        <w:rPr>
          <w:rFonts w:ascii="Arial" w:hAnsi="Arial" w:cs="Arial"/>
          <w:b/>
          <w:bCs/>
          <w:color w:val="000000" w:themeColor="text1"/>
          <w:u w:val="single"/>
          <w:lang w:val="es-ES"/>
        </w:rPr>
      </w:pPr>
      <w:r w:rsidRPr="00F07F27">
        <w:rPr>
          <w:rFonts w:ascii="Arial" w:hAnsi="Arial" w:cs="Arial"/>
          <w:b/>
          <w:bCs/>
          <w:color w:val="000000" w:themeColor="text1"/>
          <w:u w:val="single"/>
          <w:lang w:val="es-ES"/>
        </w:rPr>
        <w:t>5.4. El derecho de acceso a los expedientes y las sentencias en la provincia de Córdoba</w:t>
      </w:r>
    </w:p>
    <w:p w14:paraId="2DDB932A" w14:textId="76AFCAF3" w:rsidR="0039684F" w:rsidRPr="0039684F" w:rsidRDefault="0039684F" w:rsidP="001239D5">
      <w:pPr>
        <w:spacing w:line="360" w:lineRule="auto"/>
        <w:ind w:firstLine="1134"/>
        <w:jc w:val="both"/>
        <w:rPr>
          <w:rFonts w:ascii="Arial" w:hAnsi="Arial" w:cs="Arial"/>
          <w:color w:val="000000" w:themeColor="text1"/>
          <w:u w:val="single"/>
          <w:lang w:val="es-ES"/>
        </w:rPr>
      </w:pPr>
      <w:r w:rsidRPr="0039684F">
        <w:rPr>
          <w:rFonts w:ascii="Arial" w:hAnsi="Arial" w:cs="Arial"/>
          <w:color w:val="000000" w:themeColor="text1"/>
          <w:u w:val="single"/>
          <w:lang w:val="es-ES"/>
        </w:rPr>
        <w:t>5.4.</w:t>
      </w:r>
      <w:r w:rsidR="00602067">
        <w:rPr>
          <w:rFonts w:ascii="Arial" w:hAnsi="Arial" w:cs="Arial"/>
          <w:color w:val="000000" w:themeColor="text1"/>
          <w:u w:val="single"/>
          <w:lang w:val="es-ES"/>
        </w:rPr>
        <w:t>a.</w:t>
      </w:r>
      <w:r w:rsidRPr="0039684F">
        <w:rPr>
          <w:rFonts w:ascii="Arial" w:hAnsi="Arial" w:cs="Arial"/>
          <w:color w:val="000000" w:themeColor="text1"/>
          <w:u w:val="single"/>
          <w:lang w:val="es-ES"/>
        </w:rPr>
        <w:t>1.</w:t>
      </w:r>
      <w:r w:rsidR="00602067">
        <w:rPr>
          <w:rFonts w:ascii="Arial" w:hAnsi="Arial" w:cs="Arial"/>
          <w:color w:val="000000" w:themeColor="text1"/>
          <w:u w:val="single"/>
          <w:lang w:val="es-ES"/>
        </w:rPr>
        <w:t>-</w:t>
      </w:r>
      <w:r w:rsidRPr="0039684F">
        <w:rPr>
          <w:rFonts w:ascii="Arial" w:hAnsi="Arial" w:cs="Arial"/>
          <w:color w:val="000000" w:themeColor="text1"/>
          <w:u w:val="single"/>
          <w:lang w:val="es-ES"/>
        </w:rPr>
        <w:t xml:space="preserve"> El derecho de acceso a la información pública en Córdoba</w:t>
      </w:r>
    </w:p>
    <w:p w14:paraId="3D6FFB64" w14:textId="125B9634" w:rsidR="0039684F" w:rsidRPr="0039684F" w:rsidRDefault="0039684F" w:rsidP="0039684F">
      <w:pPr>
        <w:spacing w:line="360" w:lineRule="auto"/>
        <w:ind w:firstLine="1134"/>
        <w:jc w:val="both"/>
        <w:rPr>
          <w:rFonts w:ascii="Arial" w:hAnsi="Arial" w:cs="Arial"/>
          <w:color w:val="000000" w:themeColor="text1"/>
          <w:lang w:val="es-ES"/>
        </w:rPr>
      </w:pPr>
      <w:r w:rsidRPr="0039684F">
        <w:rPr>
          <w:rFonts w:ascii="Arial" w:hAnsi="Arial" w:cs="Arial"/>
          <w:color w:val="000000" w:themeColor="text1"/>
          <w:lang w:val="es-ES"/>
        </w:rPr>
        <w:t xml:space="preserve">Reseñado el marco constitucional provincial sobre el derecho de acceso a la información pública, corresponde detenerse en su reglamentación, a cargo de la Ley 8.803. En particular, llama la atención su artículo </w:t>
      </w:r>
      <w:r>
        <w:rPr>
          <w:rFonts w:ascii="Arial" w:hAnsi="Arial" w:cs="Arial"/>
          <w:color w:val="000000" w:themeColor="text1"/>
          <w:lang w:val="es-ES"/>
        </w:rPr>
        <w:t>primero</w:t>
      </w:r>
      <w:r w:rsidRPr="0039684F">
        <w:rPr>
          <w:rFonts w:ascii="Arial" w:hAnsi="Arial" w:cs="Arial"/>
          <w:color w:val="000000" w:themeColor="text1"/>
          <w:lang w:val="es-ES"/>
        </w:rPr>
        <w:t>, que dispone:</w:t>
      </w:r>
      <w:r>
        <w:rPr>
          <w:rFonts w:ascii="Arial" w:hAnsi="Arial" w:cs="Arial"/>
          <w:color w:val="000000" w:themeColor="text1"/>
          <w:lang w:val="es-ES"/>
        </w:rPr>
        <w:t xml:space="preserve"> </w:t>
      </w:r>
      <w:r w:rsidRPr="0039684F">
        <w:rPr>
          <w:rFonts w:ascii="Arial" w:hAnsi="Arial" w:cs="Arial"/>
          <w:i/>
          <w:iCs/>
          <w:color w:val="000000" w:themeColor="text1"/>
          <w:lang w:val="es-ES"/>
        </w:rPr>
        <w:t xml:space="preserve">“Toda persona tiene derecho, de conformidad con el principio de publicidad de los actos de gobierno, a solicitar y a recibir información completa, veraz, adecuada y oportuna, de cualquier órgano perteneciente a la administración pública provincial, municipal y comunal, centralizada y descentralizada, de entes autárquicos, empresas y sociedades del Estado, sociedades </w:t>
      </w:r>
      <w:r w:rsidRPr="0039684F">
        <w:rPr>
          <w:rFonts w:ascii="Arial" w:hAnsi="Arial" w:cs="Arial"/>
          <w:i/>
          <w:iCs/>
          <w:color w:val="000000" w:themeColor="text1"/>
          <w:lang w:val="es-ES"/>
        </w:rPr>
        <w:lastRenderedPageBreak/>
        <w:t>anónimas con participación estatal mayoritaria, sociedades de economía mixta y todas aquellas otras organizaciones empresariales donde el Estado provincial, las municipalidades o las comunas tengan participación en el capital o en la formación de las decisiones societarias, del Poder Legislativo y del Judicial, en cuanto a su actividad administrativa, y del Defensor del Pueblo, Tribunal de Cuentas, Consejo Económico y Social y Ministerio Público Fiscal.”</w:t>
      </w:r>
    </w:p>
    <w:p w14:paraId="305FFFDB" w14:textId="77777777" w:rsidR="00602067" w:rsidRDefault="00602067" w:rsidP="00100710">
      <w:pPr>
        <w:spacing w:line="360" w:lineRule="auto"/>
        <w:ind w:firstLine="1134"/>
        <w:jc w:val="both"/>
        <w:rPr>
          <w:rFonts w:ascii="Arial" w:hAnsi="Arial" w:cs="Arial"/>
          <w:color w:val="000000" w:themeColor="text1"/>
          <w:lang w:val="es-ES"/>
        </w:rPr>
      </w:pPr>
    </w:p>
    <w:p w14:paraId="32DA3BDB" w14:textId="10F41AF7" w:rsidR="00602067" w:rsidRPr="0039684F" w:rsidRDefault="00602067" w:rsidP="001C0960">
      <w:pPr>
        <w:spacing w:line="360" w:lineRule="auto"/>
        <w:ind w:firstLine="1134"/>
        <w:jc w:val="both"/>
        <w:rPr>
          <w:rFonts w:ascii="Arial" w:hAnsi="Arial" w:cs="Arial"/>
          <w:color w:val="000000" w:themeColor="text1"/>
          <w:u w:val="single"/>
          <w:lang w:val="es-ES"/>
        </w:rPr>
      </w:pPr>
      <w:r w:rsidRPr="0039684F">
        <w:rPr>
          <w:rFonts w:ascii="Arial" w:hAnsi="Arial" w:cs="Arial"/>
          <w:color w:val="000000" w:themeColor="text1"/>
          <w:u w:val="single"/>
          <w:lang w:val="es-ES"/>
        </w:rPr>
        <w:t>5.4.</w:t>
      </w:r>
      <w:r w:rsidR="001C0960">
        <w:rPr>
          <w:rFonts w:ascii="Arial" w:hAnsi="Arial" w:cs="Arial"/>
          <w:color w:val="000000" w:themeColor="text1"/>
          <w:u w:val="single"/>
          <w:lang w:val="es-ES"/>
        </w:rPr>
        <w:t>a</w:t>
      </w:r>
      <w:r>
        <w:rPr>
          <w:rFonts w:ascii="Arial" w:hAnsi="Arial" w:cs="Arial"/>
          <w:color w:val="000000" w:themeColor="text1"/>
          <w:u w:val="single"/>
          <w:lang w:val="es-ES"/>
        </w:rPr>
        <w:t>.2</w:t>
      </w:r>
      <w:r w:rsidRPr="0039684F">
        <w:rPr>
          <w:rFonts w:ascii="Arial" w:hAnsi="Arial" w:cs="Arial"/>
          <w:color w:val="000000" w:themeColor="text1"/>
          <w:u w:val="single"/>
          <w:lang w:val="es-ES"/>
        </w:rPr>
        <w:t>.</w:t>
      </w:r>
      <w:r>
        <w:rPr>
          <w:rFonts w:ascii="Arial" w:hAnsi="Arial" w:cs="Arial"/>
          <w:color w:val="000000" w:themeColor="text1"/>
          <w:u w:val="single"/>
          <w:lang w:val="es-ES"/>
        </w:rPr>
        <w:t>-</w:t>
      </w:r>
      <w:r w:rsidRPr="0039684F">
        <w:rPr>
          <w:rFonts w:ascii="Arial" w:hAnsi="Arial" w:cs="Arial"/>
          <w:color w:val="000000" w:themeColor="text1"/>
          <w:u w:val="single"/>
          <w:lang w:val="es-ES"/>
        </w:rPr>
        <w:t xml:space="preserve"> El derecho de acceso a la información pública en Córdoba</w:t>
      </w:r>
      <w:r w:rsidR="001C0960">
        <w:rPr>
          <w:rFonts w:ascii="Arial" w:hAnsi="Arial" w:cs="Arial"/>
          <w:color w:val="000000" w:themeColor="text1"/>
          <w:u w:val="single"/>
          <w:lang w:val="es-ES"/>
        </w:rPr>
        <w:t xml:space="preserve"> </w:t>
      </w:r>
      <w:r w:rsidR="001C0960" w:rsidRPr="002303A2">
        <w:rPr>
          <w:rFonts w:ascii="Arial" w:hAnsi="Arial" w:cs="Arial"/>
          <w:color w:val="000000" w:themeColor="text1"/>
          <w:u w:val="single"/>
          <w:lang w:val="es-ES"/>
        </w:rPr>
        <w:t>conforme los parámetros para evaluar la publicidad procesal</w:t>
      </w:r>
    </w:p>
    <w:p w14:paraId="5E31AD82" w14:textId="77777777" w:rsidR="00602067" w:rsidRDefault="00602067" w:rsidP="00602067">
      <w:pPr>
        <w:spacing w:line="360" w:lineRule="auto"/>
        <w:ind w:firstLine="1134"/>
        <w:jc w:val="both"/>
        <w:rPr>
          <w:rFonts w:ascii="Arial" w:hAnsi="Arial" w:cs="Arial"/>
          <w:color w:val="EE0000"/>
          <w:lang w:val="es-ES"/>
        </w:rPr>
      </w:pPr>
    </w:p>
    <w:p w14:paraId="4381976B" w14:textId="15725506" w:rsidR="00602067" w:rsidRPr="00602067" w:rsidRDefault="00602067" w:rsidP="00602067">
      <w:pPr>
        <w:spacing w:line="360" w:lineRule="auto"/>
        <w:ind w:firstLine="1134"/>
        <w:jc w:val="both"/>
        <w:rPr>
          <w:rFonts w:ascii="Arial" w:hAnsi="Arial" w:cs="Arial"/>
          <w:color w:val="000000" w:themeColor="text1"/>
          <w:lang w:val="es-ES"/>
        </w:rPr>
      </w:pPr>
      <w:r w:rsidRPr="0039684F">
        <w:rPr>
          <w:rFonts w:ascii="Arial" w:hAnsi="Arial" w:cs="Arial"/>
          <w:color w:val="000000" w:themeColor="text1"/>
          <w:lang w:val="es-ES"/>
        </w:rPr>
        <w:t xml:space="preserve">Como se advierte, la norma impone el deber de publicidad al Poder Judicial únicamente en su faz administrativa, excluyendo la actividad jurisdiccional. </w:t>
      </w:r>
    </w:p>
    <w:p w14:paraId="2059D9E6" w14:textId="133A6D58" w:rsidR="00602067" w:rsidRPr="00602067" w:rsidRDefault="00602067" w:rsidP="00602067">
      <w:pPr>
        <w:spacing w:line="360" w:lineRule="auto"/>
        <w:ind w:firstLine="1134"/>
        <w:jc w:val="both"/>
        <w:rPr>
          <w:rFonts w:ascii="Arial" w:hAnsi="Arial" w:cs="Arial"/>
          <w:lang w:val="es-ES"/>
        </w:rPr>
      </w:pPr>
      <w:r w:rsidRPr="00602067">
        <w:rPr>
          <w:rFonts w:ascii="Arial" w:hAnsi="Arial" w:cs="Arial"/>
          <w:lang w:val="es-ES"/>
        </w:rPr>
        <w:t>Esta delimitación restringe de modo indebido el derecho de acceso a la información pública respecto de expedientes y sentencias y desnaturaliza la regla de publicidad de los actos de gobierno.</w:t>
      </w:r>
    </w:p>
    <w:p w14:paraId="32090CFF" w14:textId="77777777" w:rsidR="00602067" w:rsidRDefault="00602067" w:rsidP="00602067">
      <w:pPr>
        <w:spacing w:line="360" w:lineRule="auto"/>
        <w:ind w:firstLine="1134"/>
        <w:jc w:val="both"/>
        <w:rPr>
          <w:rFonts w:ascii="Arial" w:hAnsi="Arial" w:cs="Arial"/>
          <w:lang w:val="es-ES"/>
        </w:rPr>
      </w:pPr>
      <w:r w:rsidRPr="00602067">
        <w:rPr>
          <w:rFonts w:ascii="Arial" w:hAnsi="Arial" w:cs="Arial"/>
          <w:lang w:val="es-ES"/>
        </w:rPr>
        <w:t>Tal distinción vulnera el principio de igualdad (art. 16 C.N.) porque dispensa un trato menos exigente a la función jurisdiccional frente a otras funciones estatales y, aun dentro del propio Poder Judicial, entre su gestión administrativa y su quehacer jurisdiccional. No existe una justificación objetiva y razonable —a la luz del test de razonabilidad del art. 28 C.N. y del estándar de máxima divulgación— que permita restringir el acceso a decisiones y actuaciones que, por su naturaleza, integran la actividad pública del Estado. El resultado es una desigualdad arbitraria para la ciudadanía y, en particular, para las partes y sus letrados, al impedir el escrutinio y control republicano de los procesos y sus decisiones. Por ello, la única lectura constitucionalmente adecuada es extender el deber de publicidad también a la esfera jurisdiccional, con las excepciones legales estrictas y proporcionadas.</w:t>
      </w:r>
    </w:p>
    <w:p w14:paraId="5E3E8AA6" w14:textId="442D2F73" w:rsidR="00602067" w:rsidRDefault="00602067" w:rsidP="00100710">
      <w:pPr>
        <w:spacing w:line="360" w:lineRule="auto"/>
        <w:ind w:firstLine="1134"/>
        <w:jc w:val="both"/>
        <w:rPr>
          <w:rFonts w:ascii="Arial" w:hAnsi="Arial" w:cs="Arial"/>
          <w:lang w:val="es-ES"/>
        </w:rPr>
      </w:pPr>
      <w:r w:rsidRPr="00602067">
        <w:rPr>
          <w:rFonts w:ascii="Arial" w:hAnsi="Arial" w:cs="Arial"/>
          <w:lang w:val="es-ES"/>
        </w:rPr>
        <w:t>Con todo, aunque el control (x) vía amparo por mora o el amparo</w:t>
      </w:r>
      <w:r>
        <w:rPr>
          <w:rFonts w:ascii="Arial" w:hAnsi="Arial" w:cs="Arial"/>
          <w:lang w:val="es-ES"/>
        </w:rPr>
        <w:t xml:space="preserve">, </w:t>
      </w:r>
      <w:r w:rsidRPr="00602067">
        <w:rPr>
          <w:rFonts w:ascii="Arial" w:hAnsi="Arial" w:cs="Arial"/>
          <w:lang w:val="es-ES"/>
        </w:rPr>
        <w:t>en los términos del art. 8 de la ley</w:t>
      </w:r>
      <w:r>
        <w:rPr>
          <w:rFonts w:ascii="Arial" w:hAnsi="Arial" w:cs="Arial"/>
          <w:lang w:val="es-ES"/>
        </w:rPr>
        <w:t xml:space="preserve">, </w:t>
      </w:r>
      <w:r w:rsidRPr="00602067">
        <w:rPr>
          <w:rFonts w:ascii="Arial" w:hAnsi="Arial" w:cs="Arial"/>
          <w:lang w:val="es-ES"/>
        </w:rPr>
        <w:t>no resulte formalmente procedente, ello no obsta a su interposición: la restricción denunciada afecta la publicidad procesal y, por ende, un derecho de raigambre constitucional cuya tutela urgente puede reclamarse por esa vía.</w:t>
      </w:r>
    </w:p>
    <w:p w14:paraId="342E43EB" w14:textId="77777777" w:rsidR="00602067" w:rsidRDefault="00602067" w:rsidP="00100710">
      <w:pPr>
        <w:spacing w:line="360" w:lineRule="auto"/>
        <w:ind w:firstLine="1134"/>
        <w:jc w:val="both"/>
        <w:rPr>
          <w:rFonts w:ascii="Arial" w:hAnsi="Arial" w:cs="Arial"/>
          <w:color w:val="000000" w:themeColor="text1"/>
          <w:lang w:val="es-ES"/>
        </w:rPr>
      </w:pPr>
    </w:p>
    <w:p w14:paraId="338251D5" w14:textId="01F22390" w:rsidR="00100710" w:rsidRPr="0039684F" w:rsidRDefault="00100710" w:rsidP="00100710">
      <w:pPr>
        <w:spacing w:line="360" w:lineRule="auto"/>
        <w:ind w:firstLine="1134"/>
        <w:jc w:val="both"/>
        <w:rPr>
          <w:rFonts w:ascii="Arial" w:hAnsi="Arial" w:cs="Arial"/>
          <w:color w:val="000000" w:themeColor="text1"/>
          <w:u w:val="single"/>
          <w:lang w:val="es-ES"/>
        </w:rPr>
      </w:pPr>
      <w:r w:rsidRPr="0039684F">
        <w:rPr>
          <w:rFonts w:ascii="Arial" w:hAnsi="Arial" w:cs="Arial"/>
          <w:color w:val="000000" w:themeColor="text1"/>
          <w:u w:val="single"/>
          <w:lang w:val="es-ES"/>
        </w:rPr>
        <w:t>5.4.</w:t>
      </w:r>
      <w:r w:rsidR="00602067">
        <w:rPr>
          <w:rFonts w:ascii="Arial" w:hAnsi="Arial" w:cs="Arial"/>
          <w:color w:val="000000" w:themeColor="text1"/>
          <w:u w:val="single"/>
          <w:lang w:val="es-ES"/>
        </w:rPr>
        <w:t>b.1.-</w:t>
      </w:r>
      <w:r w:rsidRPr="0039684F">
        <w:rPr>
          <w:rFonts w:ascii="Arial" w:hAnsi="Arial" w:cs="Arial"/>
          <w:color w:val="000000" w:themeColor="text1"/>
          <w:u w:val="single"/>
          <w:lang w:val="es-ES"/>
        </w:rPr>
        <w:t xml:space="preserve"> El </w:t>
      </w:r>
      <w:r>
        <w:rPr>
          <w:rFonts w:ascii="Arial" w:hAnsi="Arial" w:cs="Arial"/>
          <w:color w:val="000000" w:themeColor="text1"/>
          <w:u w:val="single"/>
          <w:lang w:val="es-ES"/>
        </w:rPr>
        <w:t>Código Procesal Civil y Comercial de la Provincia de Córdoba (CPCCCba)</w:t>
      </w:r>
    </w:p>
    <w:p w14:paraId="3350EB22" w14:textId="13430495" w:rsidR="0039684F" w:rsidRDefault="00100710" w:rsidP="00471EE2">
      <w:pPr>
        <w:spacing w:line="360" w:lineRule="auto"/>
        <w:ind w:firstLine="1134"/>
        <w:jc w:val="both"/>
        <w:rPr>
          <w:rFonts w:ascii="Arial" w:hAnsi="Arial" w:cs="Arial"/>
          <w:i/>
          <w:iCs/>
          <w:color w:val="000000" w:themeColor="text1"/>
          <w:lang w:val="es-ES"/>
        </w:rPr>
      </w:pPr>
      <w:r>
        <w:rPr>
          <w:rFonts w:ascii="Arial" w:hAnsi="Arial" w:cs="Arial"/>
          <w:color w:val="000000" w:themeColor="text1"/>
          <w:lang w:val="es-ES"/>
        </w:rPr>
        <w:lastRenderedPageBreak/>
        <w:t>El art. 54</w:t>
      </w:r>
      <w:r w:rsidR="009B246F">
        <w:rPr>
          <w:rFonts w:ascii="Arial" w:hAnsi="Arial" w:cs="Arial"/>
          <w:color w:val="000000" w:themeColor="text1"/>
          <w:lang w:val="es-ES"/>
        </w:rPr>
        <w:t xml:space="preserve">, que trata de la publicidad de las audiencias, dispone </w:t>
      </w:r>
      <w:r>
        <w:rPr>
          <w:rFonts w:ascii="Arial" w:hAnsi="Arial" w:cs="Arial"/>
          <w:color w:val="000000" w:themeColor="text1"/>
          <w:lang w:val="es-ES"/>
        </w:rPr>
        <w:t>que “</w:t>
      </w:r>
      <w:r w:rsidRPr="00100710">
        <w:rPr>
          <w:rFonts w:ascii="Arial" w:hAnsi="Arial" w:cs="Arial"/>
          <w:i/>
          <w:iCs/>
          <w:color w:val="000000" w:themeColor="text1"/>
          <w:lang w:val="es-ES"/>
        </w:rPr>
        <w:t>Las audiencias serán públicas, salvo que el tribunal disponga lo contrario por resolución motivada, sin recurso alguno</w:t>
      </w:r>
      <w:r w:rsidRPr="00100710">
        <w:rPr>
          <w:rFonts w:ascii="Arial" w:hAnsi="Arial" w:cs="Arial"/>
          <w:color w:val="000000" w:themeColor="text1"/>
          <w:lang w:val="es-ES"/>
        </w:rPr>
        <w:t>.</w:t>
      </w:r>
      <w:r>
        <w:rPr>
          <w:rFonts w:ascii="Arial" w:hAnsi="Arial" w:cs="Arial"/>
          <w:color w:val="000000" w:themeColor="text1"/>
          <w:lang w:val="es-ES"/>
        </w:rPr>
        <w:t xml:space="preserve">”. Nos dice </w:t>
      </w:r>
      <w:r w:rsidRPr="00100710">
        <w:rPr>
          <w:rFonts w:ascii="Arial" w:hAnsi="Arial" w:cs="Arial"/>
          <w:smallCaps/>
          <w:lang w:val="es-ES"/>
        </w:rPr>
        <w:t>González Castro</w:t>
      </w:r>
      <w:r>
        <w:rPr>
          <w:rFonts w:ascii="Arial" w:hAnsi="Arial" w:cs="Arial"/>
          <w:color w:val="000000" w:themeColor="text1"/>
          <w:lang w:val="es-ES"/>
        </w:rPr>
        <w:t xml:space="preserve"> sobre este artículo “</w:t>
      </w:r>
      <w:r w:rsidRPr="00471EE2">
        <w:rPr>
          <w:rFonts w:ascii="Arial" w:hAnsi="Arial" w:cs="Arial"/>
          <w:i/>
          <w:iCs/>
          <w:color w:val="000000" w:themeColor="text1"/>
          <w:lang w:val="es-ES"/>
        </w:rPr>
        <w:t xml:space="preserve">La norma del art. 54 del Código consagra la regla de la publicidad de las audiencias. No hay dudas de que —conforme la Constitución— la publicidad es uno de los pilares del sistema dispositivo. No obstante ello, aunque no surja explicito de su texto y tan sólo se regule como una facultad discrecional del juzgador, el artículo limita la publicidad en aquellos supuestos en que se afecten la moral y el orden público. En este aspecto es de recordar las enseñanzas de Clemente Días cuando </w:t>
      </w:r>
      <w:r w:rsidR="00471EE2" w:rsidRPr="00471EE2">
        <w:rPr>
          <w:rFonts w:ascii="Arial" w:hAnsi="Arial" w:cs="Arial"/>
          <w:i/>
          <w:iCs/>
          <w:color w:val="000000" w:themeColor="text1"/>
          <w:lang w:val="es-ES"/>
        </w:rPr>
        <w:t>distinguía</w:t>
      </w:r>
      <w:r w:rsidRPr="00471EE2">
        <w:rPr>
          <w:rFonts w:ascii="Arial" w:hAnsi="Arial" w:cs="Arial"/>
          <w:i/>
          <w:iCs/>
          <w:color w:val="000000" w:themeColor="text1"/>
          <w:lang w:val="es-ES"/>
        </w:rPr>
        <w:t xml:space="preserve"> cuatro modalidades de publicidad</w:t>
      </w:r>
      <w:r w:rsidR="00471EE2" w:rsidRPr="00471EE2">
        <w:rPr>
          <w:rFonts w:ascii="Arial" w:hAnsi="Arial" w:cs="Arial"/>
          <w:i/>
          <w:iCs/>
          <w:color w:val="000000" w:themeColor="text1"/>
          <w:lang w:val="es-ES"/>
        </w:rPr>
        <w:t>: una general, es decir, que cualquier persona del pueblo, con o sin interés en el pleito, puede tener acceso al conocimiento del debate; una limitada a cualquier persona que tenga un interés legitimo en el proceso, aunque carezca de la condición de parte; una amplia para las partes, en la que intervienen éstas, los letrados y representantes, y una restringida para las partes, en la que intervienen éstas los letrados y representantes, pero exclusivamente en cuanto tengan intervención directa e inmediata en la actividad procesal o en el acto de procedimiento. Dos cuestiones que quiero poner de resalto en esta norma: Primero: la publicidad ha tomado una relevancia vital en el proceso oral consagrado en la Provincia; Segundo: cuando existen normas (rectius en todas las normas) que otorgan este tipo de discrecionalidad, al momento de la interpretación y posterior aplicación, lo primero a tener en cuenta es la ratio legis de la misma, es decir una interpretación plenamente teleológica, lo cual se responde con un par que se ha dispuesto tal norma, conducta o facultad discrecional. Junto a ello, el planteo indispensable del valor comprometido en ese marco de conductas o de posibilidades interpretativas (estos casos de cercenamientos de publicidades, seguramente el valor de la integridad personal, la intimidad y muchos otros son los que sostienen el fin normativo perseguido. Por último, la ubicación sistémica de la norma, especialmente en el marco de los derechos y garantías constitucionales y del marco de convencionalidad, hoy indiscutible y de necesario análisis en el marco del llamado diálogo de fuentes, a lo que no se escapa el derecho procesal y su interpretación.”.</w:t>
      </w:r>
      <w:r w:rsidR="00471EE2">
        <w:rPr>
          <w:rStyle w:val="Refdenotaalpie"/>
          <w:rFonts w:ascii="Arial" w:hAnsi="Arial"/>
          <w:i/>
          <w:iCs/>
          <w:color w:val="000000" w:themeColor="text1"/>
          <w:lang w:val="es-ES"/>
        </w:rPr>
        <w:footnoteReference w:id="38"/>
      </w:r>
    </w:p>
    <w:p w14:paraId="27DF8FB7" w14:textId="0F183A2D" w:rsidR="009B246F" w:rsidRPr="009B246F" w:rsidRDefault="009B246F" w:rsidP="009B246F">
      <w:pPr>
        <w:spacing w:line="360" w:lineRule="auto"/>
        <w:ind w:firstLine="1134"/>
        <w:jc w:val="both"/>
        <w:rPr>
          <w:rFonts w:ascii="Arial" w:hAnsi="Arial" w:cs="Arial"/>
          <w:color w:val="000000" w:themeColor="text1"/>
        </w:rPr>
      </w:pPr>
      <w:r>
        <w:rPr>
          <w:rFonts w:ascii="Arial" w:hAnsi="Arial" w:cs="Arial"/>
          <w:color w:val="000000" w:themeColor="text1"/>
        </w:rPr>
        <w:t xml:space="preserve">Por su parte, el art. 68 sobre la publicidad del expediente, nos dice: </w:t>
      </w:r>
      <w:r w:rsidRPr="009B246F">
        <w:rPr>
          <w:rFonts w:ascii="Arial" w:hAnsi="Arial" w:cs="Arial"/>
          <w:i/>
          <w:iCs/>
          <w:color w:val="000000" w:themeColor="text1"/>
        </w:rPr>
        <w:t xml:space="preserve">“El expediente será de conocimiento público, salvo que la ley disponga lo contrario, o el tribunal lo decida por razones de seguridad, de moral o en protección de alguna de las partes. Podrán consultarlo, en la oficina, las partes y todos los que tuvieren un interés en la </w:t>
      </w:r>
      <w:r w:rsidRPr="009B246F">
        <w:rPr>
          <w:rFonts w:ascii="Arial" w:hAnsi="Arial" w:cs="Arial"/>
          <w:i/>
          <w:iCs/>
          <w:color w:val="000000" w:themeColor="text1"/>
        </w:rPr>
        <w:lastRenderedPageBreak/>
        <w:t>exhibición. Si el secretario la negare podrá reclamarse verbalmente ante el tribunal, que resolverá de acuerdo con el primer párrafo.”</w:t>
      </w:r>
    </w:p>
    <w:p w14:paraId="519A6D73" w14:textId="2735E763" w:rsidR="00471EE2" w:rsidRPr="004729C8" w:rsidRDefault="004729C8" w:rsidP="00471EE2">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Sobre la consulta del expediente, </w:t>
      </w:r>
      <w:r>
        <w:rPr>
          <w:rFonts w:ascii="Arial" w:hAnsi="Arial" w:cs="Arial"/>
          <w:smallCaps/>
          <w:lang w:val="es-ES"/>
        </w:rPr>
        <w:t xml:space="preserve">Venica </w:t>
      </w:r>
      <w:r>
        <w:rPr>
          <w:rFonts w:ascii="Arial" w:hAnsi="Arial" w:cs="Arial"/>
          <w:color w:val="000000" w:themeColor="text1"/>
        </w:rPr>
        <w:t>recuerda la vieja normativa, no vigente:</w:t>
      </w:r>
      <w:r>
        <w:rPr>
          <w:rFonts w:ascii="Arial" w:hAnsi="Arial" w:cs="Arial"/>
          <w:smallCaps/>
          <w:lang w:val="es-ES"/>
        </w:rPr>
        <w:t xml:space="preserve"> </w:t>
      </w:r>
      <w:r w:rsidRPr="004729C8">
        <w:rPr>
          <w:rFonts w:ascii="Arial" w:hAnsi="Arial" w:cs="Arial"/>
          <w:i/>
          <w:iCs/>
          <w:smallCaps/>
          <w:lang w:val="es-ES"/>
        </w:rPr>
        <w:t>“</w:t>
      </w:r>
      <w:r w:rsidRPr="004729C8">
        <w:rPr>
          <w:rFonts w:ascii="Arial" w:hAnsi="Arial" w:cs="Arial"/>
          <w:i/>
          <w:iCs/>
          <w:color w:val="000000" w:themeColor="text1"/>
        </w:rPr>
        <w:t>En lo relativo a la consulta de los expedientes, durante la vigencia de la anterior LOPJ regía su art. 180, que disponía que los secretarios no podían “entregar expedientes o suministrar informes a otras personas que las partes, abogados o procuradores de la matricula”. Norma sumamente restrictiva, que en ocasiones era, además, interpretada como que los abogados o procuradores que mencionaba aludían, solamente, al los que tenían participación en la misma causa, y no a otros. A su vez, el punto 6, 14 del Acuerdo extraordinario nro. 20 19.09.75 disponía: “Ninguna persona que no sea parte en un juicio o que actúe en cumplimiento de funciones profesionales tendrá acceso a los autos, salvo que lo autorice expresamente el Juez en atención a motivos especiales.”.”.</w:t>
      </w:r>
      <w:r>
        <w:rPr>
          <w:rStyle w:val="Refdenotaalpie"/>
          <w:rFonts w:ascii="Arial" w:hAnsi="Arial"/>
          <w:i/>
          <w:iCs/>
          <w:color w:val="000000" w:themeColor="text1"/>
        </w:rPr>
        <w:footnoteReference w:id="39"/>
      </w:r>
    </w:p>
    <w:p w14:paraId="7381C507" w14:textId="7391088B" w:rsidR="0039684F" w:rsidRDefault="000648CF" w:rsidP="00B21EF2">
      <w:pPr>
        <w:spacing w:line="360" w:lineRule="auto"/>
        <w:ind w:firstLine="1134"/>
        <w:jc w:val="both"/>
        <w:rPr>
          <w:rFonts w:ascii="Arial" w:hAnsi="Arial" w:cs="Arial"/>
          <w:i/>
          <w:iCs/>
          <w:color w:val="000000" w:themeColor="text1"/>
          <w:lang w:val="es-ES"/>
        </w:rPr>
      </w:pPr>
      <w:r>
        <w:rPr>
          <w:rFonts w:ascii="Arial" w:hAnsi="Arial" w:cs="Arial"/>
          <w:color w:val="000000" w:themeColor="text1"/>
          <w:lang w:val="es-ES"/>
        </w:rPr>
        <w:t xml:space="preserve">Continuando con comentario del artículo, nos dice sobre el fundamento constitucional de la publicidad de los expedientes que </w:t>
      </w:r>
      <w:r w:rsidRPr="00B21EF2">
        <w:rPr>
          <w:rFonts w:ascii="Arial" w:hAnsi="Arial" w:cs="Arial"/>
          <w:i/>
          <w:iCs/>
          <w:color w:val="000000" w:themeColor="text1"/>
          <w:lang w:val="es-ES"/>
        </w:rPr>
        <w:t>“El tema no es menor, si se repara en que la publicidad de los actos de gobierno constituye uno de los requisitos esenciales de la forma republicana de base democrática, adoptada por el art. 2 de la Const. Prov., y que el art. 15 de ella prescribe “Los actos del Estado son públicos (…) La ley determinará el modo y la oportunidad de su publicación y del acceso de los particulares a su conocimiento.” A su vez, los actos del Poder Judicial, contenidos en los expedientes, son “actos de Estado”, puesto que aquél integra el Gobierno Provincial (Const. Prov. Segunda Parte, T</w:t>
      </w:r>
      <w:r w:rsidR="00513F32">
        <w:rPr>
          <w:rFonts w:ascii="Arial" w:hAnsi="Arial" w:cs="Arial"/>
          <w:i/>
          <w:iCs/>
          <w:color w:val="000000" w:themeColor="text1"/>
          <w:lang w:val="es-ES"/>
        </w:rPr>
        <w:t>í</w:t>
      </w:r>
      <w:r w:rsidRPr="00B21EF2">
        <w:rPr>
          <w:rFonts w:ascii="Arial" w:hAnsi="Arial" w:cs="Arial"/>
          <w:i/>
          <w:iCs/>
          <w:color w:val="000000" w:themeColor="text1"/>
          <w:lang w:val="es-ES"/>
        </w:rPr>
        <w:t>tulo Primero, Sección Tercera) y el art. 15 mencionado impone al legislador dar cumplimiento a su mandato. Lo que ha hecho con el artículo en comentario, en relación al fuero civil y comercial.”</w:t>
      </w:r>
      <w:r w:rsidR="00B21EF2">
        <w:rPr>
          <w:rFonts w:ascii="Arial" w:hAnsi="Arial" w:cs="Arial"/>
          <w:color w:val="000000" w:themeColor="text1"/>
          <w:lang w:val="es-ES"/>
        </w:rPr>
        <w:t xml:space="preserve"> Luego, en cuanto a su alcance, interpreta </w:t>
      </w:r>
      <w:r w:rsidR="00B21EF2" w:rsidRPr="00B21EF2">
        <w:rPr>
          <w:rFonts w:ascii="Arial" w:hAnsi="Arial" w:cs="Arial"/>
          <w:color w:val="000000" w:themeColor="text1"/>
          <w:lang w:val="es-ES"/>
        </w:rPr>
        <w:t>—</w:t>
      </w:r>
      <w:r w:rsidR="00B21EF2">
        <w:rPr>
          <w:rFonts w:ascii="Arial" w:hAnsi="Arial" w:cs="Arial"/>
          <w:color w:val="000000" w:themeColor="text1"/>
          <w:lang w:val="es-ES"/>
        </w:rPr>
        <w:t>con cita a Palacio, Lino E.. y Alvarado Velloso, Adolfo</w:t>
      </w:r>
      <w:r w:rsidR="00B21EF2" w:rsidRPr="00B21EF2">
        <w:rPr>
          <w:rFonts w:ascii="Arial" w:hAnsi="Arial" w:cs="Arial"/>
          <w:color w:val="000000" w:themeColor="text1"/>
          <w:lang w:val="es-ES"/>
        </w:rPr>
        <w:t>—</w:t>
      </w:r>
      <w:r w:rsidR="00B21EF2">
        <w:rPr>
          <w:rFonts w:ascii="Arial" w:hAnsi="Arial" w:cs="Arial"/>
          <w:color w:val="000000" w:themeColor="text1"/>
          <w:lang w:val="es-ES"/>
        </w:rPr>
        <w:t xml:space="preserve"> </w:t>
      </w:r>
      <w:r w:rsidR="00B21EF2" w:rsidRPr="00B21EF2">
        <w:rPr>
          <w:rFonts w:ascii="Arial" w:hAnsi="Arial" w:cs="Arial"/>
          <w:i/>
          <w:iCs/>
          <w:color w:val="000000" w:themeColor="text1"/>
          <w:lang w:val="es-ES"/>
        </w:rPr>
        <w:t>“Partiendo de esas bases, y que la legislación anteriormente vigente, así como las de la Nación y de otras provincias son demasiado limitativas, el precepto reúne los arts. 7 y 106 del código uruguayo, permitiendo la consulta a toda persona que tenga un “interés en la exhibición”. Pues si bien el principio de publicidad importa “que todos los actos del proceso emanados de las partes, de los jueces o de sus auxiliares, orales o escritos, puedan ser conocidos y controlados por quien desee hacerlo”, debe tener limitaciones.”.</w:t>
      </w:r>
    </w:p>
    <w:p w14:paraId="305C2545" w14:textId="07E7FE38" w:rsidR="00E20A48" w:rsidRPr="00FD201B" w:rsidRDefault="00E20A48" w:rsidP="00B21EF2">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Sobre la interpretación de quienes son los que tendrían interés nos dice </w:t>
      </w:r>
      <w:r w:rsidRPr="00E20A48">
        <w:rPr>
          <w:rFonts w:ascii="Arial" w:hAnsi="Arial" w:cs="Arial"/>
          <w:i/>
          <w:iCs/>
          <w:color w:val="000000" w:themeColor="text1"/>
          <w:lang w:val="es-ES"/>
        </w:rPr>
        <w:t xml:space="preserve">“Va de suyo que las partes, sus letrados y apoderados tienen acceso irrestricto al expediente, sin </w:t>
      </w:r>
      <w:r w:rsidRPr="00E20A48">
        <w:rPr>
          <w:rFonts w:ascii="Arial" w:hAnsi="Arial" w:cs="Arial"/>
          <w:i/>
          <w:iCs/>
          <w:color w:val="000000" w:themeColor="text1"/>
          <w:lang w:val="es-ES"/>
        </w:rPr>
        <w:lastRenderedPageBreak/>
        <w:t>perjuicio de la reserva momentánea de las actuaciones relativas a medidas cautelares “hasta la ejecución de la medida” (art. 457 2do párr.). En cuanto a los terceros, pueden consultarlo quienes tengan “un interés en la exhibición”. Quedan comprendidos: los abogados y procuradores, como lo disponen otras leyes; extensión y similares razones, los estudiantes de derecho; los periodistas; y en general, toda persona cuyo requerimiento no se traduzca en una finalidad reprochable. De ser negado el pedido por el secretario, y ante el reclamo verbal, el juez resolverá —en el acto— de acuerdo con el primer párrafo. Luego, quedará librado al criterio judicial, pero limitado por las indicadas pautas. (…).”.</w:t>
      </w:r>
      <w:r w:rsidRPr="00FD201B">
        <w:rPr>
          <w:rStyle w:val="Refdenotaalpie"/>
          <w:rFonts w:ascii="Arial" w:hAnsi="Arial"/>
          <w:color w:val="000000" w:themeColor="text1"/>
          <w:lang w:val="es-ES"/>
        </w:rPr>
        <w:footnoteReference w:id="40"/>
      </w:r>
    </w:p>
    <w:p w14:paraId="2052AB1A" w14:textId="01C01DCD" w:rsidR="00FD201B" w:rsidRDefault="00FD201B" w:rsidP="00B21EF2">
      <w:pPr>
        <w:spacing w:line="360" w:lineRule="auto"/>
        <w:ind w:firstLine="1134"/>
        <w:jc w:val="both"/>
        <w:rPr>
          <w:rFonts w:ascii="Arial" w:hAnsi="Arial" w:cs="Arial"/>
          <w:color w:val="000000" w:themeColor="text1"/>
          <w:lang w:val="es-ES"/>
        </w:rPr>
      </w:pPr>
      <w:r w:rsidRPr="00FD201B">
        <w:rPr>
          <w:rFonts w:ascii="Arial" w:eastAsia="Calibri" w:hAnsi="Arial" w:cs="Arial"/>
          <w:smallCaps/>
          <w:kern w:val="2"/>
          <w:lang w:val="es-ES" w:eastAsia="en-US"/>
        </w:rPr>
        <w:t>Diaz Villasuso</w:t>
      </w:r>
      <w:r>
        <w:rPr>
          <w:rFonts w:ascii="Arial" w:hAnsi="Arial" w:cs="Arial"/>
          <w:color w:val="000000" w:themeColor="text1"/>
          <w:lang w:val="es-ES"/>
        </w:rPr>
        <w:t>, por su parte, nos dice al comentar el artículo “</w:t>
      </w:r>
      <w:r w:rsidRPr="0053440A">
        <w:rPr>
          <w:rFonts w:ascii="Arial" w:hAnsi="Arial" w:cs="Arial"/>
          <w:i/>
          <w:iCs/>
          <w:color w:val="000000" w:themeColor="text1"/>
          <w:lang w:val="es-ES"/>
        </w:rPr>
        <w:t>De conformidad con lo dispuesto por el art. 15 C.Prov., que prescribe la publicidad de los actos del Estado, el ordenamiento adjetivo dispone que el expediente es de conocimiento público, salvo que se disponga su reserva, sea en virtud de ley, por razones de seguridad (por caso que se trate de un Rehace), o protección de la moral o intimidad de algúna de las partes. Si bien la norma sólo habla del expediente, debe entenderse comprensiva del “protocolo de sentencias”, desde que es donde se custodia la copia de la parte quizás más importante de aquél, la sentencia.</w:t>
      </w:r>
      <w:r w:rsidR="0053440A" w:rsidRPr="0053440A">
        <w:rPr>
          <w:rFonts w:ascii="Arial" w:hAnsi="Arial" w:cs="Arial"/>
          <w:i/>
          <w:iCs/>
          <w:color w:val="000000" w:themeColor="text1"/>
          <w:lang w:val="es-ES"/>
        </w:rPr>
        <w:t xml:space="preserve"> </w:t>
      </w:r>
      <w:r w:rsidRPr="0053440A">
        <w:rPr>
          <w:rFonts w:ascii="Arial" w:hAnsi="Arial" w:cs="Arial"/>
          <w:i/>
          <w:iCs/>
          <w:color w:val="000000" w:themeColor="text1"/>
          <w:lang w:val="es-ES"/>
        </w:rPr>
        <w:t xml:space="preserve">Si un expediente es de conocimiento público, de suyo implica que puede ser libremente consultado, de otro modo tal previsión carecería de sentido. Ahora bien, cabe resaltar </w:t>
      </w:r>
      <w:r w:rsidR="005E0F50" w:rsidRPr="0053440A">
        <w:rPr>
          <w:rFonts w:ascii="Arial" w:hAnsi="Arial" w:cs="Arial"/>
          <w:i/>
          <w:iCs/>
          <w:color w:val="000000" w:themeColor="text1"/>
          <w:lang w:val="es-ES"/>
        </w:rPr>
        <w:t>que,</w:t>
      </w:r>
      <w:r w:rsidRPr="0053440A">
        <w:rPr>
          <w:rFonts w:ascii="Arial" w:hAnsi="Arial" w:cs="Arial"/>
          <w:i/>
          <w:iCs/>
          <w:color w:val="000000" w:themeColor="text1"/>
          <w:lang w:val="es-ES"/>
        </w:rPr>
        <w:t xml:space="preserve"> si bien en el primer párrafo del artículo 68 determina la regla, por el segundo se precisa que podrán consultarlo las partes y los que tuvieren un interés en la exhibición. En </w:t>
      </w:r>
      <w:r w:rsidR="005E0F50" w:rsidRPr="0053440A">
        <w:rPr>
          <w:rFonts w:ascii="Arial" w:hAnsi="Arial" w:cs="Arial"/>
          <w:i/>
          <w:iCs/>
          <w:color w:val="000000" w:themeColor="text1"/>
          <w:lang w:val="es-ES"/>
        </w:rPr>
        <w:t>consecuencia,</w:t>
      </w:r>
      <w:r w:rsidRPr="0053440A">
        <w:rPr>
          <w:rFonts w:ascii="Arial" w:hAnsi="Arial" w:cs="Arial"/>
          <w:i/>
          <w:iCs/>
          <w:color w:val="000000" w:themeColor="text1"/>
          <w:lang w:val="es-ES"/>
        </w:rPr>
        <w:t xml:space="preserve"> se advierte que la amplitud del primer párrafo se ve inmediatamente limitada por el segundo, desde que resulta evidente el interés de las partes en el pleito (y aún de los participantes, por caso peritos) incluso si se hubiera dispuesto la reserva; contrariamente, respecto de los terceros, el interés deberá alegarse y ser merituado por el tribunal. De lo que se colige que el principio de que el “expediente será de conocimiento público” es respecto de los terceros sólo si acreditan un interés atendible. Este podrá ser de variada gama, por caso periodístico, estadístico, y aún académico, aunque el supuesto más común serán los auxiliares de los letrados o el abogado que designado por </w:t>
      </w:r>
      <w:r w:rsidR="005E0F50" w:rsidRPr="0053440A">
        <w:rPr>
          <w:rFonts w:ascii="Arial" w:hAnsi="Arial" w:cs="Arial"/>
          <w:i/>
          <w:iCs/>
          <w:color w:val="000000" w:themeColor="text1"/>
          <w:lang w:val="es-ES"/>
        </w:rPr>
        <w:t>la parte</w:t>
      </w:r>
      <w:r w:rsidRPr="0053440A">
        <w:rPr>
          <w:rFonts w:ascii="Arial" w:hAnsi="Arial" w:cs="Arial"/>
          <w:i/>
          <w:iCs/>
          <w:color w:val="000000" w:themeColor="text1"/>
          <w:lang w:val="es-ES"/>
        </w:rPr>
        <w:t xml:space="preserve"> aún no tiene participación en el expediente. Pero si estamos con el texto del art. 15 Prov. será difícil denegar el acceso a los terceros, o lo que es lo mismo, justificar causales que no ameriten el interés de estos terceros. (…) La consulta se realizará en la sede del tribunal y de ser negada, se lo reclamará en forma verbal, debiendo el tribunal resolver en el mismo acto y de conformidad con lo dispuesto por el primer párrafo de la </w:t>
      </w:r>
      <w:r w:rsidRPr="0053440A">
        <w:rPr>
          <w:rFonts w:ascii="Arial" w:hAnsi="Arial" w:cs="Arial"/>
          <w:i/>
          <w:iCs/>
          <w:color w:val="000000" w:themeColor="text1"/>
          <w:lang w:val="es-ES"/>
        </w:rPr>
        <w:lastRenderedPageBreak/>
        <w:t>norma que comentamos.</w:t>
      </w:r>
      <w:r w:rsidR="0053440A" w:rsidRPr="0053440A">
        <w:rPr>
          <w:rFonts w:ascii="Arial" w:hAnsi="Arial" w:cs="Arial"/>
          <w:i/>
          <w:iCs/>
          <w:color w:val="000000" w:themeColor="text1"/>
          <w:lang w:val="es-ES"/>
        </w:rPr>
        <w:t xml:space="preserve"> La particularidad que presenta el artículo es que permite articular recurso de reposición de manera verbal ante el propio juez quien debe resolver (entendemos que, por escrito, si es denegada la petición), en el mismo acto</w:t>
      </w:r>
      <w:r w:rsidR="0053440A">
        <w:rPr>
          <w:rFonts w:ascii="Arial" w:hAnsi="Arial" w:cs="Arial"/>
          <w:color w:val="000000" w:themeColor="text1"/>
          <w:lang w:val="es-ES"/>
        </w:rPr>
        <w:t>.”</w:t>
      </w:r>
      <w:r w:rsidR="0053440A">
        <w:rPr>
          <w:rStyle w:val="Refdenotaalpie"/>
          <w:rFonts w:ascii="Arial" w:hAnsi="Arial"/>
          <w:color w:val="000000" w:themeColor="text1"/>
          <w:lang w:val="es-ES"/>
        </w:rPr>
        <w:footnoteReference w:id="41"/>
      </w:r>
    </w:p>
    <w:p w14:paraId="737A9E44" w14:textId="233BAA93" w:rsidR="00181874" w:rsidRDefault="00181874" w:rsidP="00181874">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El art. 205 por su parte nos dice “</w:t>
      </w:r>
      <w:r w:rsidRPr="00181874">
        <w:rPr>
          <w:rFonts w:ascii="Arial" w:hAnsi="Arial" w:cs="Arial"/>
          <w:i/>
          <w:iCs/>
          <w:color w:val="000000" w:themeColor="text1"/>
          <w:lang w:val="es-ES"/>
        </w:rPr>
        <w:t>Todas las actuaciones de prueba se verificarán en audiencia pública, a no ser que circunstancias especiales exijan su reserva</w:t>
      </w:r>
      <w:r w:rsidRPr="00181874">
        <w:rPr>
          <w:rFonts w:ascii="Arial" w:hAnsi="Arial" w:cs="Arial"/>
          <w:color w:val="000000" w:themeColor="text1"/>
          <w:lang w:val="es-ES"/>
        </w:rPr>
        <w:t>.</w:t>
      </w:r>
      <w:r>
        <w:rPr>
          <w:rFonts w:ascii="Arial" w:hAnsi="Arial" w:cs="Arial"/>
          <w:color w:val="000000" w:themeColor="text1"/>
          <w:lang w:val="es-ES"/>
        </w:rPr>
        <w:t xml:space="preserve">” Al respecto, comenta </w:t>
      </w:r>
      <w:r>
        <w:rPr>
          <w:rFonts w:ascii="Arial" w:hAnsi="Arial" w:cs="Arial"/>
          <w:smallCaps/>
          <w:lang w:val="es-ES"/>
        </w:rPr>
        <w:t>Venica</w:t>
      </w:r>
      <w:r>
        <w:rPr>
          <w:rFonts w:ascii="Arial" w:hAnsi="Arial" w:cs="Arial"/>
          <w:color w:val="000000" w:themeColor="text1"/>
          <w:lang w:val="es-ES"/>
        </w:rPr>
        <w:t xml:space="preserve"> que “</w:t>
      </w:r>
      <w:r w:rsidRPr="00181874">
        <w:rPr>
          <w:rFonts w:ascii="Arial" w:hAnsi="Arial" w:cs="Arial"/>
          <w:i/>
          <w:iCs/>
          <w:color w:val="000000" w:themeColor="text1"/>
          <w:lang w:val="es-ES"/>
        </w:rPr>
        <w:t>este dispositivo es redundante, pues no hace más que disponer lo mismo que el art. 54 respecto de las audiencias de recepción de pruebas</w:t>
      </w:r>
      <w:r>
        <w:rPr>
          <w:rFonts w:ascii="Arial" w:hAnsi="Arial" w:cs="Arial"/>
          <w:color w:val="000000" w:themeColor="text1"/>
          <w:lang w:val="es-ES"/>
        </w:rPr>
        <w:t>”</w:t>
      </w:r>
      <w:r>
        <w:rPr>
          <w:rStyle w:val="Refdenotaalpie"/>
          <w:rFonts w:ascii="Arial" w:hAnsi="Arial"/>
          <w:color w:val="000000" w:themeColor="text1"/>
          <w:lang w:val="es-ES"/>
        </w:rPr>
        <w:footnoteReference w:id="42"/>
      </w:r>
      <w:r w:rsidR="00E45B76">
        <w:rPr>
          <w:rFonts w:ascii="Arial" w:hAnsi="Arial" w:cs="Arial"/>
          <w:color w:val="000000" w:themeColor="text1"/>
          <w:lang w:val="es-ES"/>
        </w:rPr>
        <w:t>.</w:t>
      </w:r>
    </w:p>
    <w:p w14:paraId="2FB35C82" w14:textId="0211CFE6" w:rsidR="00E45B76" w:rsidRDefault="00E45B76" w:rsidP="00E45B76">
      <w:pPr>
        <w:spacing w:line="360" w:lineRule="auto"/>
        <w:ind w:firstLine="1134"/>
        <w:jc w:val="both"/>
        <w:rPr>
          <w:rFonts w:ascii="Arial" w:hAnsi="Arial" w:cs="Arial"/>
          <w:lang w:val="es-ES"/>
        </w:rPr>
      </w:pPr>
      <w:r>
        <w:rPr>
          <w:rFonts w:ascii="Arial" w:hAnsi="Arial" w:cs="Arial"/>
          <w:color w:val="000000" w:themeColor="text1"/>
          <w:lang w:val="es-ES"/>
        </w:rPr>
        <w:t xml:space="preserve">Por último, mencionamos el art. 383 del CPCCCba. El mismo legisla sobre la procedencia formal del recurso de casación. El mismo establece </w:t>
      </w:r>
      <w:r w:rsidRPr="00E45B76">
        <w:rPr>
          <w:rFonts w:ascii="Arial" w:hAnsi="Arial" w:cs="Arial"/>
          <w:lang w:val="es-ES"/>
        </w:rPr>
        <w:t>—</w:t>
      </w:r>
      <w:r>
        <w:rPr>
          <w:rFonts w:ascii="Arial" w:hAnsi="Arial" w:cs="Arial"/>
          <w:lang w:val="es-ES"/>
        </w:rPr>
        <w:t>en lo que atañe al objeto del presente estudio</w:t>
      </w:r>
      <w:r w:rsidRPr="00E45B76">
        <w:rPr>
          <w:rFonts w:ascii="Arial" w:hAnsi="Arial" w:cs="Arial"/>
          <w:lang w:val="es-ES"/>
        </w:rPr>
        <w:t xml:space="preserve">— </w:t>
      </w:r>
      <w:r>
        <w:rPr>
          <w:rFonts w:ascii="Arial" w:hAnsi="Arial" w:cs="Arial"/>
          <w:lang w:val="es-ES"/>
        </w:rPr>
        <w:t xml:space="preserve">que </w:t>
      </w:r>
      <w:r w:rsidRPr="00E45B76">
        <w:rPr>
          <w:rFonts w:ascii="Arial" w:hAnsi="Arial" w:cs="Arial"/>
          <w:i/>
          <w:iCs/>
          <w:lang w:val="es-ES"/>
        </w:rPr>
        <w:t xml:space="preserve">“El recurso de casación procederá por los siguientes motivos: (…) 3) Que el fallo se funde en una interpretación de la ley que sea contraria a la hecha, dentro </w:t>
      </w:r>
      <w:r w:rsidR="005E0F50" w:rsidRPr="00E45B76">
        <w:rPr>
          <w:rFonts w:ascii="Arial" w:hAnsi="Arial" w:cs="Arial"/>
          <w:i/>
          <w:iCs/>
          <w:lang w:val="es-ES"/>
        </w:rPr>
        <w:t>de los</w:t>
      </w:r>
      <w:r w:rsidRPr="00E45B76">
        <w:rPr>
          <w:rFonts w:ascii="Arial" w:hAnsi="Arial" w:cs="Arial"/>
          <w:i/>
          <w:iCs/>
          <w:lang w:val="es-ES"/>
        </w:rPr>
        <w:t xml:space="preserve"> cinco años anteriores a la resolución recurrida, por el propio tribunal de la causa, por el Tribunal Superior de Justicia, un tribunal de apelación en lo civil y comercial, u otro tribunal de apelación o de instancia única, de esta Provincia. Si el fallo contradictorio proviniere de otra sala del Tribunal Superior de Justicia, o de un tribunal de otro fuero, el tribunal de casación se integrará con la Sala Civil y con la sala que corresponda, del Tribunal Superior de Justicia; 4) Que el fallo contraríe la última interpretación de la ley hecha por el Tribunal Superior de Justicia en ocasión de un recurso fundado en el inciso precedente.”</w:t>
      </w:r>
      <w:r>
        <w:rPr>
          <w:rFonts w:ascii="Arial" w:hAnsi="Arial" w:cs="Arial"/>
          <w:lang w:val="es-ES"/>
        </w:rPr>
        <w:t>.</w:t>
      </w:r>
    </w:p>
    <w:p w14:paraId="51D46D8E" w14:textId="39745AE3" w:rsidR="00E45B76" w:rsidRPr="00E45B76" w:rsidRDefault="00E45B76" w:rsidP="00E45B76">
      <w:pPr>
        <w:spacing w:line="360" w:lineRule="auto"/>
        <w:ind w:firstLine="1134"/>
        <w:jc w:val="both"/>
        <w:rPr>
          <w:rFonts w:ascii="Arial" w:hAnsi="Arial" w:cs="Arial"/>
          <w:lang w:val="es-ES"/>
        </w:rPr>
      </w:pPr>
      <w:r>
        <w:rPr>
          <w:rFonts w:ascii="Arial" w:hAnsi="Arial" w:cs="Arial"/>
          <w:lang w:val="es-ES"/>
        </w:rPr>
        <w:t xml:space="preserve">Es decir, el mismo, al establecer la función nomofiláctica del tribunal, </w:t>
      </w:r>
      <w:r w:rsidR="00E666CE">
        <w:rPr>
          <w:rFonts w:ascii="Arial" w:hAnsi="Arial" w:cs="Arial"/>
          <w:lang w:val="es-ES"/>
        </w:rPr>
        <w:t>está</w:t>
      </w:r>
      <w:r>
        <w:rPr>
          <w:rFonts w:ascii="Arial" w:hAnsi="Arial" w:cs="Arial"/>
          <w:lang w:val="es-ES"/>
        </w:rPr>
        <w:t xml:space="preserve"> estableciendo de forma indirecta, la publicidad de las sentencias, puesto que no se puede controlar</w:t>
      </w:r>
      <w:r w:rsidR="000111A8">
        <w:rPr>
          <w:rStyle w:val="Refdenotaalpie"/>
          <w:rFonts w:ascii="Arial" w:hAnsi="Arial"/>
          <w:lang w:val="es-ES"/>
        </w:rPr>
        <w:footnoteReference w:id="43"/>
      </w:r>
      <w:r w:rsidR="000111A8">
        <w:rPr>
          <w:rFonts w:ascii="Arial" w:hAnsi="Arial" w:cs="Arial"/>
          <w:lang w:val="es-ES"/>
        </w:rPr>
        <w:t xml:space="preserve"> lo que no se conoce.</w:t>
      </w:r>
    </w:p>
    <w:p w14:paraId="72C4CAD4" w14:textId="77777777" w:rsidR="00FD201B" w:rsidRDefault="00FD201B" w:rsidP="00B21EF2">
      <w:pPr>
        <w:spacing w:line="360" w:lineRule="auto"/>
        <w:ind w:firstLine="1134"/>
        <w:jc w:val="both"/>
        <w:rPr>
          <w:rFonts w:ascii="Arial" w:hAnsi="Arial" w:cs="Arial"/>
          <w:color w:val="000000" w:themeColor="text1"/>
          <w:lang w:val="es-ES"/>
        </w:rPr>
      </w:pPr>
    </w:p>
    <w:p w14:paraId="66A2F350" w14:textId="0CEA9D17" w:rsidR="00602067" w:rsidRDefault="00602067" w:rsidP="00602067">
      <w:pPr>
        <w:spacing w:line="360" w:lineRule="auto"/>
        <w:ind w:firstLine="1134"/>
        <w:jc w:val="both"/>
        <w:rPr>
          <w:rFonts w:ascii="Arial" w:hAnsi="Arial" w:cs="Arial"/>
          <w:color w:val="000000" w:themeColor="text1"/>
          <w:u w:val="single"/>
          <w:lang w:val="es-ES"/>
        </w:rPr>
      </w:pPr>
      <w:r w:rsidRPr="0039684F">
        <w:rPr>
          <w:rFonts w:ascii="Arial" w:hAnsi="Arial" w:cs="Arial"/>
          <w:color w:val="000000" w:themeColor="text1"/>
          <w:u w:val="single"/>
          <w:lang w:val="es-ES"/>
        </w:rPr>
        <w:t>5.4.</w:t>
      </w:r>
      <w:r>
        <w:rPr>
          <w:rFonts w:ascii="Arial" w:hAnsi="Arial" w:cs="Arial"/>
          <w:color w:val="000000" w:themeColor="text1"/>
          <w:u w:val="single"/>
          <w:lang w:val="es-ES"/>
        </w:rPr>
        <w:t>b.2.-</w:t>
      </w:r>
      <w:r w:rsidRPr="0039684F">
        <w:rPr>
          <w:rFonts w:ascii="Arial" w:hAnsi="Arial" w:cs="Arial"/>
          <w:color w:val="000000" w:themeColor="text1"/>
          <w:u w:val="single"/>
          <w:lang w:val="es-ES"/>
        </w:rPr>
        <w:t xml:space="preserve"> El </w:t>
      </w:r>
      <w:r>
        <w:rPr>
          <w:rFonts w:ascii="Arial" w:hAnsi="Arial" w:cs="Arial"/>
          <w:color w:val="000000" w:themeColor="text1"/>
          <w:u w:val="single"/>
          <w:lang w:val="es-ES"/>
        </w:rPr>
        <w:t>Código Procesal Civil y Comercial de la Provincia de Córdoba (CPCCCba)</w:t>
      </w:r>
      <w:r w:rsidR="005E0F50">
        <w:rPr>
          <w:rFonts w:ascii="Arial" w:hAnsi="Arial" w:cs="Arial"/>
          <w:color w:val="000000" w:themeColor="text1"/>
          <w:u w:val="single"/>
          <w:lang w:val="es-ES"/>
        </w:rPr>
        <w:t xml:space="preserve"> </w:t>
      </w:r>
      <w:r w:rsidR="005E0F50" w:rsidRPr="002303A2">
        <w:rPr>
          <w:rFonts w:ascii="Arial" w:hAnsi="Arial" w:cs="Arial"/>
          <w:color w:val="000000" w:themeColor="text1"/>
          <w:u w:val="single"/>
          <w:lang w:val="es-ES"/>
        </w:rPr>
        <w:t>conforme los parámetros para evaluar la publicidad procesal</w:t>
      </w:r>
    </w:p>
    <w:p w14:paraId="5278751F" w14:textId="77777777" w:rsidR="005E0F50" w:rsidRDefault="005E0F50" w:rsidP="00602067">
      <w:pPr>
        <w:spacing w:line="360" w:lineRule="auto"/>
        <w:ind w:firstLine="1134"/>
        <w:jc w:val="both"/>
        <w:rPr>
          <w:rFonts w:ascii="Arial" w:hAnsi="Arial" w:cs="Arial"/>
          <w:color w:val="000000" w:themeColor="text1"/>
          <w:u w:val="single"/>
          <w:lang w:val="es-ES"/>
        </w:rPr>
      </w:pPr>
    </w:p>
    <w:p w14:paraId="74F6C9CA" w14:textId="11265096" w:rsidR="00E666CE" w:rsidRDefault="005E0F50" w:rsidP="00E666CE">
      <w:pPr>
        <w:spacing w:line="360" w:lineRule="auto"/>
        <w:ind w:firstLine="1134"/>
        <w:jc w:val="both"/>
        <w:rPr>
          <w:rFonts w:ascii="Arial" w:hAnsi="Arial" w:cs="Arial"/>
          <w:color w:val="000000" w:themeColor="text1"/>
          <w:lang w:val="es-ES"/>
        </w:rPr>
      </w:pPr>
      <w:r w:rsidRPr="005E0F50">
        <w:rPr>
          <w:rFonts w:ascii="Arial" w:hAnsi="Arial" w:cs="Arial"/>
          <w:color w:val="000000" w:themeColor="text1"/>
          <w:lang w:val="es-ES"/>
        </w:rPr>
        <w:t>El art. 54 establece regla de la publicidad de las audiencias (i), con excepciones limitadas (ix), excluyendo el control (x) de la decisión que establezca la excepción.</w:t>
      </w:r>
    </w:p>
    <w:p w14:paraId="14DB55EC" w14:textId="641547C8" w:rsidR="005E0F50" w:rsidRDefault="005E0F50" w:rsidP="00602067">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lastRenderedPageBreak/>
        <w:t xml:space="preserve">Por su parte el art. </w:t>
      </w:r>
      <w:r w:rsidR="00D91AA5">
        <w:rPr>
          <w:rFonts w:ascii="Arial" w:hAnsi="Arial" w:cs="Arial"/>
          <w:color w:val="000000" w:themeColor="text1"/>
          <w:lang w:val="es-ES"/>
        </w:rPr>
        <w:t>68</w:t>
      </w:r>
      <w:r>
        <w:rPr>
          <w:rFonts w:ascii="Arial" w:hAnsi="Arial" w:cs="Arial"/>
          <w:color w:val="000000" w:themeColor="text1"/>
          <w:lang w:val="es-ES"/>
        </w:rPr>
        <w:t xml:space="preserve"> </w:t>
      </w:r>
      <w:r w:rsidR="00E666CE">
        <w:rPr>
          <w:rFonts w:ascii="Arial" w:hAnsi="Arial" w:cs="Arial"/>
          <w:color w:val="000000" w:themeColor="text1"/>
          <w:lang w:val="es-ES"/>
        </w:rPr>
        <w:t xml:space="preserve">también </w:t>
      </w:r>
      <w:r>
        <w:rPr>
          <w:rFonts w:ascii="Arial" w:hAnsi="Arial" w:cs="Arial"/>
          <w:color w:val="000000" w:themeColor="text1"/>
          <w:lang w:val="es-ES"/>
        </w:rPr>
        <w:t>establece una publicidad</w:t>
      </w:r>
      <w:r w:rsidR="00E666CE">
        <w:rPr>
          <w:rFonts w:ascii="Arial" w:hAnsi="Arial" w:cs="Arial"/>
          <w:color w:val="000000" w:themeColor="text1"/>
          <w:lang w:val="es-ES"/>
        </w:rPr>
        <w:t xml:space="preserve"> como regla (i), pero limitado en su legitimación (vii) con excepciones (xi) establecidas en virtud de seguridad, moralidad, o protección de alguna de las partes </w:t>
      </w:r>
      <w:r w:rsidR="00E666CE" w:rsidRPr="00B21EF2">
        <w:rPr>
          <w:rFonts w:ascii="Arial" w:hAnsi="Arial" w:cs="Arial"/>
          <w:color w:val="000000" w:themeColor="text1"/>
          <w:lang w:val="es-ES"/>
        </w:rPr>
        <w:t>—</w:t>
      </w:r>
      <w:r w:rsidR="00E666CE">
        <w:rPr>
          <w:rFonts w:ascii="Arial" w:hAnsi="Arial" w:cs="Arial"/>
          <w:color w:val="000000" w:themeColor="text1"/>
          <w:lang w:val="es-ES"/>
        </w:rPr>
        <w:t>lo que queda a discrecionalidad del juez</w:t>
      </w:r>
      <w:r w:rsidR="00E666CE" w:rsidRPr="00B21EF2">
        <w:rPr>
          <w:rFonts w:ascii="Arial" w:hAnsi="Arial" w:cs="Arial"/>
          <w:color w:val="000000" w:themeColor="text1"/>
          <w:lang w:val="es-ES"/>
        </w:rPr>
        <w:t>—</w:t>
      </w:r>
      <w:r w:rsidR="00E666CE">
        <w:rPr>
          <w:rFonts w:ascii="Arial" w:hAnsi="Arial" w:cs="Arial"/>
          <w:color w:val="000000" w:themeColor="text1"/>
          <w:lang w:val="es-ES"/>
        </w:rPr>
        <w:t xml:space="preserve"> y que puede controlarse (x) de forma verbal ante el juez, quien deberá resolver de forma fundada.</w:t>
      </w:r>
    </w:p>
    <w:p w14:paraId="309E5BC1" w14:textId="77777777" w:rsidR="00FB6826" w:rsidRDefault="00E666CE" w:rsidP="00FB6826">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cuanto a la legitimación para el acceso, cuya restricción se enunció</w:t>
      </w:r>
      <w:r w:rsidR="001C0960">
        <w:rPr>
          <w:rFonts w:ascii="Arial" w:hAnsi="Arial" w:cs="Arial"/>
          <w:color w:val="000000" w:themeColor="text1"/>
          <w:lang w:val="es-ES"/>
        </w:rPr>
        <w:t xml:space="preserve">, solo podrán acceder al expediente las partes y quien invoque un interés en su exhibición. Evaluar el interés, también es discrecional de la autoridad, lo que atenta contra el sistema, ya que toda persona por ser Ciudadano, tal cual lo desarrollamos, tiene interés en el trámite de la heterocomposición pública, por más que como entiende </w:t>
      </w:r>
      <w:r w:rsidR="001C0960" w:rsidRPr="00FD201B">
        <w:rPr>
          <w:rFonts w:ascii="Arial" w:eastAsia="Calibri" w:hAnsi="Arial" w:cs="Arial"/>
          <w:smallCaps/>
          <w:kern w:val="2"/>
          <w:lang w:val="es-ES" w:eastAsia="en-US"/>
        </w:rPr>
        <w:t>Diaz Villasuso</w:t>
      </w:r>
      <w:r w:rsidR="001C0960">
        <w:rPr>
          <w:rFonts w:ascii="Arial" w:eastAsia="Calibri" w:hAnsi="Arial" w:cs="Arial"/>
          <w:smallCaps/>
          <w:kern w:val="2"/>
          <w:lang w:val="es-ES" w:eastAsia="en-US"/>
        </w:rPr>
        <w:t xml:space="preserve"> </w:t>
      </w:r>
      <w:r w:rsidR="001C0960">
        <w:rPr>
          <w:rFonts w:ascii="Arial" w:hAnsi="Arial" w:cs="Arial"/>
          <w:color w:val="000000" w:themeColor="text1"/>
          <w:lang w:val="es-ES"/>
        </w:rPr>
        <w:t>puedan los profesionales tener mayor interés que otros.</w:t>
      </w:r>
    </w:p>
    <w:p w14:paraId="7D1883FD" w14:textId="201BD73F" w:rsidR="000648CF" w:rsidRPr="00FB6826" w:rsidRDefault="00FB6826" w:rsidP="00FB6826">
      <w:pPr>
        <w:spacing w:line="360" w:lineRule="auto"/>
        <w:ind w:firstLine="1134"/>
        <w:jc w:val="both"/>
        <w:rPr>
          <w:rFonts w:ascii="Arial" w:hAnsi="Arial" w:cs="Arial"/>
          <w:lang w:val="es-ES"/>
        </w:rPr>
      </w:pPr>
      <w:r w:rsidRPr="00FB6826">
        <w:rPr>
          <w:rFonts w:ascii="Arial" w:hAnsi="Arial" w:cs="Arial"/>
          <w:lang w:val="es-ES"/>
        </w:rPr>
        <w:t xml:space="preserve">Sin embargo decía </w:t>
      </w:r>
      <w:r w:rsidRPr="00FB6826">
        <w:rPr>
          <w:rFonts w:ascii="Arial" w:hAnsi="Arial" w:cs="Arial"/>
          <w:smallCaps/>
          <w:lang w:val="es-ES"/>
        </w:rPr>
        <w:t>Venica</w:t>
      </w:r>
      <w:r w:rsidRPr="00FB6826">
        <w:rPr>
          <w:rFonts w:ascii="Arial" w:hAnsi="Arial" w:cs="Arial"/>
          <w:lang w:val="es-ES"/>
        </w:rPr>
        <w:t xml:space="preserve"> que “</w:t>
      </w:r>
      <w:r w:rsidRPr="00FB6826">
        <w:rPr>
          <w:rFonts w:ascii="Arial" w:hAnsi="Arial" w:cs="Arial"/>
          <w:i/>
          <w:iCs/>
          <w:lang w:val="es-ES"/>
        </w:rPr>
        <w:t>En los hechos el carácter público de las audiencias es nulo</w:t>
      </w:r>
      <w:r w:rsidRPr="00FB6826">
        <w:rPr>
          <w:rFonts w:ascii="Arial" w:hAnsi="Arial" w:cs="Arial"/>
          <w:lang w:val="es-ES"/>
        </w:rPr>
        <w:t>”</w:t>
      </w:r>
      <w:r w:rsidRPr="00FB6826">
        <w:rPr>
          <w:rStyle w:val="Refdenotaalpie"/>
          <w:rFonts w:ascii="Arial" w:hAnsi="Arial"/>
          <w:lang w:val="es-ES"/>
        </w:rPr>
        <w:footnoteReference w:id="44"/>
      </w:r>
      <w:r w:rsidRPr="00FB6826">
        <w:rPr>
          <w:rFonts w:ascii="Arial" w:hAnsi="Arial" w:cs="Arial"/>
          <w:lang w:val="es-ES"/>
        </w:rPr>
        <w:t xml:space="preserve">. En el mismo sentido </w:t>
      </w:r>
      <w:r w:rsidRPr="00FB6826">
        <w:rPr>
          <w:rFonts w:ascii="Arial" w:hAnsi="Arial" w:cs="Arial"/>
          <w:smallCaps/>
          <w:lang w:val="es-ES"/>
        </w:rPr>
        <w:t>Diaz Villasuso</w:t>
      </w:r>
      <w:r w:rsidRPr="00FB6826">
        <w:rPr>
          <w:rFonts w:ascii="Arial" w:hAnsi="Arial" w:cs="Arial"/>
          <w:lang w:val="es-ES"/>
        </w:rPr>
        <w:t xml:space="preserve"> “</w:t>
      </w:r>
      <w:r w:rsidRPr="00FB6826">
        <w:rPr>
          <w:rFonts w:ascii="Arial" w:hAnsi="Arial" w:cs="Arial"/>
          <w:i/>
          <w:iCs/>
          <w:lang w:val="es-ES"/>
        </w:rPr>
        <w:t>Dadas las limitaciones físicas que de ordinario aquejan al foro, rara vez asisten a la audiencia personas ajenas a la litis.</w:t>
      </w:r>
      <w:r w:rsidRPr="00FB6826">
        <w:rPr>
          <w:rFonts w:ascii="Arial" w:hAnsi="Arial" w:cs="Arial"/>
          <w:lang w:val="es-ES"/>
        </w:rPr>
        <w:t>”</w:t>
      </w:r>
      <w:r w:rsidRPr="00FB6826">
        <w:rPr>
          <w:rStyle w:val="Refdenotaalpie"/>
          <w:rFonts w:ascii="Arial" w:hAnsi="Arial"/>
          <w:lang w:val="es-ES"/>
        </w:rPr>
        <w:footnoteReference w:id="45"/>
      </w:r>
    </w:p>
    <w:p w14:paraId="4A9C0864" w14:textId="4A70E6C1" w:rsidR="008F05C4" w:rsidRPr="0039684F" w:rsidRDefault="008F05C4" w:rsidP="008F05C4">
      <w:pPr>
        <w:spacing w:line="360" w:lineRule="auto"/>
        <w:ind w:firstLine="1134"/>
        <w:jc w:val="both"/>
        <w:rPr>
          <w:rFonts w:ascii="Arial" w:hAnsi="Arial" w:cs="Arial"/>
          <w:color w:val="000000" w:themeColor="text1"/>
          <w:u w:val="single"/>
          <w:lang w:val="es-ES"/>
        </w:rPr>
      </w:pPr>
      <w:r w:rsidRPr="001C0960">
        <w:rPr>
          <w:rFonts w:ascii="Arial" w:hAnsi="Arial" w:cs="Arial"/>
          <w:color w:val="000000" w:themeColor="text1"/>
          <w:u w:val="single"/>
          <w:lang w:val="es-ES"/>
        </w:rPr>
        <w:t>5.4.</w:t>
      </w:r>
      <w:r w:rsidR="001C0960" w:rsidRPr="001C0960">
        <w:rPr>
          <w:rFonts w:ascii="Arial" w:hAnsi="Arial" w:cs="Arial"/>
          <w:color w:val="000000" w:themeColor="text1"/>
          <w:u w:val="single"/>
          <w:lang w:val="es-ES"/>
        </w:rPr>
        <w:t>c.1.-</w:t>
      </w:r>
      <w:r w:rsidRPr="001C0960">
        <w:rPr>
          <w:rFonts w:ascii="Arial" w:hAnsi="Arial" w:cs="Arial"/>
          <w:color w:val="000000" w:themeColor="text1"/>
          <w:u w:val="single"/>
          <w:lang w:val="es-ES"/>
        </w:rPr>
        <w:t xml:space="preserve"> El Código Procesal</w:t>
      </w:r>
      <w:r>
        <w:rPr>
          <w:rFonts w:ascii="Arial" w:hAnsi="Arial" w:cs="Arial"/>
          <w:color w:val="000000" w:themeColor="text1"/>
          <w:u w:val="single"/>
          <w:lang w:val="es-ES"/>
        </w:rPr>
        <w:t xml:space="preserve"> Penal de la Provincia de Córdoba </w:t>
      </w:r>
    </w:p>
    <w:p w14:paraId="2B358136" w14:textId="17125147" w:rsidR="0068559F" w:rsidRDefault="0068559F" w:rsidP="0068559F">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su redacción originaria, el Código Procesal Penal estipulaba</w:t>
      </w:r>
      <w:r w:rsidR="001C0960">
        <w:rPr>
          <w:rFonts w:ascii="Arial" w:hAnsi="Arial" w:cs="Arial"/>
          <w:color w:val="000000" w:themeColor="text1"/>
          <w:lang w:val="es-ES"/>
        </w:rPr>
        <w:t xml:space="preserve"> en su art. 312</w:t>
      </w:r>
      <w:r>
        <w:rPr>
          <w:rFonts w:ascii="Arial" w:hAnsi="Arial" w:cs="Arial"/>
          <w:color w:val="000000" w:themeColor="text1"/>
          <w:lang w:val="es-ES"/>
        </w:rPr>
        <w:t xml:space="preserve"> “</w:t>
      </w:r>
      <w:r w:rsidRPr="0068559F">
        <w:rPr>
          <w:rFonts w:ascii="Arial" w:hAnsi="Arial" w:cs="Arial"/>
          <w:i/>
          <w:iCs/>
          <w:color w:val="000000" w:themeColor="text1"/>
          <w:lang w:val="es-ES"/>
        </w:rPr>
        <w:t>El sumario podrá ser examinado por las partes y sus defensores después de la declaración del imputado; pero se podrá ordenar el secreto, por resolución fundada, siempre que la publicidad ponga en peligro el descubrimiento de la verdad, con excepción de las actuaciones referentes a los actos mencionados en el artículo 308.La reserva no podrá durar más de diez días y será decretada sólo una vez, salvo que la gravedad del hecho o la dificultad de su investigación exijan que aquélla sea prolongada hasta por otro tanto. En este caso, el Fiscal deberá solicitar autorización al Juez de Instrucción, y éste, cuando corresponda investigación jurisdiccional, a la Cámara de Acusación.</w:t>
      </w:r>
      <w:r w:rsidR="00D665AA">
        <w:rPr>
          <w:rFonts w:ascii="Arial" w:hAnsi="Arial" w:cs="Arial"/>
          <w:i/>
          <w:iCs/>
          <w:color w:val="000000" w:themeColor="text1"/>
          <w:lang w:val="es-ES"/>
        </w:rPr>
        <w:t xml:space="preserve"> </w:t>
      </w:r>
      <w:r w:rsidRPr="0068559F">
        <w:rPr>
          <w:rFonts w:ascii="Arial" w:hAnsi="Arial" w:cs="Arial"/>
          <w:i/>
          <w:iCs/>
          <w:color w:val="000000" w:themeColor="text1"/>
          <w:lang w:val="es-ES"/>
        </w:rPr>
        <w:t>El sumario será siempre secreto para los extraños, con excepción de los abogados que tengan algún interés legítimo. Las partes, sus defensores y los sujetos mencionados en el párrafo anterior, estarán obligados a guardar secreto sobre los actos y constancias de la investigación</w:t>
      </w:r>
      <w:r w:rsidRPr="0068559F">
        <w:rPr>
          <w:rFonts w:ascii="Arial" w:hAnsi="Arial" w:cs="Arial"/>
          <w:color w:val="000000" w:themeColor="text1"/>
          <w:lang w:val="es-ES"/>
        </w:rPr>
        <w:t>.</w:t>
      </w:r>
      <w:r>
        <w:rPr>
          <w:rFonts w:ascii="Arial" w:hAnsi="Arial" w:cs="Arial"/>
          <w:color w:val="000000" w:themeColor="text1"/>
          <w:lang w:val="es-ES"/>
        </w:rPr>
        <w:t xml:space="preserve">”. </w:t>
      </w:r>
    </w:p>
    <w:p w14:paraId="4D737AC4" w14:textId="290F12C0" w:rsidR="00465447" w:rsidRPr="00465447" w:rsidRDefault="00465447" w:rsidP="00465447">
      <w:pPr>
        <w:spacing w:line="360" w:lineRule="auto"/>
        <w:ind w:firstLine="1134"/>
        <w:jc w:val="both"/>
        <w:rPr>
          <w:rFonts w:ascii="Arial" w:hAnsi="Arial" w:cs="Arial"/>
          <w:color w:val="000000" w:themeColor="text1"/>
        </w:rPr>
      </w:pPr>
      <w:r w:rsidRPr="00465447">
        <w:rPr>
          <w:rFonts w:ascii="Arial" w:hAnsi="Arial" w:cs="Arial"/>
          <w:color w:val="000000" w:themeColor="text1"/>
        </w:rPr>
        <w:t xml:space="preserve">Según </w:t>
      </w:r>
      <w:r w:rsidRPr="00465447">
        <w:rPr>
          <w:rFonts w:ascii="Arial" w:eastAsia="Calibri" w:hAnsi="Arial" w:cs="Arial"/>
          <w:smallCaps/>
          <w:kern w:val="2"/>
          <w:lang w:val="es-ES" w:eastAsia="en-US"/>
        </w:rPr>
        <w:t>Cafferata Nores</w:t>
      </w:r>
      <w:r w:rsidRPr="00465447">
        <w:rPr>
          <w:rStyle w:val="Refdenotaalpie"/>
          <w:rFonts w:ascii="Arial" w:hAnsi="Arial"/>
          <w:i/>
          <w:iCs/>
          <w:color w:val="000000" w:themeColor="text1"/>
          <w:lang w:val="es-ES"/>
        </w:rPr>
        <w:footnoteReference w:id="46"/>
      </w:r>
      <w:r w:rsidRPr="00465447">
        <w:rPr>
          <w:rFonts w:ascii="Arial" w:eastAsia="Calibri" w:hAnsi="Arial" w:cs="Arial"/>
          <w:smallCaps/>
          <w:kern w:val="2"/>
          <w:lang w:val="es-ES" w:eastAsia="en-US"/>
        </w:rPr>
        <w:t>,</w:t>
      </w:r>
      <w:r>
        <w:rPr>
          <w:rFonts w:ascii="Arial" w:eastAsia="Calibri" w:hAnsi="Arial" w:cs="Arial"/>
          <w:smallCaps/>
          <w:kern w:val="2"/>
          <w:sz w:val="20"/>
          <w:szCs w:val="20"/>
          <w:lang w:val="es-ES" w:eastAsia="en-US"/>
        </w:rPr>
        <w:t xml:space="preserve"> </w:t>
      </w:r>
      <w:r w:rsidRPr="00465447">
        <w:rPr>
          <w:rFonts w:ascii="Arial" w:hAnsi="Arial" w:cs="Arial"/>
          <w:color w:val="000000" w:themeColor="text1"/>
        </w:rPr>
        <w:t xml:space="preserve"> a diferencia del debate —cuyo rasgo esencial es la publicidad— la investigación preparatoria se rige por la reserva frente a terceros ajenos al </w:t>
      </w:r>
      <w:r w:rsidRPr="00465447">
        <w:rPr>
          <w:rFonts w:ascii="Arial" w:hAnsi="Arial" w:cs="Arial"/>
          <w:color w:val="000000" w:themeColor="text1"/>
        </w:rPr>
        <w:lastRenderedPageBreak/>
        <w:t>proceso (publicidad externa) y por una publicidad cada vez menos restringida respecto de las partes (publicidad interna). Para el autor, el público no debe conocer el desarrollo de esa etapa porque es secreta para los extraños: ello asegura el éxito de las diligencias probatorias —que podrían frustrarse si se difunden, especialmente de manera anticipada— y protege la reputación del imputado, evitando que simples sospechas dañen su estima social. Quien accede a las actuaciones, agrega, asume el deber correlativo de guardar secreto.</w:t>
      </w:r>
    </w:p>
    <w:p w14:paraId="287A67B5" w14:textId="321D263A" w:rsidR="00465447" w:rsidRPr="00465447" w:rsidRDefault="00465447" w:rsidP="00465447">
      <w:pPr>
        <w:spacing w:line="360" w:lineRule="auto"/>
        <w:ind w:firstLine="1134"/>
        <w:jc w:val="both"/>
        <w:rPr>
          <w:rFonts w:ascii="Arial" w:hAnsi="Arial" w:cs="Arial"/>
          <w:color w:val="000000" w:themeColor="text1"/>
        </w:rPr>
      </w:pPr>
      <w:r w:rsidRPr="00465447">
        <w:rPr>
          <w:rFonts w:ascii="Arial" w:hAnsi="Arial" w:cs="Arial"/>
          <w:color w:val="000000" w:themeColor="text1"/>
        </w:rPr>
        <w:t>El procesalista advierte que la “explosión comunicacional” ha erosionado indebidamente esa barrera mediante trascendidos y hasta con datos provistos desde despachos judiciales, policiales o de la defensa. Por eso insiste en distinguir la cobertura periodística del hecho y sus hitos procesales de la divulgación —oficial o no— del contenido del expediente: la restricción recae sobre esto último. Como excepción, contempla el acceso de abogados con interés legítimo —propio o de terceros, como eventual actor o demandado civil, querellante, aseguradora, etc.—, incluidos quienes actúan bajo la Ley de Asistencia Jurídica Gratuita.</w:t>
      </w:r>
      <w:r>
        <w:rPr>
          <w:rFonts w:ascii="Arial" w:hAnsi="Arial" w:cs="Arial"/>
          <w:color w:val="000000" w:themeColor="text1"/>
        </w:rPr>
        <w:t xml:space="preserve"> </w:t>
      </w:r>
      <w:r w:rsidRPr="00465447">
        <w:rPr>
          <w:rFonts w:ascii="Arial" w:hAnsi="Arial" w:cs="Arial"/>
          <w:color w:val="000000" w:themeColor="text1"/>
        </w:rPr>
        <w:t>Para las partes y sus defensas rige, en cambio, la publicidad interna como regla y las limitaciones son de excepción. El imputado, el querellante y los letrados pueden examinar las actuaciones una vez que aquel haya declarado o decidido no hacerlo. La veda previa —incluso para el propio imputado— se explica como un rezago del viejo modelo secretista, atenuado con mayores exigencias informativas al intimar, aunque eso no equivalga al acceso pleno. Si la investigación queda en manos del juez (art. 339), el Ministerio Público —precisa el autor— cuenta con prerrogativas más amplias: puede revisar las actuaciones “en cualquier momento” (art. 343) y no puede ser excluido de acto alguno.</w:t>
      </w:r>
    </w:p>
    <w:p w14:paraId="7AE95CB9" w14:textId="3D8D1162" w:rsidR="00465447" w:rsidRPr="00465447" w:rsidRDefault="00465447" w:rsidP="00465447">
      <w:pPr>
        <w:spacing w:line="360" w:lineRule="auto"/>
        <w:ind w:firstLine="1134"/>
        <w:jc w:val="both"/>
        <w:rPr>
          <w:rFonts w:ascii="Arial" w:hAnsi="Arial" w:cs="Arial"/>
          <w:color w:val="000000" w:themeColor="text1"/>
        </w:rPr>
      </w:pPr>
      <w:r w:rsidRPr="00465447">
        <w:rPr>
          <w:rFonts w:ascii="Arial" w:hAnsi="Arial" w:cs="Arial"/>
          <w:color w:val="000000" w:themeColor="text1"/>
        </w:rPr>
        <w:t xml:space="preserve">En suma, </w:t>
      </w:r>
      <w:r>
        <w:rPr>
          <w:rFonts w:ascii="Arial" w:hAnsi="Arial" w:cs="Arial"/>
          <w:color w:val="000000" w:themeColor="text1"/>
        </w:rPr>
        <w:t>c</w:t>
      </w:r>
      <w:r w:rsidRPr="00465447">
        <w:rPr>
          <w:rFonts w:ascii="Arial" w:hAnsi="Arial" w:cs="Arial"/>
          <w:color w:val="000000" w:themeColor="text1"/>
        </w:rPr>
        <w:t>oncluye que la investigación preparatoria es “limitadamente pública” para imputado, partes y defensores. Cabe además imponer secreto tras la declaración cuando el acceso al sumario ponga en riesgo real y objetivo una medida de investigación; no se presume, exige resolución fundada y tiene un plazo perentorio: vencido, cesa la restricción para las partes.</w:t>
      </w:r>
    </w:p>
    <w:p w14:paraId="183061F9" w14:textId="02BD5F56" w:rsidR="005D695D" w:rsidRDefault="00465447" w:rsidP="005D695D">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Por su parte, la</w:t>
      </w:r>
      <w:r w:rsidR="005D695D">
        <w:rPr>
          <w:rFonts w:ascii="Arial" w:hAnsi="Arial" w:cs="Arial"/>
          <w:color w:val="000000" w:themeColor="text1"/>
          <w:lang w:val="es-ES"/>
        </w:rPr>
        <w:t xml:space="preserve"> ley 10.457 modificó este artículo, otorgándole una mayor publicidad, quedando redactado su primer párrafo, de la siguiente forma </w:t>
      </w:r>
      <w:r w:rsidR="005D695D" w:rsidRPr="005D695D">
        <w:rPr>
          <w:rFonts w:ascii="Arial" w:hAnsi="Arial" w:cs="Arial"/>
          <w:i/>
          <w:iCs/>
          <w:color w:val="000000" w:themeColor="text1"/>
          <w:lang w:val="es-ES"/>
        </w:rPr>
        <w:t>“El sumario podrá ser examinado por las partes y sus defensores a partir de la declaración del imputado o aun antes, si así lo autoriza el Fiscal de Instrucción o el Juez de Control a cargo de la investigación.”</w:t>
      </w:r>
      <w:r w:rsidR="005D695D">
        <w:rPr>
          <w:rFonts w:ascii="Arial" w:hAnsi="Arial" w:cs="Arial"/>
          <w:color w:val="000000" w:themeColor="text1"/>
          <w:lang w:val="es-ES"/>
        </w:rPr>
        <w:t>.</w:t>
      </w:r>
    </w:p>
    <w:p w14:paraId="7D27A20F" w14:textId="671D5A7C" w:rsidR="001C0960" w:rsidRDefault="005D695D" w:rsidP="00FB6826">
      <w:pPr>
        <w:spacing w:line="360" w:lineRule="auto"/>
        <w:ind w:firstLine="1134"/>
        <w:jc w:val="both"/>
        <w:rPr>
          <w:rFonts w:ascii="Arial" w:hAnsi="Arial" w:cs="Arial"/>
          <w:color w:val="000000" w:themeColor="text1"/>
          <w:lang w:val="es-ES"/>
        </w:rPr>
      </w:pPr>
      <w:r w:rsidRPr="005D695D">
        <w:rPr>
          <w:rFonts w:ascii="Arial" w:hAnsi="Arial" w:cs="Arial"/>
          <w:color w:val="000000" w:themeColor="text1"/>
          <w:lang w:val="es-ES"/>
        </w:rPr>
        <w:t xml:space="preserve">La reforma introduce una novedad relevante: otorga al fiscal de instrucción la potestad de permitir el acceso al sumario antes de que el imputado preste declaración. En </w:t>
      </w:r>
      <w:r w:rsidRPr="005D695D">
        <w:rPr>
          <w:rFonts w:ascii="Arial" w:hAnsi="Arial" w:cs="Arial"/>
          <w:color w:val="000000" w:themeColor="text1"/>
          <w:lang w:val="es-ES"/>
        </w:rPr>
        <w:lastRenderedPageBreak/>
        <w:t>otras palabras, se reconoce como una atribución propia del fiscal autorizar dicho examen anticipado.</w:t>
      </w:r>
      <w:r>
        <w:rPr>
          <w:rFonts w:ascii="Arial" w:hAnsi="Arial" w:cs="Arial"/>
          <w:color w:val="000000" w:themeColor="text1"/>
          <w:lang w:val="es-ES"/>
        </w:rPr>
        <w:t xml:space="preserve"> </w:t>
      </w:r>
    </w:p>
    <w:p w14:paraId="5071FC81" w14:textId="59935E55" w:rsidR="001C0960" w:rsidRDefault="001C0960" w:rsidP="001C0960">
      <w:pPr>
        <w:spacing w:line="360" w:lineRule="auto"/>
        <w:ind w:firstLine="1134"/>
        <w:jc w:val="both"/>
        <w:rPr>
          <w:rFonts w:ascii="Arial" w:hAnsi="Arial" w:cs="Arial"/>
          <w:color w:val="000000" w:themeColor="text1"/>
          <w:u w:val="single"/>
          <w:lang w:val="es-ES"/>
        </w:rPr>
      </w:pPr>
      <w:r w:rsidRPr="001C0960">
        <w:rPr>
          <w:rFonts w:ascii="Arial" w:hAnsi="Arial" w:cs="Arial"/>
          <w:color w:val="000000" w:themeColor="text1"/>
          <w:u w:val="single"/>
          <w:lang w:val="es-ES"/>
        </w:rPr>
        <w:t>5.4.c.</w:t>
      </w:r>
      <w:r>
        <w:rPr>
          <w:rFonts w:ascii="Arial" w:hAnsi="Arial" w:cs="Arial"/>
          <w:color w:val="000000" w:themeColor="text1"/>
          <w:u w:val="single"/>
          <w:lang w:val="es-ES"/>
        </w:rPr>
        <w:t>2</w:t>
      </w:r>
      <w:r w:rsidRPr="001C0960">
        <w:rPr>
          <w:rFonts w:ascii="Arial" w:hAnsi="Arial" w:cs="Arial"/>
          <w:color w:val="000000" w:themeColor="text1"/>
          <w:u w:val="single"/>
          <w:lang w:val="es-ES"/>
        </w:rPr>
        <w:t>.- El Código Procesal</w:t>
      </w:r>
      <w:r>
        <w:rPr>
          <w:rFonts w:ascii="Arial" w:hAnsi="Arial" w:cs="Arial"/>
          <w:color w:val="000000" w:themeColor="text1"/>
          <w:u w:val="single"/>
          <w:lang w:val="es-ES"/>
        </w:rPr>
        <w:t xml:space="preserve"> Penal de la Provincia de Córdoba </w:t>
      </w:r>
      <w:r w:rsidRPr="002303A2">
        <w:rPr>
          <w:rFonts w:ascii="Arial" w:hAnsi="Arial" w:cs="Arial"/>
          <w:color w:val="000000" w:themeColor="text1"/>
          <w:u w:val="single"/>
          <w:lang w:val="es-ES"/>
        </w:rPr>
        <w:t>conforme los parámetros para evaluar la publicidad procesal</w:t>
      </w:r>
    </w:p>
    <w:p w14:paraId="03C145C9" w14:textId="77777777" w:rsidR="001C0960" w:rsidRDefault="001C0960" w:rsidP="001C0960">
      <w:pPr>
        <w:spacing w:line="360" w:lineRule="auto"/>
        <w:ind w:firstLine="1134"/>
        <w:jc w:val="both"/>
        <w:rPr>
          <w:rFonts w:ascii="Arial" w:hAnsi="Arial" w:cs="Arial"/>
          <w:color w:val="000000" w:themeColor="text1"/>
          <w:u w:val="single"/>
          <w:lang w:val="es-ES"/>
        </w:rPr>
      </w:pPr>
    </w:p>
    <w:p w14:paraId="7FAC8E91" w14:textId="76ACC22C" w:rsidR="001C0960" w:rsidRDefault="001C0960" w:rsidP="001C0960">
      <w:pPr>
        <w:spacing w:line="360" w:lineRule="auto"/>
        <w:ind w:firstLine="1134"/>
        <w:jc w:val="both"/>
        <w:rPr>
          <w:rFonts w:ascii="Arial" w:hAnsi="Arial" w:cs="Arial"/>
          <w:color w:val="000000" w:themeColor="text1"/>
          <w:lang w:val="es-ES"/>
        </w:rPr>
      </w:pPr>
      <w:r w:rsidRPr="001C0960">
        <w:rPr>
          <w:rFonts w:ascii="Arial" w:hAnsi="Arial" w:cs="Arial"/>
          <w:color w:val="000000" w:themeColor="text1"/>
          <w:lang w:val="es-ES"/>
        </w:rPr>
        <w:t>Nos remitimos al análisis realizado en oportunidad del Código Procesal Penal de la Nación, cuyas soluciones son análogas, más allá de los estilos de redacción</w:t>
      </w:r>
      <w:r>
        <w:rPr>
          <w:rFonts w:ascii="Arial" w:hAnsi="Arial" w:cs="Arial"/>
          <w:color w:val="000000" w:themeColor="text1"/>
          <w:lang w:val="es-ES"/>
        </w:rPr>
        <w:t>, con las diferencias que aquí se enuncian.</w:t>
      </w:r>
    </w:p>
    <w:p w14:paraId="2D645B52" w14:textId="72D089E4" w:rsidR="008F05C4" w:rsidRDefault="001C0960" w:rsidP="00FB6826">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primer lugar, la norma no da el derecho al pretenso defensor del imputado de revisar el sumario antes de aceptar o rechazar la designación.</w:t>
      </w:r>
      <w:r w:rsidR="00A113ED">
        <w:rPr>
          <w:rFonts w:ascii="Arial" w:hAnsi="Arial" w:cs="Arial"/>
          <w:color w:val="000000" w:themeColor="text1"/>
          <w:lang w:val="es-ES"/>
        </w:rPr>
        <w:t xml:space="preserve"> En segundo lugar establece la obligación de quienes acceden al sumario de guardar secreto, pero sin sanción consecuente ante su incumplimiento</w:t>
      </w:r>
      <w:r w:rsidR="00FB6826">
        <w:rPr>
          <w:rFonts w:ascii="Arial" w:hAnsi="Arial" w:cs="Arial"/>
          <w:color w:val="000000" w:themeColor="text1"/>
          <w:lang w:val="es-ES"/>
        </w:rPr>
        <w:t>.</w:t>
      </w:r>
    </w:p>
    <w:p w14:paraId="77C93E07" w14:textId="4546E012" w:rsidR="00CC5A57" w:rsidRPr="00FB6826" w:rsidRDefault="00CC5A57" w:rsidP="00FB6826">
      <w:pPr>
        <w:spacing w:line="360" w:lineRule="auto"/>
        <w:ind w:firstLine="1134"/>
        <w:jc w:val="both"/>
        <w:rPr>
          <w:rFonts w:ascii="Arial" w:hAnsi="Arial" w:cs="Arial"/>
          <w:color w:val="000000" w:themeColor="text1"/>
          <w:u w:val="single"/>
          <w:lang w:val="es-ES"/>
        </w:rPr>
      </w:pPr>
      <w:r w:rsidRPr="00A113ED">
        <w:rPr>
          <w:rFonts w:ascii="Arial" w:hAnsi="Arial" w:cs="Arial"/>
          <w:color w:val="000000" w:themeColor="text1"/>
          <w:u w:val="single"/>
          <w:lang w:val="es-ES"/>
        </w:rPr>
        <w:t>5.4.</w:t>
      </w:r>
      <w:r w:rsidR="00A113ED" w:rsidRPr="00A113ED">
        <w:rPr>
          <w:rFonts w:ascii="Arial" w:hAnsi="Arial" w:cs="Arial"/>
          <w:color w:val="000000" w:themeColor="text1"/>
          <w:u w:val="single"/>
          <w:lang w:val="es-ES"/>
        </w:rPr>
        <w:t>d,1.-</w:t>
      </w:r>
      <w:r w:rsidRPr="00A113ED">
        <w:rPr>
          <w:rFonts w:ascii="Arial" w:hAnsi="Arial" w:cs="Arial"/>
          <w:color w:val="000000" w:themeColor="text1"/>
          <w:u w:val="single"/>
          <w:lang w:val="es-ES"/>
        </w:rPr>
        <w:t xml:space="preserve"> El Acuerdo reglamentario Nro. 1582 Serie “A” de fecha 21.02.2019: “Reglamento General del Expediente Judicial Electrónico”</w:t>
      </w:r>
      <w:r>
        <w:rPr>
          <w:rFonts w:ascii="Arial" w:hAnsi="Arial" w:cs="Arial"/>
          <w:color w:val="000000" w:themeColor="text1"/>
          <w:u w:val="single"/>
          <w:lang w:val="es-ES"/>
        </w:rPr>
        <w:t xml:space="preserve"> </w:t>
      </w:r>
    </w:p>
    <w:p w14:paraId="63472400" w14:textId="5AC46D62" w:rsidR="00CC5A57" w:rsidRDefault="002117D8" w:rsidP="002117D8">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 xml:space="preserve">El art. 5 del </w:t>
      </w:r>
      <w:r w:rsidRPr="00602067">
        <w:rPr>
          <w:rFonts w:ascii="Arial" w:hAnsi="Arial" w:cs="Arial"/>
          <w:color w:val="000000" w:themeColor="text1"/>
          <w:lang w:val="es-ES"/>
        </w:rPr>
        <w:t>Reglamento General del Expediente Judicial Electrónico</w:t>
      </w:r>
      <w:r>
        <w:rPr>
          <w:rFonts w:ascii="Arial" w:hAnsi="Arial" w:cs="Arial"/>
          <w:color w:val="000000" w:themeColor="text1"/>
          <w:u w:val="single"/>
          <w:lang w:val="es-ES"/>
        </w:rPr>
        <w:t xml:space="preserve"> </w:t>
      </w:r>
      <w:r w:rsidRPr="00B21EF2">
        <w:rPr>
          <w:rFonts w:ascii="Arial" w:hAnsi="Arial" w:cs="Arial"/>
          <w:color w:val="000000" w:themeColor="text1"/>
          <w:lang w:val="es-ES"/>
        </w:rPr>
        <w:t>—</w:t>
      </w:r>
      <w:r w:rsidRPr="002117D8">
        <w:rPr>
          <w:rFonts w:ascii="Arial" w:hAnsi="Arial" w:cs="Arial"/>
          <w:color w:val="000000" w:themeColor="text1"/>
          <w:lang w:val="es-ES"/>
        </w:rPr>
        <w:t>Legislado</w:t>
      </w:r>
      <w:r>
        <w:rPr>
          <w:rFonts w:ascii="Arial" w:hAnsi="Arial" w:cs="Arial"/>
          <w:color w:val="000000" w:themeColor="text1"/>
          <w:lang w:val="es-ES"/>
        </w:rPr>
        <w:t xml:space="preserve"> por el Superior Tribunal</w:t>
      </w:r>
      <w:r w:rsidRPr="00B21EF2">
        <w:rPr>
          <w:rFonts w:ascii="Arial" w:hAnsi="Arial" w:cs="Arial"/>
          <w:color w:val="000000" w:themeColor="text1"/>
          <w:lang w:val="es-ES"/>
        </w:rPr>
        <w:t>—</w:t>
      </w:r>
      <w:r>
        <w:rPr>
          <w:rFonts w:ascii="Arial" w:hAnsi="Arial" w:cs="Arial"/>
          <w:color w:val="000000" w:themeColor="text1"/>
          <w:lang w:val="es-ES"/>
        </w:rPr>
        <w:t>, establece los supuestos de visibilidad de las causas por los letrados, auxiliares de justicia y usuarios habilitados:</w:t>
      </w:r>
      <w:r w:rsidRPr="002117D8">
        <w:rPr>
          <w:rFonts w:ascii="Arial" w:hAnsi="Arial" w:cs="Arial"/>
          <w:i/>
          <w:iCs/>
          <w:color w:val="000000" w:themeColor="text1"/>
          <w:lang w:val="es-ES"/>
        </w:rPr>
        <w:t xml:space="preserve"> “Los letrados, auxiliares de justicia y demás usuarios habilitados, podrán acceder y visualizar las causas a las que hubiera resultado vinculado por registración en el sistema informático. Esta vinculación, realizada por parte del órgano judicial interviniente, comprende la posibilidad de acceder a la radiografía del expediente y al texto de las actuaciones, resoluciones y presentaciones, en la medida en que por la naturaleza del proceso y/o etapa procesal y/o estado de las actuaciones, no resulten secretas para las partes o no hubiera sido dispuesta su confidencialidad. En los casos en los cuales no sea posible la visualización completa del expediente, el usuario habilitado podrá conocer su radicación, estado y ubicación. Cuando el usuario habilitado no pueda acceder al expediente judicial electrónico en razón de no haber sido correctamente registrado y vinculado, deberá solicitar al organismo judicial subsane dicha situación y podrá requerir constancia de tal circunstancia”</w:t>
      </w:r>
      <w:r>
        <w:rPr>
          <w:rFonts w:ascii="Arial" w:hAnsi="Arial" w:cs="Arial"/>
          <w:color w:val="000000" w:themeColor="text1"/>
          <w:lang w:val="es-ES"/>
        </w:rPr>
        <w:t>.</w:t>
      </w:r>
    </w:p>
    <w:p w14:paraId="1EB03F1C" w14:textId="0CE6316E" w:rsidR="002117D8" w:rsidRDefault="002117D8" w:rsidP="002117D8">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Por su parte, el art. 6 dispone la consulta pública del expediente “</w:t>
      </w:r>
      <w:r w:rsidRPr="002117D8">
        <w:rPr>
          <w:rFonts w:ascii="Arial" w:hAnsi="Arial" w:cs="Arial"/>
          <w:i/>
          <w:iCs/>
          <w:color w:val="000000" w:themeColor="text1"/>
          <w:lang w:val="es-ES"/>
        </w:rPr>
        <w:t>La consulta respecto de la radicación de la causa, su estado y ubicación, estará disponible para cualquier persona y podrá realizarse sin necesidad de registración alguna, a través del número del expediente asignado por el sistema, sin perjuicio de las habilitaciones que se dispongan por fueros. Los límites en la visibilidad de la información estarán dados por la naturaleza y estado de cada proceso, según las normas procesales vigentes</w:t>
      </w:r>
      <w:r w:rsidRPr="002117D8">
        <w:rPr>
          <w:rFonts w:ascii="Arial" w:hAnsi="Arial" w:cs="Arial"/>
          <w:color w:val="000000" w:themeColor="text1"/>
          <w:lang w:val="es-ES"/>
        </w:rPr>
        <w:t>.</w:t>
      </w:r>
      <w:r>
        <w:rPr>
          <w:rFonts w:ascii="Arial" w:hAnsi="Arial" w:cs="Arial"/>
          <w:color w:val="000000" w:themeColor="text1"/>
          <w:lang w:val="es-ES"/>
        </w:rPr>
        <w:t>”</w:t>
      </w:r>
    </w:p>
    <w:p w14:paraId="0721D4BA" w14:textId="77777777" w:rsidR="00A113ED" w:rsidRDefault="00A113ED" w:rsidP="002117D8">
      <w:pPr>
        <w:spacing w:line="360" w:lineRule="auto"/>
        <w:ind w:firstLine="1134"/>
        <w:jc w:val="both"/>
        <w:rPr>
          <w:rFonts w:ascii="Arial" w:hAnsi="Arial" w:cs="Arial"/>
          <w:color w:val="000000" w:themeColor="text1"/>
          <w:lang w:val="es-ES"/>
        </w:rPr>
      </w:pPr>
    </w:p>
    <w:p w14:paraId="75B30A8D" w14:textId="0481A58E" w:rsidR="00A113ED" w:rsidRDefault="00A113ED" w:rsidP="00A113ED">
      <w:pPr>
        <w:spacing w:line="360" w:lineRule="auto"/>
        <w:ind w:firstLine="1134"/>
        <w:jc w:val="both"/>
        <w:rPr>
          <w:rFonts w:ascii="Arial" w:hAnsi="Arial" w:cs="Arial"/>
          <w:color w:val="000000" w:themeColor="text1"/>
          <w:u w:val="single"/>
          <w:lang w:val="es-ES"/>
        </w:rPr>
      </w:pPr>
      <w:r w:rsidRPr="00A113ED">
        <w:rPr>
          <w:rFonts w:ascii="Arial" w:hAnsi="Arial" w:cs="Arial"/>
          <w:color w:val="000000" w:themeColor="text1"/>
          <w:u w:val="single"/>
          <w:lang w:val="es-ES"/>
        </w:rPr>
        <w:t>5.4.d,1.- El Acuerdo reglamentario Nro. 1582 Serie “A” de fecha 21.02.2019: “Reglamento General del Expediente Judicial Electrónico” conforme los parámetros para evaluar la publicidad procesal</w:t>
      </w:r>
    </w:p>
    <w:p w14:paraId="5FA09853" w14:textId="26702CDD" w:rsidR="00A113ED" w:rsidRDefault="00A113ED" w:rsidP="00A113ED">
      <w:pPr>
        <w:spacing w:line="360" w:lineRule="auto"/>
        <w:ind w:firstLine="1134"/>
        <w:jc w:val="both"/>
        <w:rPr>
          <w:rFonts w:ascii="Arial" w:hAnsi="Arial" w:cs="Arial"/>
          <w:color w:val="000000" w:themeColor="text1"/>
          <w:lang w:val="es-ES"/>
        </w:rPr>
      </w:pPr>
      <w:r w:rsidRPr="00A113ED">
        <w:rPr>
          <w:rFonts w:ascii="Arial" w:hAnsi="Arial" w:cs="Arial"/>
          <w:color w:val="000000" w:themeColor="text1"/>
          <w:lang w:val="es-ES"/>
        </w:rPr>
        <w:t>En cuanto a la presunción de publicidad</w:t>
      </w:r>
      <w:r>
        <w:rPr>
          <w:rFonts w:ascii="Arial" w:hAnsi="Arial" w:cs="Arial"/>
          <w:color w:val="000000" w:themeColor="text1"/>
          <w:lang w:val="es-ES"/>
        </w:rPr>
        <w:t xml:space="preserve"> (i), el reglamento parte de la visibilidad acotada (solo los letrados, auxiliares y usuarios habilitados pueden acceder a los expedientes que estén registrados), por lo que su legitimación (vii) es restrictiva, solo ellos pueden acceder.</w:t>
      </w:r>
    </w:p>
    <w:p w14:paraId="071F7729" w14:textId="17249030" w:rsidR="002117D8" w:rsidRDefault="00A113ED" w:rsidP="00FB6826">
      <w:pPr>
        <w:spacing w:line="360" w:lineRule="auto"/>
        <w:ind w:firstLine="1134"/>
        <w:jc w:val="both"/>
        <w:rPr>
          <w:rFonts w:ascii="Arial" w:hAnsi="Arial" w:cs="Arial"/>
          <w:color w:val="000000" w:themeColor="text1"/>
          <w:lang w:val="es-ES"/>
        </w:rPr>
      </w:pPr>
      <w:r w:rsidRPr="00A113ED">
        <w:rPr>
          <w:rFonts w:ascii="Arial" w:hAnsi="Arial" w:cs="Arial"/>
          <w:color w:val="000000" w:themeColor="text1"/>
        </w:rPr>
        <w:t>Esto contradice la idea de presunción de publicidad como regla amplia</w:t>
      </w:r>
      <w:r>
        <w:rPr>
          <w:rFonts w:ascii="Arial" w:hAnsi="Arial" w:cs="Arial"/>
          <w:color w:val="000000" w:themeColor="text1"/>
        </w:rPr>
        <w:t xml:space="preserve">, la máxima divulgación (ii) y máximo acceso (iv), no aplica la regla de disociación o publicidad  con reserva parcial (v) </w:t>
      </w:r>
      <w:r w:rsidRPr="00B21EF2">
        <w:rPr>
          <w:rFonts w:ascii="Arial" w:hAnsi="Arial" w:cs="Arial"/>
          <w:color w:val="000000" w:themeColor="text1"/>
          <w:lang w:val="es-ES"/>
        </w:rPr>
        <w:t>—</w:t>
      </w:r>
      <w:r w:rsidRPr="00A113ED">
        <w:rPr>
          <w:rFonts w:ascii="Arial" w:hAnsi="Arial" w:cs="Arial"/>
          <w:color w:val="000000" w:themeColor="text1"/>
        </w:rPr>
        <w:t>anonimización, testado</w:t>
      </w:r>
      <w:r w:rsidRPr="00B21EF2">
        <w:rPr>
          <w:rFonts w:ascii="Arial" w:hAnsi="Arial" w:cs="Arial"/>
          <w:color w:val="000000" w:themeColor="text1"/>
          <w:lang w:val="es-ES"/>
        </w:rPr>
        <w:t>—</w:t>
      </w:r>
      <w:r>
        <w:rPr>
          <w:rFonts w:ascii="Arial" w:hAnsi="Arial" w:cs="Arial"/>
          <w:color w:val="000000" w:themeColor="text1"/>
          <w:lang w:val="es-ES"/>
        </w:rPr>
        <w:t>.</w:t>
      </w:r>
    </w:p>
    <w:p w14:paraId="23E16E31" w14:textId="4B0EF046" w:rsidR="003A2D4A" w:rsidRPr="00A113ED" w:rsidRDefault="003A2D4A" w:rsidP="00FB6826">
      <w:pPr>
        <w:spacing w:line="360" w:lineRule="auto"/>
        <w:ind w:firstLine="1134"/>
        <w:jc w:val="both"/>
        <w:rPr>
          <w:rFonts w:ascii="Arial" w:hAnsi="Arial" w:cs="Arial"/>
          <w:color w:val="000000" w:themeColor="text1"/>
          <w:u w:val="single"/>
          <w:lang w:val="es-ES"/>
        </w:rPr>
      </w:pPr>
      <w:r w:rsidRPr="00A113ED">
        <w:rPr>
          <w:rFonts w:ascii="Arial" w:hAnsi="Arial" w:cs="Arial"/>
          <w:color w:val="000000" w:themeColor="text1"/>
          <w:u w:val="single"/>
          <w:lang w:val="es-ES"/>
        </w:rPr>
        <w:t>5.4.</w:t>
      </w:r>
      <w:r w:rsidR="00A113ED" w:rsidRPr="00A113ED">
        <w:rPr>
          <w:rFonts w:ascii="Arial" w:hAnsi="Arial" w:cs="Arial"/>
          <w:color w:val="000000" w:themeColor="text1"/>
          <w:u w:val="single"/>
          <w:lang w:val="es-ES"/>
        </w:rPr>
        <w:t>e.1</w:t>
      </w:r>
      <w:r w:rsidRPr="00A113ED">
        <w:rPr>
          <w:rFonts w:ascii="Arial" w:hAnsi="Arial" w:cs="Arial"/>
          <w:color w:val="000000" w:themeColor="text1"/>
          <w:u w:val="single"/>
          <w:lang w:val="es-ES"/>
        </w:rPr>
        <w:t xml:space="preserve">. </w:t>
      </w:r>
      <w:r w:rsidR="00A113ED" w:rsidRPr="00A113ED">
        <w:rPr>
          <w:rFonts w:ascii="Arial" w:hAnsi="Arial" w:cs="Arial"/>
          <w:color w:val="000000" w:themeColor="text1"/>
          <w:u w:val="single"/>
          <w:lang w:val="es-ES"/>
        </w:rPr>
        <w:t xml:space="preserve">El </w:t>
      </w:r>
      <w:r w:rsidRPr="00A113ED">
        <w:rPr>
          <w:rFonts w:ascii="Arial" w:hAnsi="Arial" w:cs="Arial"/>
          <w:color w:val="000000" w:themeColor="text1"/>
          <w:u w:val="single"/>
          <w:lang w:val="es-ES"/>
        </w:rPr>
        <w:t xml:space="preserve">Boletín Judicial de Córdoba </w:t>
      </w:r>
    </w:p>
    <w:p w14:paraId="5902AF0B" w14:textId="5F21CC32" w:rsidR="00465447" w:rsidRPr="00A113ED" w:rsidRDefault="00465447" w:rsidP="005D477F">
      <w:pPr>
        <w:spacing w:line="360" w:lineRule="auto"/>
        <w:ind w:firstLine="1134"/>
        <w:jc w:val="both"/>
        <w:rPr>
          <w:rFonts w:ascii="Arial" w:hAnsi="Arial" w:cs="Arial"/>
          <w:color w:val="000000" w:themeColor="text1"/>
        </w:rPr>
      </w:pPr>
      <w:r w:rsidRPr="00A113ED">
        <w:rPr>
          <w:rFonts w:ascii="Arial" w:hAnsi="Arial" w:cs="Arial"/>
          <w:color w:val="000000" w:themeColor="text1"/>
        </w:rPr>
        <w:t>Creado por Decreto-Ley N° 7212-A de fecha 22.04.1957, como una “</w:t>
      </w:r>
      <w:r w:rsidRPr="00A113ED">
        <w:rPr>
          <w:rFonts w:ascii="Arial" w:hAnsi="Arial" w:cs="Arial"/>
          <w:i/>
          <w:iCs/>
          <w:color w:val="000000" w:themeColor="text1"/>
        </w:rPr>
        <w:t>publicación mensual que estará bajo la superintendencia del Tribunal Superior de Justicia y la Dirección inmediata de un abogado de la matrícula</w:t>
      </w:r>
      <w:r w:rsidRPr="00A113ED">
        <w:rPr>
          <w:rFonts w:ascii="Arial" w:hAnsi="Arial" w:cs="Arial"/>
          <w:color w:val="000000" w:themeColor="text1"/>
        </w:rPr>
        <w:t>”</w:t>
      </w:r>
      <w:r w:rsidR="005D477F" w:rsidRPr="00A113ED">
        <w:rPr>
          <w:rFonts w:ascii="Arial" w:hAnsi="Arial" w:cs="Arial"/>
          <w:color w:val="000000" w:themeColor="text1"/>
        </w:rPr>
        <w:t xml:space="preserve">. Establece específicamente que </w:t>
      </w:r>
      <w:r w:rsidR="005D477F" w:rsidRPr="00A113ED">
        <w:rPr>
          <w:rFonts w:ascii="Arial" w:hAnsi="Arial" w:cs="Arial"/>
          <w:i/>
          <w:iCs/>
          <w:color w:val="000000" w:themeColor="text1"/>
        </w:rPr>
        <w:t>“En el Boletín se publicarán, conforme a la selección y clasificación que se efectúe, los acuerdos y resoluciones del Tribunal Superior y las resoluciones de los tribunales inferiores de los diversos fueros de la Provincia que hayan pasado en autoridad de cosa juzgada. Cuando la índole o el interés del caso aconseje, la resolución podrá ser precedida por la del tribunal de instancia inferior o por los dictámenes que haya producido el ministerio fiscal o pupilar.”</w:t>
      </w:r>
      <w:r w:rsidR="005D477F" w:rsidRPr="00A113ED">
        <w:rPr>
          <w:rFonts w:ascii="Arial" w:hAnsi="Arial" w:cs="Arial"/>
          <w:color w:val="000000" w:themeColor="text1"/>
        </w:rPr>
        <w:t>.</w:t>
      </w:r>
    </w:p>
    <w:p w14:paraId="24194EBD" w14:textId="70BC4459" w:rsidR="00A113ED" w:rsidRPr="00A113ED" w:rsidRDefault="005D477F" w:rsidP="00FB6826">
      <w:pPr>
        <w:spacing w:line="360" w:lineRule="auto"/>
        <w:ind w:firstLine="1134"/>
        <w:jc w:val="both"/>
        <w:rPr>
          <w:rFonts w:ascii="Arial" w:hAnsi="Arial" w:cs="Arial"/>
          <w:color w:val="000000" w:themeColor="text1"/>
          <w:lang w:val="es-ES"/>
        </w:rPr>
      </w:pPr>
      <w:r w:rsidRPr="00A113ED">
        <w:rPr>
          <w:rFonts w:ascii="Arial" w:hAnsi="Arial" w:cs="Arial"/>
          <w:color w:val="000000" w:themeColor="text1"/>
        </w:rPr>
        <w:t xml:space="preserve">Al mismo se puede acceder a través del sitio web </w:t>
      </w:r>
      <w:hyperlink r:id="rId12" w:history="1">
        <w:r w:rsidRPr="00A113ED">
          <w:rPr>
            <w:rStyle w:val="Hipervnculo"/>
            <w:rFonts w:ascii="Arial" w:hAnsi="Arial" w:cs="Arial"/>
            <w:lang w:val="es-ES"/>
          </w:rPr>
          <w:t>https://www.justiciacordoba.gob.ar/justiciacordoba/TSJ/boletin_judicial</w:t>
        </w:r>
      </w:hyperlink>
      <w:r w:rsidRPr="00A113ED">
        <w:rPr>
          <w:rFonts w:ascii="Arial" w:hAnsi="Arial" w:cs="Arial"/>
          <w:color w:val="000000" w:themeColor="text1"/>
          <w:lang w:val="es-ES"/>
        </w:rPr>
        <w:t xml:space="preserve"> , y en él se publican periódicamente boletines de las diferentes ramas del derecho, con jurisprudencia seleccionada, —no la totalidad de la jurisprudencia— y tambien se le puede requerir jurisprudencia a través de mail </w:t>
      </w:r>
      <w:hyperlink r:id="rId13" w:history="1">
        <w:r w:rsidRPr="00A113ED">
          <w:rPr>
            <w:rStyle w:val="Hipervnculo"/>
            <w:rFonts w:ascii="Arial" w:hAnsi="Arial" w:cs="Arial"/>
            <w:lang w:val="es-ES"/>
          </w:rPr>
          <w:t>boletinjudicial@justiciacordoba.gob.ar</w:t>
        </w:r>
      </w:hyperlink>
      <w:r w:rsidRPr="00A113ED">
        <w:rPr>
          <w:rFonts w:ascii="Arial" w:hAnsi="Arial" w:cs="Arial"/>
          <w:color w:val="000000" w:themeColor="text1"/>
          <w:lang w:val="es-ES"/>
        </w:rPr>
        <w:t xml:space="preserve"> .</w:t>
      </w:r>
    </w:p>
    <w:p w14:paraId="4DC67D89" w14:textId="0196EC0B" w:rsidR="00A113ED" w:rsidRPr="00FB6826" w:rsidRDefault="00A113ED" w:rsidP="00FB6826">
      <w:pPr>
        <w:spacing w:line="360" w:lineRule="auto"/>
        <w:ind w:firstLine="1134"/>
        <w:jc w:val="both"/>
        <w:rPr>
          <w:rFonts w:ascii="Arial" w:hAnsi="Arial" w:cs="Arial"/>
          <w:color w:val="000000" w:themeColor="text1"/>
          <w:u w:val="single"/>
          <w:lang w:val="es-ES"/>
        </w:rPr>
      </w:pPr>
      <w:r w:rsidRPr="00A113ED">
        <w:rPr>
          <w:rFonts w:ascii="Arial" w:hAnsi="Arial" w:cs="Arial"/>
          <w:color w:val="000000" w:themeColor="text1"/>
          <w:u w:val="single"/>
          <w:lang w:val="es-ES"/>
        </w:rPr>
        <w:t>5.4.e.2. El Boletín Judicial de Córdoba conforme los parámetros para evaluar la publicidad procesal</w:t>
      </w:r>
    </w:p>
    <w:p w14:paraId="549BE486" w14:textId="28047BCA" w:rsidR="00FB6826" w:rsidRPr="003A2D4A" w:rsidRDefault="00FB6826" w:rsidP="003A2D4A">
      <w:pPr>
        <w:spacing w:line="360" w:lineRule="auto"/>
        <w:ind w:firstLine="1134"/>
        <w:jc w:val="both"/>
        <w:rPr>
          <w:rFonts w:ascii="Arial" w:hAnsi="Arial" w:cs="Arial"/>
          <w:color w:val="000000" w:themeColor="text1"/>
          <w:lang w:val="es-ES"/>
        </w:rPr>
      </w:pPr>
      <w:r w:rsidRPr="00FB6826">
        <w:rPr>
          <w:rFonts w:ascii="Arial" w:hAnsi="Arial" w:cs="Arial"/>
          <w:color w:val="000000" w:themeColor="text1"/>
          <w:lang w:val="es-ES"/>
        </w:rPr>
        <w:t xml:space="preserve">El Boletín Judicial de Córdoba, constituye un antecedente relevante de publicidad institucional de decisiones. Sin embargo, su diseño se articula sobre curaduría y selección de jurisprudencia—no sobre publicación universal—, lo que impide satisfacer los estándares de máxima divulgación y máximo acceso. Si bien el portal web facilita apertura tecnológica y gratuidad, la periodicidad y el recorte a sentencias con autoridad de cosa juzgada reducen la premura y el valor de control público, y la ausencia de un mecanismo de control de omisiones o de criterios editoriales refuerza el riesgo de sesgos de selección. </w:t>
      </w:r>
      <w:r w:rsidRPr="00FB6826">
        <w:rPr>
          <w:rFonts w:ascii="Arial" w:hAnsi="Arial" w:cs="Arial"/>
          <w:color w:val="000000" w:themeColor="text1"/>
          <w:lang w:val="es-ES"/>
        </w:rPr>
        <w:lastRenderedPageBreak/>
        <w:t>En suma, el Boletín afirma la presunción de publicidad, pero resulta insuficiente frente a los parámetros contemporáneos de publicidad procesal que exigen acceso integral, oportuno y con excepciones taxativas y proporcionadas.</w:t>
      </w:r>
    </w:p>
    <w:p w14:paraId="4CC6C1FA" w14:textId="77777777" w:rsidR="003A2D4A" w:rsidRDefault="003A2D4A" w:rsidP="003A2D4A">
      <w:pPr>
        <w:spacing w:line="360" w:lineRule="auto"/>
        <w:ind w:firstLine="1134"/>
        <w:jc w:val="both"/>
        <w:rPr>
          <w:rFonts w:ascii="Arial" w:hAnsi="Arial" w:cs="Arial"/>
          <w:color w:val="000000" w:themeColor="text1"/>
          <w:u w:val="single"/>
          <w:lang w:val="es-ES"/>
        </w:rPr>
      </w:pPr>
    </w:p>
    <w:p w14:paraId="460D3854" w14:textId="15EA1014" w:rsidR="003A2D4A" w:rsidRDefault="003A2D4A" w:rsidP="00FB6826">
      <w:pPr>
        <w:spacing w:line="360" w:lineRule="auto"/>
        <w:ind w:firstLine="1134"/>
        <w:jc w:val="both"/>
        <w:rPr>
          <w:rFonts w:ascii="Arial" w:hAnsi="Arial" w:cs="Arial"/>
          <w:color w:val="000000" w:themeColor="text1"/>
          <w:u w:val="single"/>
          <w:lang w:val="es-ES"/>
        </w:rPr>
      </w:pPr>
      <w:r w:rsidRPr="000F65E3">
        <w:rPr>
          <w:rFonts w:ascii="Arial" w:hAnsi="Arial" w:cs="Arial"/>
          <w:color w:val="000000" w:themeColor="text1"/>
          <w:u w:val="single"/>
          <w:lang w:val="es-ES"/>
        </w:rPr>
        <w:t>5.4.</w:t>
      </w:r>
      <w:r w:rsidR="00FB6826" w:rsidRPr="000F65E3">
        <w:rPr>
          <w:rFonts w:ascii="Arial" w:hAnsi="Arial" w:cs="Arial"/>
          <w:color w:val="000000" w:themeColor="text1"/>
          <w:u w:val="single"/>
          <w:lang w:val="es-ES"/>
        </w:rPr>
        <w:t xml:space="preserve">f.1.- </w:t>
      </w:r>
      <w:r w:rsidRPr="000F65E3">
        <w:rPr>
          <w:rFonts w:ascii="Arial" w:hAnsi="Arial" w:cs="Arial"/>
          <w:color w:val="000000" w:themeColor="text1"/>
          <w:u w:val="single"/>
          <w:lang w:val="es-ES"/>
        </w:rPr>
        <w:t>Jurisemia</w:t>
      </w:r>
      <w:r>
        <w:rPr>
          <w:rFonts w:ascii="Arial" w:hAnsi="Arial" w:cs="Arial"/>
          <w:color w:val="000000" w:themeColor="text1"/>
          <w:u w:val="single"/>
          <w:lang w:val="es-ES"/>
        </w:rPr>
        <w:t xml:space="preserve"> </w:t>
      </w:r>
    </w:p>
    <w:p w14:paraId="3594DE1D" w14:textId="74E9F87F" w:rsidR="005D477F" w:rsidRDefault="005D477F" w:rsidP="003A2D4A">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El portal del Tribunal Superior de Justicia ha anunciado un programa de inteligencia artificial para buscar jurisprudencia llamado “Jurisemia”.</w:t>
      </w:r>
    </w:p>
    <w:p w14:paraId="72D8AD87" w14:textId="4F779DF1" w:rsidR="00FB6826" w:rsidRDefault="005D477F" w:rsidP="00FB6826">
      <w:pPr>
        <w:spacing w:line="360" w:lineRule="auto"/>
        <w:ind w:firstLine="1134"/>
        <w:jc w:val="both"/>
        <w:rPr>
          <w:rFonts w:ascii="Arial" w:hAnsi="Arial" w:cs="Arial"/>
          <w:color w:val="000000" w:themeColor="text1"/>
          <w:lang w:val="es-ES"/>
        </w:rPr>
      </w:pPr>
      <w:r>
        <w:rPr>
          <w:rFonts w:ascii="Arial" w:hAnsi="Arial" w:cs="Arial"/>
          <w:color w:val="000000" w:themeColor="text1"/>
          <w:lang w:val="es-ES"/>
        </w:rPr>
        <w:t>En la presentación se explica que “</w:t>
      </w:r>
      <w:r w:rsidRPr="005D477F">
        <w:rPr>
          <w:rFonts w:ascii="Arial" w:hAnsi="Arial" w:cs="Arial"/>
          <w:color w:val="000000" w:themeColor="text1"/>
          <w:lang w:val="es-ES"/>
        </w:rPr>
        <w:t>Este programa fue diseñado para almacenar, sistematizar y consultar la jurisprudencia de la provincia de Córdoba. En la actualidad, se encuentra en etapa de testeo. El Alto Cuerpo habilitó al Colegio de Abogados de Córdoba para valorar el funcionamiento y el uso del sistema desde la perspectiva de los profesionales del derecho que, a diario, interactúan con la jurisprudencia.</w:t>
      </w:r>
      <w:r>
        <w:rPr>
          <w:rFonts w:ascii="Arial" w:hAnsi="Arial" w:cs="Arial"/>
          <w:color w:val="000000" w:themeColor="text1"/>
          <w:lang w:val="es-ES"/>
        </w:rPr>
        <w:t>” Y se informa que todos los integrantes del Poder Judicial de Córdoba cuentan con acceso a Jurisemia y pueden efectuar consultas en el catálogo del Boletín Judicial y formular reportes para la mejora continua del sistema.</w:t>
      </w:r>
      <w:r>
        <w:rPr>
          <w:rStyle w:val="Refdenotaalpie"/>
          <w:rFonts w:ascii="Arial" w:hAnsi="Arial"/>
          <w:color w:val="000000" w:themeColor="text1"/>
          <w:lang w:val="es-ES"/>
        </w:rPr>
        <w:footnoteReference w:id="47"/>
      </w:r>
    </w:p>
    <w:p w14:paraId="18F4E6F8" w14:textId="38B0E111" w:rsidR="00FB6826" w:rsidRPr="00FB6826" w:rsidRDefault="00FB6826" w:rsidP="00FB6826">
      <w:pPr>
        <w:spacing w:line="360" w:lineRule="auto"/>
        <w:ind w:firstLine="1134"/>
        <w:jc w:val="both"/>
        <w:rPr>
          <w:rFonts w:ascii="Arial" w:hAnsi="Arial" w:cs="Arial"/>
          <w:color w:val="000000" w:themeColor="text1"/>
          <w:u w:val="single"/>
          <w:lang w:val="es-ES"/>
        </w:rPr>
      </w:pPr>
      <w:r w:rsidRPr="000F65E3">
        <w:rPr>
          <w:rFonts w:ascii="Arial" w:hAnsi="Arial" w:cs="Arial"/>
          <w:color w:val="000000" w:themeColor="text1"/>
          <w:u w:val="single"/>
          <w:lang w:val="es-ES"/>
        </w:rPr>
        <w:t>5.4.f.2.- Jurisemia, conforme los parámetros para evaluar la publicidad procesal</w:t>
      </w:r>
    </w:p>
    <w:p w14:paraId="07FBDE01" w14:textId="235D20C1" w:rsidR="005D477F" w:rsidRDefault="00FB6826" w:rsidP="003A2D4A">
      <w:pPr>
        <w:spacing w:line="360" w:lineRule="auto"/>
        <w:ind w:firstLine="1134"/>
        <w:jc w:val="both"/>
        <w:rPr>
          <w:rFonts w:ascii="Arial" w:hAnsi="Arial" w:cs="Arial"/>
          <w:color w:val="000000" w:themeColor="text1"/>
        </w:rPr>
      </w:pPr>
      <w:r w:rsidRPr="00FB6826">
        <w:rPr>
          <w:rFonts w:ascii="Arial" w:hAnsi="Arial" w:cs="Arial"/>
          <w:color w:val="000000" w:themeColor="text1"/>
        </w:rPr>
        <w:t>La incorporación de sistemas de IA al ecosistema judicial impacta directamente en las reglas de publicidad. Por un lado, presunción de publicidad (i), máxima divulgación (ii) y apertura (vi) exigen que todo sistema que intermedie búsquedas o decisiones sobre expedientes y jurisprudencia sea auditabe y explicable</w:t>
      </w:r>
      <w:r>
        <w:rPr>
          <w:rFonts w:ascii="Arial" w:hAnsi="Arial" w:cs="Arial"/>
          <w:color w:val="000000" w:themeColor="text1"/>
        </w:rPr>
        <w:t xml:space="preserve">, a los fines de que los resultados sean objetivos y no bajo criterios delimitados por el sistema que no permita el acceso a </w:t>
      </w:r>
      <w:r w:rsidR="009E361A">
        <w:rPr>
          <w:rFonts w:ascii="Arial" w:hAnsi="Arial" w:cs="Arial"/>
          <w:color w:val="000000" w:themeColor="text1"/>
        </w:rPr>
        <w:t>toda la jurisprudencia</w:t>
      </w:r>
      <w:r>
        <w:rPr>
          <w:rFonts w:ascii="Arial" w:hAnsi="Arial" w:cs="Arial"/>
          <w:color w:val="000000" w:themeColor="text1"/>
        </w:rPr>
        <w:t xml:space="preserve"> o a su integridad (todo el fallo completo).</w:t>
      </w:r>
    </w:p>
    <w:p w14:paraId="357235CD" w14:textId="1353A325" w:rsidR="00FB6826" w:rsidRDefault="00FB6826" w:rsidP="00FB6826">
      <w:pPr>
        <w:spacing w:line="360" w:lineRule="auto"/>
        <w:ind w:firstLine="1134"/>
        <w:jc w:val="both"/>
        <w:rPr>
          <w:rFonts w:ascii="Arial" w:hAnsi="Arial" w:cs="Arial"/>
          <w:color w:val="000000" w:themeColor="text1"/>
        </w:rPr>
      </w:pPr>
      <w:r>
        <w:rPr>
          <w:rFonts w:ascii="Arial" w:hAnsi="Arial" w:cs="Arial"/>
          <w:color w:val="000000" w:themeColor="text1"/>
        </w:rPr>
        <w:t>Por otra parte,</w:t>
      </w:r>
      <w:r w:rsidRPr="00FB6826">
        <w:rPr>
          <w:rFonts w:ascii="Arial" w:hAnsi="Arial" w:cs="Arial"/>
          <w:color w:val="000000" w:themeColor="text1"/>
        </w:rPr>
        <w:t xml:space="preserve"> el acceso está habilitado internamente (todo el Poder Judicial) y en test para el Colegio de Abogados. Como política, parte de una presunción de uso restringido, no de publicidad general</w:t>
      </w:r>
      <w:r>
        <w:rPr>
          <w:rFonts w:ascii="Arial" w:hAnsi="Arial" w:cs="Arial"/>
          <w:color w:val="000000" w:themeColor="text1"/>
        </w:rPr>
        <w:t>, lo que genera una fuerte restricción en cuanto a su legitimación (v</w:t>
      </w:r>
      <w:r w:rsidR="00D91AA5">
        <w:rPr>
          <w:rFonts w:ascii="Arial" w:hAnsi="Arial" w:cs="Arial"/>
          <w:color w:val="000000" w:themeColor="text1"/>
        </w:rPr>
        <w:t>ii</w:t>
      </w:r>
      <w:r>
        <w:rPr>
          <w:rFonts w:ascii="Arial" w:hAnsi="Arial" w:cs="Arial"/>
          <w:color w:val="000000" w:themeColor="text1"/>
        </w:rPr>
        <w:t>), más cuando solo pueden acceder a ella quienes están puertas adentro del poder judicial y un número limitado de abogados, quienes cuentan con una ventaja proporcional a la hora de litigar.</w:t>
      </w:r>
    </w:p>
    <w:p w14:paraId="507D2EC4" w14:textId="77777777" w:rsidR="00FB6826" w:rsidRPr="00FB6826" w:rsidRDefault="00FB6826" w:rsidP="00FB6826">
      <w:pPr>
        <w:spacing w:line="360" w:lineRule="auto"/>
        <w:ind w:firstLine="1134"/>
        <w:jc w:val="both"/>
        <w:rPr>
          <w:rFonts w:ascii="Arial" w:hAnsi="Arial" w:cs="Arial"/>
          <w:color w:val="000000" w:themeColor="text1"/>
        </w:rPr>
      </w:pPr>
    </w:p>
    <w:p w14:paraId="21D8DED5" w14:textId="1FE3360B" w:rsidR="000F65E3" w:rsidRPr="000F65E3" w:rsidRDefault="009E361A" w:rsidP="000F65E3">
      <w:pPr>
        <w:pStyle w:val="Prrafodelista"/>
        <w:numPr>
          <w:ilvl w:val="0"/>
          <w:numId w:val="11"/>
        </w:numPr>
        <w:spacing w:line="360" w:lineRule="auto"/>
        <w:ind w:left="0" w:firstLine="1134"/>
        <w:jc w:val="both"/>
        <w:rPr>
          <w:rFonts w:ascii="Arial" w:hAnsi="Arial" w:cs="Arial"/>
          <w:color w:val="000000" w:themeColor="text1"/>
          <w:lang w:val="es-ES"/>
        </w:rPr>
      </w:pPr>
      <w:r>
        <w:rPr>
          <w:rFonts w:ascii="Arial" w:hAnsi="Arial" w:cs="Arial"/>
          <w:b/>
          <w:bCs/>
          <w:color w:val="000000" w:themeColor="text1"/>
          <w:u w:val="single"/>
          <w:lang w:val="es-ES"/>
        </w:rPr>
        <w:t>Conclusiones</w:t>
      </w:r>
    </w:p>
    <w:p w14:paraId="6E8A6D36" w14:textId="68EE87B3" w:rsidR="009A689B" w:rsidRDefault="009202CC" w:rsidP="000F65E3">
      <w:pPr>
        <w:spacing w:line="360" w:lineRule="auto"/>
        <w:ind w:firstLine="1134"/>
        <w:jc w:val="both"/>
        <w:rPr>
          <w:rFonts w:ascii="Arial" w:hAnsi="Arial" w:cs="Arial"/>
          <w:color w:val="000000" w:themeColor="text1"/>
          <w:lang w:val="es-ES"/>
        </w:rPr>
      </w:pPr>
      <w:r w:rsidRPr="000F65E3">
        <w:rPr>
          <w:rFonts w:ascii="Arial" w:hAnsi="Arial" w:cs="Arial"/>
          <w:color w:val="000000" w:themeColor="text1"/>
          <w:lang w:val="es-ES"/>
        </w:rPr>
        <w:t xml:space="preserve">En un sistema republicano, conocer lo público es condición del control de los poderes; en un sistema representativo, es presupuesto de la deliberación; y en un proceso </w:t>
      </w:r>
      <w:r w:rsidRPr="000F65E3">
        <w:rPr>
          <w:rFonts w:ascii="Arial" w:hAnsi="Arial" w:cs="Arial"/>
          <w:color w:val="000000" w:themeColor="text1"/>
          <w:lang w:val="es-ES"/>
        </w:rPr>
        <w:lastRenderedPageBreak/>
        <w:t>dispositivo, es requisito del derecho de defensa. Esta publicidad no se agota en el expediente en trámite: exige acceso amplio, oportuno y verificable a la actuación judicial en su conjunto, única vía para predecir y controlar sus resultados y para hacer operativa la función nomofiláctica (v.gr., supuestos como los contemplados por el art. 383). En suma, sin conocimiento efectivo —con reglas claras, excepciones taxativas y mecanismos de revisión— la república se oscurece, la representación se vacía y la defensa se vuelve meramente formal.</w:t>
      </w:r>
    </w:p>
    <w:p w14:paraId="25654635" w14:textId="66D286C6" w:rsidR="009202CC" w:rsidRDefault="000F65E3" w:rsidP="000F65E3">
      <w:pPr>
        <w:spacing w:line="360" w:lineRule="auto"/>
        <w:ind w:firstLine="1134"/>
        <w:jc w:val="both"/>
        <w:rPr>
          <w:rFonts w:ascii="Arial" w:hAnsi="Arial" w:cs="Arial"/>
          <w:color w:val="000000" w:themeColor="text1"/>
          <w:lang w:val="es-ES"/>
        </w:rPr>
      </w:pPr>
      <w:r w:rsidRPr="000F65E3">
        <w:rPr>
          <w:rFonts w:ascii="Arial" w:hAnsi="Arial" w:cs="Arial"/>
          <w:color w:val="000000" w:themeColor="text1"/>
          <w:lang w:val="es-ES"/>
        </w:rPr>
        <w:t>En términos comparados, tanto en el orden nacional y federal como en el cordobés se observan criterios razonables respecto del acceso de las partes al expediente, la publicidad de audiencias y el manejo de la reserva en sumarios penales. La diferencia sustantiva aparece en el acceso de terceros: el sistema nacional/federal —impulsado, en gran medida, por la Ley 26.856— habilita publicidad para extraños al proceso respecto de expedientes y sentencias, acotando el poder judicial y facilitando el control social; en Córdoba, en cambio, el acceso al expediente se restringe a las partes y a quienes acrediten interés legítimo, y la jurisprudencia se ofrece al público de modo segmentado y a través de canales dispersos.</w:t>
      </w:r>
    </w:p>
    <w:p w14:paraId="5E3DC4A7" w14:textId="708FF8A7" w:rsidR="00E34E8C" w:rsidRDefault="00E34E8C" w:rsidP="000F65E3">
      <w:pPr>
        <w:spacing w:line="360" w:lineRule="auto"/>
        <w:ind w:firstLine="1134"/>
        <w:jc w:val="both"/>
        <w:rPr>
          <w:rFonts w:ascii="Arial" w:hAnsi="Arial" w:cs="Arial"/>
          <w:color w:val="000000" w:themeColor="text1"/>
          <w:lang w:val="es-ES"/>
        </w:rPr>
      </w:pPr>
      <w:r w:rsidRPr="00E34E8C">
        <w:rPr>
          <w:rFonts w:ascii="Arial" w:hAnsi="Arial" w:cs="Arial"/>
          <w:color w:val="000000" w:themeColor="text1"/>
          <w:lang w:val="es-ES"/>
        </w:rPr>
        <w:t>La tecnología, en Córdoba, no volvió más pública la cosa pública. Paradójicamente, donde el orden federal —con instrumentos más viejos— habilit</w:t>
      </w:r>
      <w:r w:rsidR="00513F32">
        <w:rPr>
          <w:rFonts w:ascii="Arial" w:hAnsi="Arial" w:cs="Arial"/>
          <w:color w:val="000000" w:themeColor="text1"/>
          <w:lang w:val="es-ES"/>
        </w:rPr>
        <w:t>ó</w:t>
      </w:r>
      <w:r w:rsidRPr="00E34E8C">
        <w:rPr>
          <w:rFonts w:ascii="Arial" w:hAnsi="Arial" w:cs="Arial"/>
          <w:color w:val="000000" w:themeColor="text1"/>
          <w:lang w:val="es-ES"/>
        </w:rPr>
        <w:t xml:space="preserve"> acceso pleno a las sentencias, el plano provincial proyecta una IA que</w:t>
      </w:r>
      <w:r>
        <w:rPr>
          <w:rFonts w:ascii="Arial" w:hAnsi="Arial" w:cs="Arial"/>
          <w:color w:val="000000" w:themeColor="text1"/>
          <w:lang w:val="es-ES"/>
        </w:rPr>
        <w:t xml:space="preserve"> en princ</w:t>
      </w:r>
      <w:r w:rsidR="00513F32">
        <w:rPr>
          <w:rFonts w:ascii="Arial" w:hAnsi="Arial" w:cs="Arial"/>
          <w:color w:val="000000" w:themeColor="text1"/>
          <w:lang w:val="es-ES"/>
        </w:rPr>
        <w:t>i</w:t>
      </w:r>
      <w:r>
        <w:rPr>
          <w:rFonts w:ascii="Arial" w:hAnsi="Arial" w:cs="Arial"/>
          <w:color w:val="000000" w:themeColor="text1"/>
          <w:lang w:val="es-ES"/>
        </w:rPr>
        <w:t>pio</w:t>
      </w:r>
      <w:r w:rsidRPr="00E34E8C">
        <w:rPr>
          <w:rFonts w:ascii="Arial" w:hAnsi="Arial" w:cs="Arial"/>
          <w:color w:val="000000" w:themeColor="text1"/>
          <w:lang w:val="es-ES"/>
        </w:rPr>
        <w:t xml:space="preserve"> recorta, segmenta y dosifica la jurisprudencia. Publicidad no es interfaz: si la plataforma selecciona, limita; si limita, no publicita. Aquí la innovación corre detrás de la república.</w:t>
      </w:r>
    </w:p>
    <w:p w14:paraId="345CB0F3" w14:textId="77777777" w:rsidR="00E34E8C" w:rsidRDefault="00E34E8C" w:rsidP="000F65E3">
      <w:pPr>
        <w:spacing w:line="360" w:lineRule="auto"/>
        <w:ind w:firstLine="1134"/>
        <w:jc w:val="both"/>
        <w:rPr>
          <w:rFonts w:ascii="Arial" w:hAnsi="Arial" w:cs="Arial"/>
          <w:color w:val="000000" w:themeColor="text1"/>
          <w:lang w:val="es-ES"/>
        </w:rPr>
      </w:pPr>
    </w:p>
    <w:p w14:paraId="417EBF1C" w14:textId="2ACFBB70" w:rsidR="00FB6826" w:rsidRPr="00C538C2" w:rsidRDefault="00FB6826" w:rsidP="00FB6826">
      <w:pPr>
        <w:pStyle w:val="Prrafodelista"/>
        <w:numPr>
          <w:ilvl w:val="0"/>
          <w:numId w:val="11"/>
        </w:numPr>
        <w:spacing w:line="360" w:lineRule="auto"/>
        <w:ind w:left="0" w:firstLine="1134"/>
        <w:jc w:val="both"/>
        <w:rPr>
          <w:rFonts w:ascii="Arial" w:hAnsi="Arial" w:cs="Arial"/>
          <w:color w:val="000000" w:themeColor="text1"/>
          <w:lang w:val="es-ES"/>
        </w:rPr>
      </w:pPr>
      <w:r>
        <w:rPr>
          <w:rFonts w:ascii="Arial" w:hAnsi="Arial" w:cs="Arial"/>
          <w:b/>
          <w:bCs/>
          <w:color w:val="000000" w:themeColor="text1"/>
          <w:u w:val="single"/>
          <w:lang w:val="es-ES"/>
        </w:rPr>
        <w:t>Reflexión final</w:t>
      </w:r>
    </w:p>
    <w:p w14:paraId="09792E7F" w14:textId="49FA5C24" w:rsidR="00100710" w:rsidRDefault="009E361A" w:rsidP="009E361A">
      <w:pPr>
        <w:spacing w:line="360" w:lineRule="auto"/>
        <w:ind w:firstLine="1134"/>
        <w:jc w:val="both"/>
        <w:rPr>
          <w:rFonts w:ascii="Arial" w:hAnsi="Arial" w:cs="Arial"/>
          <w:color w:val="000000" w:themeColor="text1"/>
        </w:rPr>
      </w:pPr>
      <w:r w:rsidRPr="009E361A">
        <w:rPr>
          <w:rFonts w:ascii="Arial" w:hAnsi="Arial" w:cs="Arial"/>
          <w:color w:val="000000" w:themeColor="text1"/>
          <w:lang w:val="es-ES"/>
        </w:rPr>
        <w:t>La publicidad de expedientes, audiencias y sentencias es la pasarela por la que los jóvenes abogados cruzan desde la teoría a la práctica. Consultar las fuentes no solo implica conocer el derecho vivo; supone, además, apropiarse de la experiencia ajena para acortar la curva de aprendizaje y elevar el estándar profesional. Por ello, en este Congreso —en una casa de abogados y con un panel de jóvenes— se interpela a las autoridades del Colegio y de todos los colegios, y a quienes detentan competencia en la materia: que asuman como política prioritaria la publicidad efectiva y amplia.</w:t>
      </w:r>
      <w:r>
        <w:rPr>
          <w:rFonts w:ascii="Arial" w:hAnsi="Arial" w:cs="Arial"/>
          <w:color w:val="000000" w:themeColor="text1"/>
          <w:lang w:val="es-ES"/>
        </w:rPr>
        <w:t xml:space="preserve"> </w:t>
      </w:r>
      <w:r w:rsidRPr="009E361A">
        <w:rPr>
          <w:rFonts w:ascii="Arial" w:hAnsi="Arial" w:cs="Arial"/>
          <w:color w:val="000000" w:themeColor="text1"/>
        </w:rPr>
        <w:t>La profesión lo necesita; la ciudadanía, también.</w:t>
      </w:r>
    </w:p>
    <w:p w14:paraId="364EE1DD" w14:textId="77777777" w:rsidR="009E361A" w:rsidRPr="001239D5" w:rsidRDefault="009E361A" w:rsidP="009E361A">
      <w:pPr>
        <w:spacing w:line="360" w:lineRule="auto"/>
        <w:ind w:firstLine="1134"/>
        <w:jc w:val="both"/>
        <w:rPr>
          <w:rFonts w:ascii="Arial" w:hAnsi="Arial" w:cs="Arial"/>
          <w:color w:val="000000" w:themeColor="text1"/>
          <w:lang w:val="es-ES"/>
        </w:rPr>
      </w:pPr>
    </w:p>
    <w:p w14:paraId="386C4344" w14:textId="65FB0D86" w:rsidR="001239D5" w:rsidRPr="00C538C2" w:rsidRDefault="00C538C2" w:rsidP="00C538C2">
      <w:pPr>
        <w:pStyle w:val="Prrafodelista"/>
        <w:numPr>
          <w:ilvl w:val="0"/>
          <w:numId w:val="11"/>
        </w:numPr>
        <w:spacing w:line="360" w:lineRule="auto"/>
        <w:ind w:left="0" w:firstLine="1134"/>
        <w:jc w:val="both"/>
        <w:rPr>
          <w:rFonts w:ascii="Arial" w:hAnsi="Arial" w:cs="Arial"/>
          <w:color w:val="000000" w:themeColor="text1"/>
          <w:lang w:val="es-ES"/>
        </w:rPr>
      </w:pPr>
      <w:r>
        <w:rPr>
          <w:rFonts w:ascii="Arial" w:hAnsi="Arial" w:cs="Arial"/>
          <w:b/>
          <w:bCs/>
          <w:color w:val="000000" w:themeColor="text1"/>
          <w:u w:val="single"/>
          <w:lang w:val="es-ES"/>
        </w:rPr>
        <w:lastRenderedPageBreak/>
        <w:t>ANEXO</w:t>
      </w:r>
      <w:r w:rsidRPr="00C538C2">
        <w:rPr>
          <w:rFonts w:ascii="Arial" w:hAnsi="Arial" w:cs="Arial"/>
          <w:b/>
          <w:bCs/>
          <w:color w:val="000000" w:themeColor="text1"/>
          <w:u w:val="single"/>
          <w:lang w:val="es-ES"/>
        </w:rPr>
        <w:t xml:space="preserve"> – Portales oficiales sobre el acceso a los expedientes y las sentencias de CSJN, Tribunales Nacionales y Federales, </w:t>
      </w:r>
      <w:r>
        <w:rPr>
          <w:rFonts w:ascii="Arial" w:hAnsi="Arial" w:cs="Arial"/>
          <w:b/>
          <w:bCs/>
          <w:color w:val="000000" w:themeColor="text1"/>
          <w:u w:val="single"/>
          <w:lang w:val="es-ES"/>
        </w:rPr>
        <w:t>de las Provincias y la CABA.</w:t>
      </w:r>
    </w:p>
    <w:p w14:paraId="26908204" w14:textId="5E647DAC" w:rsidR="00C538C2" w:rsidRPr="002626C8" w:rsidRDefault="00C538C2" w:rsidP="00C538C2">
      <w:pPr>
        <w:spacing w:line="360" w:lineRule="auto"/>
        <w:ind w:firstLine="1134"/>
        <w:jc w:val="both"/>
        <w:rPr>
          <w:rFonts w:ascii="Arial" w:hAnsi="Arial" w:cs="Arial"/>
          <w:color w:val="000000" w:themeColor="text1"/>
          <w:lang w:val="es-ES"/>
        </w:rPr>
      </w:pPr>
      <w:r w:rsidRPr="00C538C2">
        <w:rPr>
          <w:rFonts w:ascii="Arial" w:hAnsi="Arial" w:cs="Arial"/>
          <w:color w:val="000000" w:themeColor="text1"/>
          <w:lang w:val="es-ES"/>
        </w:rPr>
        <w:t>Como anexo, se acompañan los portales oficiales desde donde se puede acceder a los expedientes y las sentencias de CSJN, Tribunales Nacionales y Federales, de las Provincias y la CABA</w:t>
      </w:r>
      <w:r>
        <w:rPr>
          <w:rFonts w:ascii="Arial" w:hAnsi="Arial" w:cs="Arial"/>
          <w:color w:val="000000" w:themeColor="text1"/>
          <w:lang w:val="es-ES"/>
        </w:rPr>
        <w:t>.</w:t>
      </w:r>
    </w:p>
    <w:p w14:paraId="3160249B" w14:textId="74EDC7D8" w:rsidR="002626C8" w:rsidRPr="00C538C2" w:rsidRDefault="00C538C2" w:rsidP="002626C8">
      <w:pPr>
        <w:spacing w:line="360" w:lineRule="auto"/>
        <w:ind w:firstLine="1134"/>
        <w:jc w:val="both"/>
        <w:rPr>
          <w:rFonts w:ascii="Arial" w:hAnsi="Arial" w:cs="Arial"/>
          <w:color w:val="000000" w:themeColor="text1"/>
          <w:u w:val="single"/>
          <w:lang w:val="es-ES"/>
        </w:rPr>
      </w:pPr>
      <w:r>
        <w:rPr>
          <w:rFonts w:ascii="Arial" w:hAnsi="Arial" w:cs="Arial"/>
          <w:color w:val="000000" w:themeColor="text1"/>
          <w:u w:val="single"/>
          <w:lang w:val="es-ES"/>
        </w:rPr>
        <w:t xml:space="preserve">6.1. </w:t>
      </w:r>
      <w:r w:rsidR="00C06FA4" w:rsidRPr="00C538C2">
        <w:rPr>
          <w:rFonts w:ascii="Arial" w:hAnsi="Arial" w:cs="Arial"/>
          <w:color w:val="000000" w:themeColor="text1"/>
          <w:u w:val="single"/>
          <w:lang w:val="es-ES"/>
        </w:rPr>
        <w:t>Portales donde se pueden consultar las sentencias:</w:t>
      </w:r>
    </w:p>
    <w:p w14:paraId="267B5EE3"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sidRPr="00AC302F">
        <w:rPr>
          <w:rFonts w:ascii="Arial" w:hAnsi="Arial" w:cs="Arial"/>
          <w:color w:val="000000" w:themeColor="text1"/>
          <w:lang w:val="es-ES"/>
        </w:rPr>
        <w:t>La CSJN</w:t>
      </w:r>
      <w:r>
        <w:rPr>
          <w:rFonts w:ascii="Arial" w:hAnsi="Arial" w:cs="Arial"/>
          <w:color w:val="000000" w:themeColor="text1"/>
          <w:lang w:val="es-ES"/>
        </w:rPr>
        <w:t>,</w:t>
      </w:r>
      <w:r w:rsidRPr="00AC302F">
        <w:rPr>
          <w:rFonts w:ascii="Arial" w:hAnsi="Arial" w:cs="Arial"/>
          <w:color w:val="000000" w:themeColor="text1"/>
          <w:lang w:val="es-ES"/>
        </w:rPr>
        <w:t xml:space="preserve"> </w:t>
      </w:r>
      <w:hyperlink r:id="rId14" w:history="1">
        <w:r w:rsidRPr="00E20774">
          <w:rPr>
            <w:rStyle w:val="Hipervnculo"/>
            <w:rFonts w:ascii="Arial" w:hAnsi="Arial" w:cs="Arial"/>
            <w:lang w:val="es-ES"/>
          </w:rPr>
          <w:t>https://sjconsulta.csjn.gov.ar/sjconsulta/fallos/consulta.html</w:t>
        </w:r>
      </w:hyperlink>
      <w:r>
        <w:rPr>
          <w:rFonts w:ascii="Arial" w:hAnsi="Arial" w:cs="Arial"/>
          <w:color w:val="000000" w:themeColor="text1"/>
          <w:lang w:val="es-ES"/>
        </w:rPr>
        <w:t xml:space="preserve"> </w:t>
      </w:r>
    </w:p>
    <w:p w14:paraId="65F3EF8C"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Tribunales Federales y Nacionales, </w:t>
      </w:r>
      <w:hyperlink r:id="rId15" w:history="1">
        <w:r w:rsidRPr="00E20774">
          <w:rPr>
            <w:rStyle w:val="Hipervnculo"/>
            <w:rFonts w:ascii="Arial" w:hAnsi="Arial" w:cs="Arial"/>
            <w:lang w:val="es-ES"/>
          </w:rPr>
          <w:t>https://www.csjn.gov.ar/tribunales-federales-nacionales/inicio.html</w:t>
        </w:r>
      </w:hyperlink>
    </w:p>
    <w:p w14:paraId="5A39B9D4"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Buenos Aires, </w:t>
      </w:r>
      <w:hyperlink r:id="rId16" w:history="1">
        <w:r w:rsidRPr="00E20774">
          <w:rPr>
            <w:rStyle w:val="Hipervnculo"/>
            <w:rFonts w:ascii="Arial" w:hAnsi="Arial" w:cs="Arial"/>
            <w:lang w:val="es-ES"/>
          </w:rPr>
          <w:t>https://sentencias-corte.scba.gov.ar/</w:t>
        </w:r>
      </w:hyperlink>
      <w:r>
        <w:rPr>
          <w:rFonts w:ascii="Arial" w:hAnsi="Arial" w:cs="Arial"/>
          <w:color w:val="000000" w:themeColor="text1"/>
          <w:lang w:val="es-ES"/>
        </w:rPr>
        <w:t xml:space="preserve"> </w:t>
      </w:r>
    </w:p>
    <w:p w14:paraId="739AF066"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Catamarca, </w:t>
      </w:r>
      <w:hyperlink r:id="rId17" w:history="1">
        <w:r w:rsidRPr="00E20774">
          <w:rPr>
            <w:rStyle w:val="Hipervnculo"/>
            <w:rFonts w:ascii="Arial" w:hAnsi="Arial" w:cs="Arial"/>
            <w:lang w:val="es-ES"/>
          </w:rPr>
          <w:t>http://200.61.223.41/app/juris/index.php?r=sentencia/admin</w:t>
        </w:r>
      </w:hyperlink>
    </w:p>
    <w:p w14:paraId="1A0578F6"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Chaco, </w:t>
      </w:r>
      <w:hyperlink r:id="rId18" w:history="1">
        <w:r w:rsidRPr="00E20774">
          <w:rPr>
            <w:rStyle w:val="Hipervnculo"/>
            <w:rFonts w:ascii="Arial" w:hAnsi="Arial" w:cs="Arial"/>
            <w:lang w:val="es-ES"/>
          </w:rPr>
          <w:t>https://www.justiciachaco.gov.ar/busquedas/Busqueda_Jurisprudencia/buscador/</w:t>
        </w:r>
      </w:hyperlink>
      <w:r>
        <w:rPr>
          <w:rFonts w:ascii="Arial" w:hAnsi="Arial" w:cs="Arial"/>
          <w:color w:val="000000" w:themeColor="text1"/>
          <w:lang w:val="es-ES"/>
        </w:rPr>
        <w:t xml:space="preserve"> </w:t>
      </w:r>
    </w:p>
    <w:p w14:paraId="5EFE2B3D"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n-US"/>
        </w:rPr>
      </w:pPr>
      <w:r w:rsidRPr="00AC302F">
        <w:rPr>
          <w:rFonts w:ascii="Arial" w:hAnsi="Arial" w:cs="Arial"/>
          <w:color w:val="000000" w:themeColor="text1"/>
          <w:lang w:val="en-US"/>
        </w:rPr>
        <w:t xml:space="preserve">Chubut, </w:t>
      </w:r>
      <w:hyperlink r:id="rId19" w:history="1">
        <w:r w:rsidRPr="00E20774">
          <w:rPr>
            <w:rStyle w:val="Hipervnculo"/>
            <w:rFonts w:ascii="Arial" w:hAnsi="Arial" w:cs="Arial"/>
            <w:lang w:val="en-US"/>
          </w:rPr>
          <w:t>https://apps1cloud.juschubut.gov.ar/eureka</w:t>
        </w:r>
      </w:hyperlink>
    </w:p>
    <w:p w14:paraId="57CDB400"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sidRPr="00AC302F">
        <w:rPr>
          <w:rFonts w:ascii="Arial" w:hAnsi="Arial" w:cs="Arial"/>
          <w:color w:val="000000" w:themeColor="text1"/>
          <w:lang w:val="es-ES"/>
        </w:rPr>
        <w:t>Ciudad Autónoma de Buenos A</w:t>
      </w:r>
      <w:r>
        <w:rPr>
          <w:rFonts w:ascii="Arial" w:hAnsi="Arial" w:cs="Arial"/>
          <w:color w:val="000000" w:themeColor="text1"/>
          <w:lang w:val="es-ES"/>
        </w:rPr>
        <w:t xml:space="preserve">ires, </w:t>
      </w:r>
      <w:hyperlink r:id="rId20" w:history="1">
        <w:r w:rsidRPr="00E20774">
          <w:rPr>
            <w:rStyle w:val="Hipervnculo"/>
            <w:rFonts w:ascii="Arial" w:hAnsi="Arial" w:cs="Arial"/>
            <w:lang w:val="es-ES"/>
          </w:rPr>
          <w:t>https://www.tsjbaires.gov.ar/servicios/jurisprudencia</w:t>
        </w:r>
      </w:hyperlink>
    </w:p>
    <w:p w14:paraId="097F52F9"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Córdoba, </w:t>
      </w:r>
      <w:hyperlink r:id="rId21" w:history="1">
        <w:r w:rsidRPr="00E20774">
          <w:rPr>
            <w:rStyle w:val="Hipervnculo"/>
            <w:rFonts w:ascii="Arial" w:hAnsi="Arial" w:cs="Arial"/>
            <w:lang w:val="es-ES"/>
          </w:rPr>
          <w:t>https://www.justiciacordoba.gob.ar/JusticiaCordoba/TSJ/boletin_judicial</w:t>
        </w:r>
      </w:hyperlink>
    </w:p>
    <w:p w14:paraId="749ECE4E"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Corrientes, </w:t>
      </w:r>
      <w:hyperlink r:id="rId22" w:history="1">
        <w:r w:rsidRPr="00E20774">
          <w:rPr>
            <w:rStyle w:val="Hipervnculo"/>
            <w:rFonts w:ascii="Arial" w:hAnsi="Arial" w:cs="Arial"/>
            <w:lang w:val="es-ES"/>
          </w:rPr>
          <w:t>https://www.juscorrientes.gov.ar/jurisprudencia/</w:t>
        </w:r>
      </w:hyperlink>
    </w:p>
    <w:p w14:paraId="0B5D7ADA"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Entre Ríos, </w:t>
      </w:r>
      <w:hyperlink r:id="rId23" w:history="1">
        <w:r w:rsidRPr="00E20774">
          <w:rPr>
            <w:rStyle w:val="Hipervnculo"/>
            <w:rFonts w:ascii="Arial" w:hAnsi="Arial" w:cs="Arial"/>
            <w:lang w:val="es-ES"/>
          </w:rPr>
          <w:t>https://www.jusentrerios.gov.ar/jurisprudencia/</w:t>
        </w:r>
      </w:hyperlink>
    </w:p>
    <w:p w14:paraId="1C3EC20F"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Formosa, </w:t>
      </w:r>
      <w:hyperlink r:id="rId24" w:history="1">
        <w:r w:rsidRPr="00E20774">
          <w:rPr>
            <w:rStyle w:val="Hipervnculo"/>
            <w:rFonts w:ascii="Arial" w:hAnsi="Arial" w:cs="Arial"/>
            <w:lang w:val="es-ES"/>
          </w:rPr>
          <w:t>https://www.jusformosa.gov.ar/decisiones-judiciales/jurisprudencia</w:t>
        </w:r>
      </w:hyperlink>
    </w:p>
    <w:p w14:paraId="2EA76A27"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Jujuy, </w:t>
      </w:r>
      <w:hyperlink r:id="rId25" w:history="1">
        <w:r w:rsidRPr="00E20774">
          <w:rPr>
            <w:rStyle w:val="Hipervnculo"/>
            <w:rFonts w:ascii="Arial" w:hAnsi="Arial" w:cs="Arial"/>
            <w:lang w:val="es-ES"/>
          </w:rPr>
          <w:t>https://jurisprudencia.justiciajujuy.gov.ar/public/buscador?index=0</w:t>
        </w:r>
      </w:hyperlink>
    </w:p>
    <w:p w14:paraId="67A0368D"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La Rioja, </w:t>
      </w:r>
      <w:hyperlink r:id="rId26" w:history="1">
        <w:r w:rsidRPr="00E20774">
          <w:rPr>
            <w:rStyle w:val="Hipervnculo"/>
            <w:rFonts w:ascii="Arial" w:hAnsi="Arial" w:cs="Arial"/>
            <w:lang w:val="es-ES"/>
          </w:rPr>
          <w:t>https://tesauro.justicialarioja.gob.ar/tb_exped_list.php</w:t>
        </w:r>
      </w:hyperlink>
    </w:p>
    <w:p w14:paraId="0859BE01"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Mendoza, </w:t>
      </w:r>
      <w:hyperlink r:id="rId27" w:history="1">
        <w:r w:rsidRPr="00E20774">
          <w:rPr>
            <w:rStyle w:val="Hipervnculo"/>
            <w:rFonts w:ascii="Arial" w:hAnsi="Arial" w:cs="Arial"/>
            <w:lang w:val="es-ES"/>
          </w:rPr>
          <w:t>https://jusmendoza.gob.ar/biblioteca-judicial/jurisprudencia/</w:t>
        </w:r>
      </w:hyperlink>
    </w:p>
    <w:p w14:paraId="75DAECB9"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Neuquén, </w:t>
      </w:r>
      <w:hyperlink r:id="rId28" w:history="1">
        <w:r w:rsidRPr="00E20774">
          <w:rPr>
            <w:rStyle w:val="Hipervnculo"/>
            <w:rFonts w:ascii="Arial" w:hAnsi="Arial" w:cs="Arial"/>
            <w:lang w:val="es-ES"/>
          </w:rPr>
          <w:t>https://jurispenal.jusneuquen.gov.ar/</w:t>
        </w:r>
      </w:hyperlink>
      <w:r>
        <w:rPr>
          <w:rFonts w:ascii="Arial" w:hAnsi="Arial" w:cs="Arial"/>
          <w:color w:val="000000" w:themeColor="text1"/>
          <w:lang w:val="es-ES"/>
        </w:rPr>
        <w:t xml:space="preserve"> y </w:t>
      </w:r>
      <w:hyperlink r:id="rId29" w:history="1">
        <w:r w:rsidRPr="00E20774">
          <w:rPr>
            <w:rStyle w:val="Hipervnculo"/>
            <w:rFonts w:ascii="Arial" w:hAnsi="Arial" w:cs="Arial"/>
            <w:lang w:val="es-ES"/>
          </w:rPr>
          <w:t>http://juriscivil.jusneuquen.gov.ar/</w:t>
        </w:r>
      </w:hyperlink>
    </w:p>
    <w:p w14:paraId="6AB87688" w14:textId="41A00892"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R</w:t>
      </w:r>
      <w:r w:rsidR="00513F32">
        <w:rPr>
          <w:rFonts w:ascii="Arial" w:hAnsi="Arial" w:cs="Arial"/>
          <w:color w:val="000000" w:themeColor="text1"/>
          <w:lang w:val="es-ES"/>
        </w:rPr>
        <w:t>í</w:t>
      </w:r>
      <w:r>
        <w:rPr>
          <w:rFonts w:ascii="Arial" w:hAnsi="Arial" w:cs="Arial"/>
          <w:color w:val="000000" w:themeColor="text1"/>
          <w:lang w:val="es-ES"/>
        </w:rPr>
        <w:t xml:space="preserve">o Negro, </w:t>
      </w:r>
      <w:hyperlink r:id="rId30" w:history="1">
        <w:r w:rsidRPr="00E20774">
          <w:rPr>
            <w:rStyle w:val="Hipervnculo"/>
            <w:rFonts w:ascii="Arial" w:hAnsi="Arial" w:cs="Arial"/>
            <w:lang w:val="es-ES"/>
          </w:rPr>
          <w:t>https://www.jusrionegro.gov.ar/web/servicios/abogados/indexjurisp.php</w:t>
        </w:r>
      </w:hyperlink>
    </w:p>
    <w:p w14:paraId="41A82CE0"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Salta, </w:t>
      </w:r>
      <w:hyperlink r:id="rId31" w:history="1">
        <w:r w:rsidRPr="00E20774">
          <w:rPr>
            <w:rStyle w:val="Hipervnculo"/>
            <w:rFonts w:ascii="Arial" w:hAnsi="Arial" w:cs="Arial"/>
            <w:lang w:val="es-ES"/>
          </w:rPr>
          <w:t>https://www.justiciasalta.gov.ar/es/jurisprudencia-inicio</w:t>
        </w:r>
      </w:hyperlink>
    </w:p>
    <w:p w14:paraId="6BCE75AC"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San Juan, </w:t>
      </w:r>
      <w:hyperlink r:id="rId32" w:history="1">
        <w:r w:rsidRPr="00E20774">
          <w:rPr>
            <w:rStyle w:val="Hipervnculo"/>
            <w:rFonts w:ascii="Arial" w:hAnsi="Arial" w:cs="Arial"/>
            <w:lang w:val="es-ES"/>
          </w:rPr>
          <w:t>https://www.jussanjuan.gov.ar/jurisprudencia/</w:t>
        </w:r>
      </w:hyperlink>
    </w:p>
    <w:p w14:paraId="6A8541B1"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San Luis, </w:t>
      </w:r>
      <w:hyperlink r:id="rId33" w:history="1">
        <w:r w:rsidRPr="00E20774">
          <w:rPr>
            <w:rStyle w:val="Hipervnculo"/>
            <w:rFonts w:ascii="Arial" w:hAnsi="Arial" w:cs="Arial"/>
            <w:lang w:val="es-ES"/>
          </w:rPr>
          <w:t>https://jurisprudencia.justiciasanluis.gov.ar/</w:t>
        </w:r>
      </w:hyperlink>
    </w:p>
    <w:p w14:paraId="15360709"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Santa Cruz, </w:t>
      </w:r>
      <w:hyperlink r:id="rId34" w:history="1">
        <w:r w:rsidRPr="00E20774">
          <w:rPr>
            <w:rStyle w:val="Hipervnculo"/>
            <w:rFonts w:ascii="Arial" w:hAnsi="Arial" w:cs="Arial"/>
            <w:lang w:val="es-ES"/>
          </w:rPr>
          <w:t>https://www.jussantacruz.gob.ar/index.php/consulta-de-jurisprudencia</w:t>
        </w:r>
      </w:hyperlink>
    </w:p>
    <w:p w14:paraId="54B88EAE"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Santa Fe, </w:t>
      </w:r>
      <w:hyperlink r:id="rId35" w:history="1">
        <w:r w:rsidRPr="00E20774">
          <w:rPr>
            <w:rStyle w:val="Hipervnculo"/>
            <w:rFonts w:ascii="Arial" w:hAnsi="Arial" w:cs="Arial"/>
            <w:lang w:val="es-ES"/>
          </w:rPr>
          <w:t>https://bdj.justiciasantafe.gov.ar/</w:t>
        </w:r>
      </w:hyperlink>
    </w:p>
    <w:p w14:paraId="47467BB5"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Santiago del Estero, </w:t>
      </w:r>
      <w:hyperlink r:id="rId36" w:history="1">
        <w:r w:rsidRPr="00E20774">
          <w:rPr>
            <w:rStyle w:val="Hipervnculo"/>
            <w:rFonts w:ascii="Arial" w:hAnsi="Arial" w:cs="Arial"/>
            <w:lang w:val="es-ES"/>
          </w:rPr>
          <w:t>http://fallos-sumarios.jussantiago.gov.ar/</w:t>
        </w:r>
      </w:hyperlink>
    </w:p>
    <w:p w14:paraId="7604A811"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Tucumán, </w:t>
      </w:r>
      <w:hyperlink r:id="rId37" w:history="1">
        <w:r w:rsidRPr="00E20774">
          <w:rPr>
            <w:rStyle w:val="Hipervnculo"/>
            <w:rFonts w:ascii="Arial" w:hAnsi="Arial" w:cs="Arial"/>
            <w:lang w:val="es-ES"/>
          </w:rPr>
          <w:t>https://www.justucuman.gov.ar/jurisprudencia</w:t>
        </w:r>
      </w:hyperlink>
      <w:r>
        <w:rPr>
          <w:rFonts w:ascii="Arial" w:hAnsi="Arial" w:cs="Arial"/>
          <w:color w:val="000000" w:themeColor="text1"/>
          <w:lang w:val="es-ES"/>
        </w:rPr>
        <w:t xml:space="preserve"> </w:t>
      </w:r>
    </w:p>
    <w:p w14:paraId="2BB081CC" w14:textId="77777777" w:rsidR="00C06FA4" w:rsidRDefault="00C06FA4" w:rsidP="00C06FA4">
      <w:pPr>
        <w:pStyle w:val="Prrafodelista"/>
        <w:numPr>
          <w:ilvl w:val="0"/>
          <w:numId w:val="20"/>
        </w:numPr>
        <w:spacing w:line="360" w:lineRule="auto"/>
        <w:ind w:left="0" w:firstLine="426"/>
        <w:jc w:val="both"/>
        <w:rPr>
          <w:rFonts w:ascii="Arial" w:hAnsi="Arial" w:cs="Arial"/>
          <w:color w:val="000000" w:themeColor="text1"/>
          <w:lang w:val="es-ES"/>
        </w:rPr>
      </w:pPr>
      <w:r>
        <w:rPr>
          <w:rFonts w:ascii="Arial" w:hAnsi="Arial" w:cs="Arial"/>
          <w:color w:val="000000" w:themeColor="text1"/>
          <w:lang w:val="es-ES"/>
        </w:rPr>
        <w:t xml:space="preserve">Tierra del fuego e islas del atlántico sur, </w:t>
      </w:r>
      <w:hyperlink r:id="rId38" w:history="1">
        <w:r w:rsidRPr="00E20774">
          <w:rPr>
            <w:rStyle w:val="Hipervnculo"/>
            <w:rFonts w:ascii="Arial" w:hAnsi="Arial" w:cs="Arial"/>
            <w:lang w:val="es-ES"/>
          </w:rPr>
          <w:t>https://juris.justierradelfuego.gov.ar/</w:t>
        </w:r>
      </w:hyperlink>
    </w:p>
    <w:p w14:paraId="5ACB8629" w14:textId="4BCE0032" w:rsidR="00C06FA4" w:rsidRPr="00C538C2" w:rsidRDefault="00C538C2" w:rsidP="00C06FA4">
      <w:pPr>
        <w:spacing w:line="360" w:lineRule="auto"/>
        <w:ind w:firstLine="1134"/>
        <w:jc w:val="both"/>
        <w:rPr>
          <w:rFonts w:ascii="Arial" w:hAnsi="Arial" w:cs="Arial"/>
          <w:color w:val="000000" w:themeColor="text1"/>
          <w:u w:val="single"/>
          <w:lang w:val="es-ES"/>
        </w:rPr>
      </w:pPr>
      <w:r w:rsidRPr="00C538C2">
        <w:rPr>
          <w:rFonts w:ascii="Arial" w:hAnsi="Arial" w:cs="Arial"/>
          <w:color w:val="000000" w:themeColor="text1"/>
          <w:u w:val="single"/>
          <w:lang w:val="es-ES"/>
        </w:rPr>
        <w:t>6.2</w:t>
      </w:r>
      <w:r>
        <w:rPr>
          <w:rFonts w:ascii="Arial" w:hAnsi="Arial" w:cs="Arial"/>
          <w:color w:val="000000" w:themeColor="text1"/>
          <w:u w:val="single"/>
          <w:lang w:val="es-ES"/>
        </w:rPr>
        <w:t>.</w:t>
      </w:r>
      <w:r w:rsidRPr="00C538C2">
        <w:rPr>
          <w:rFonts w:ascii="Arial" w:hAnsi="Arial" w:cs="Arial"/>
          <w:color w:val="000000" w:themeColor="text1"/>
          <w:u w:val="single"/>
          <w:lang w:val="es-ES"/>
        </w:rPr>
        <w:t xml:space="preserve"> </w:t>
      </w:r>
      <w:r w:rsidR="00C06FA4" w:rsidRPr="00C538C2">
        <w:rPr>
          <w:rFonts w:ascii="Arial" w:hAnsi="Arial" w:cs="Arial"/>
          <w:color w:val="000000" w:themeColor="text1"/>
          <w:u w:val="single"/>
          <w:lang w:val="es-ES"/>
        </w:rPr>
        <w:t>Portales donde se pueden consultar las causas:</w:t>
      </w:r>
    </w:p>
    <w:p w14:paraId="4CE6C41C" w14:textId="77777777" w:rsidR="00C06FA4" w:rsidRPr="00AC302F" w:rsidRDefault="00C06FA4" w:rsidP="00C06FA4">
      <w:pPr>
        <w:pStyle w:val="Prrafodelista"/>
        <w:numPr>
          <w:ilvl w:val="0"/>
          <w:numId w:val="18"/>
        </w:numPr>
        <w:spacing w:line="360" w:lineRule="auto"/>
        <w:jc w:val="both"/>
        <w:rPr>
          <w:rFonts w:ascii="Arial" w:hAnsi="Arial" w:cs="Arial"/>
          <w:color w:val="000000" w:themeColor="text1"/>
          <w:lang w:val="es-ES"/>
        </w:rPr>
      </w:pPr>
      <w:r w:rsidRPr="00AC302F">
        <w:rPr>
          <w:rFonts w:ascii="Arial" w:hAnsi="Arial" w:cs="Arial"/>
          <w:color w:val="000000" w:themeColor="text1"/>
          <w:lang w:val="es-ES"/>
        </w:rPr>
        <w:t>La CSJN y del Poder Judicial de la Nación</w:t>
      </w:r>
      <w:r>
        <w:rPr>
          <w:rFonts w:ascii="Arial" w:hAnsi="Arial" w:cs="Arial"/>
          <w:color w:val="000000" w:themeColor="text1"/>
          <w:lang w:val="es-ES"/>
        </w:rPr>
        <w:t xml:space="preserve">, </w:t>
      </w:r>
      <w:hyperlink r:id="rId39" w:history="1">
        <w:r w:rsidRPr="00AC302F">
          <w:rPr>
            <w:rStyle w:val="Hipervnculo"/>
            <w:rFonts w:ascii="Arial" w:hAnsi="Arial" w:cs="Arial"/>
            <w:lang w:val="es-ES"/>
          </w:rPr>
          <w:t>https://scw.pjn.gov.ar/scw/home.seam</w:t>
        </w:r>
      </w:hyperlink>
    </w:p>
    <w:p w14:paraId="4BFE519E" w14:textId="77777777" w:rsidR="00C06FA4" w:rsidRDefault="00C06FA4" w:rsidP="00C06FA4">
      <w:pPr>
        <w:pStyle w:val="Prrafodelista"/>
        <w:numPr>
          <w:ilvl w:val="0"/>
          <w:numId w:val="18"/>
        </w:numPr>
        <w:spacing w:line="360" w:lineRule="auto"/>
        <w:jc w:val="both"/>
        <w:rPr>
          <w:rFonts w:ascii="Arial" w:hAnsi="Arial" w:cs="Arial"/>
          <w:color w:val="000000" w:themeColor="text1"/>
          <w:lang w:val="es-ES"/>
        </w:rPr>
      </w:pPr>
      <w:r w:rsidRPr="00C013DE">
        <w:rPr>
          <w:rFonts w:ascii="Arial" w:hAnsi="Arial" w:cs="Arial"/>
          <w:color w:val="000000" w:themeColor="text1"/>
          <w:lang w:val="es-ES"/>
        </w:rPr>
        <w:t>Buenos Aires</w:t>
      </w:r>
      <w:r>
        <w:rPr>
          <w:rFonts w:ascii="Arial" w:hAnsi="Arial" w:cs="Arial"/>
          <w:color w:val="000000" w:themeColor="text1"/>
          <w:lang w:val="es-ES"/>
        </w:rPr>
        <w:t xml:space="preserve">, </w:t>
      </w:r>
      <w:hyperlink r:id="rId40" w:history="1">
        <w:r w:rsidRPr="00C013DE">
          <w:rPr>
            <w:rStyle w:val="Hipervnculo"/>
            <w:rFonts w:ascii="Arial" w:hAnsi="Arial" w:cs="Arial"/>
            <w:lang w:val="es-ES"/>
          </w:rPr>
          <w:t>https://mev.scba.gov.ar/registro.asp</w:t>
        </w:r>
      </w:hyperlink>
    </w:p>
    <w:p w14:paraId="768E065E"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Catamarca</w:t>
      </w:r>
      <w:r>
        <w:rPr>
          <w:rFonts w:ascii="Arial" w:hAnsi="Arial" w:cs="Arial"/>
          <w:color w:val="000000" w:themeColor="text1"/>
          <w:lang w:val="es-ES"/>
        </w:rPr>
        <w:t xml:space="preserve">, </w:t>
      </w:r>
      <w:hyperlink r:id="rId41" w:history="1">
        <w:r w:rsidRPr="00C013DE">
          <w:rPr>
            <w:rStyle w:val="Hipervnculo"/>
            <w:rFonts w:ascii="Arial" w:hAnsi="Arial" w:cs="Arial"/>
            <w:lang w:val="es-ES"/>
          </w:rPr>
          <w:t>https://pcj.juscatamarca.gob.ar/iol-ui/p/inicio</w:t>
        </w:r>
      </w:hyperlink>
    </w:p>
    <w:p w14:paraId="41973A89"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lastRenderedPageBreak/>
        <w:t>Chaco</w:t>
      </w:r>
      <w:r>
        <w:rPr>
          <w:rFonts w:ascii="Arial" w:hAnsi="Arial" w:cs="Arial"/>
          <w:color w:val="000000" w:themeColor="text1"/>
          <w:lang w:val="es-ES"/>
        </w:rPr>
        <w:t xml:space="preserve">, </w:t>
      </w:r>
      <w:hyperlink r:id="rId42" w:history="1">
        <w:r w:rsidRPr="00E20774">
          <w:rPr>
            <w:rStyle w:val="Hipervnculo"/>
            <w:rFonts w:ascii="Arial" w:hAnsi="Arial" w:cs="Arial"/>
            <w:lang w:val="es-ES"/>
          </w:rPr>
          <w:t>https://consultatramites.chaco.gob.ar/instrumentos-legales</w:t>
        </w:r>
      </w:hyperlink>
    </w:p>
    <w:p w14:paraId="61AD734F" w14:textId="77777777" w:rsidR="00C06FA4" w:rsidRPr="00C013DE" w:rsidRDefault="00C06FA4" w:rsidP="00C06FA4">
      <w:pPr>
        <w:pStyle w:val="Prrafodelista"/>
        <w:numPr>
          <w:ilvl w:val="0"/>
          <w:numId w:val="18"/>
        </w:numPr>
        <w:spacing w:line="360" w:lineRule="auto"/>
        <w:rPr>
          <w:rFonts w:ascii="Arial" w:hAnsi="Arial" w:cs="Arial"/>
          <w:color w:val="000000" w:themeColor="text1"/>
          <w:lang w:val="en-US"/>
        </w:rPr>
      </w:pPr>
      <w:r w:rsidRPr="00C013DE">
        <w:rPr>
          <w:rFonts w:ascii="Arial" w:hAnsi="Arial" w:cs="Arial"/>
          <w:color w:val="000000" w:themeColor="text1"/>
          <w:lang w:val="en-US"/>
        </w:rPr>
        <w:t>Chubut</w:t>
      </w:r>
      <w:r>
        <w:rPr>
          <w:rFonts w:ascii="Arial" w:hAnsi="Arial" w:cs="Arial"/>
          <w:color w:val="000000" w:themeColor="text1"/>
          <w:lang w:val="en-US"/>
        </w:rPr>
        <w:t xml:space="preserve">, </w:t>
      </w:r>
      <w:hyperlink r:id="rId43" w:history="1">
        <w:r w:rsidRPr="00C013DE">
          <w:rPr>
            <w:rStyle w:val="Hipervnculo"/>
            <w:rFonts w:ascii="Arial" w:hAnsi="Arial" w:cs="Arial"/>
            <w:lang w:val="en-US"/>
          </w:rPr>
          <w:t>https://serconex.juschubut.gov.ar/</w:t>
        </w:r>
      </w:hyperlink>
    </w:p>
    <w:p w14:paraId="562D79DC"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Ciudad Autónoma de Buenos Aires</w:t>
      </w:r>
      <w:r>
        <w:rPr>
          <w:rFonts w:ascii="Arial" w:hAnsi="Arial" w:cs="Arial"/>
          <w:color w:val="000000" w:themeColor="text1"/>
          <w:lang w:val="es-ES"/>
        </w:rPr>
        <w:t xml:space="preserve">, </w:t>
      </w:r>
      <w:hyperlink r:id="rId44" w:history="1">
        <w:r w:rsidRPr="00C013DE">
          <w:rPr>
            <w:rStyle w:val="Hipervnculo"/>
            <w:rFonts w:ascii="Arial" w:hAnsi="Arial" w:cs="Arial"/>
            <w:lang w:val="es-ES"/>
          </w:rPr>
          <w:t>https://eje.juscaba.gob.ar/iol-ui/p/inicio</w:t>
        </w:r>
      </w:hyperlink>
    </w:p>
    <w:p w14:paraId="29A8D6CC"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Córdoba</w:t>
      </w:r>
      <w:r>
        <w:rPr>
          <w:rFonts w:ascii="Arial" w:hAnsi="Arial" w:cs="Arial"/>
          <w:color w:val="000000" w:themeColor="text1"/>
          <w:lang w:val="es-ES"/>
        </w:rPr>
        <w:t xml:space="preserve">, </w:t>
      </w:r>
      <w:hyperlink r:id="rId45" w:history="1">
        <w:r w:rsidRPr="00C013DE">
          <w:rPr>
            <w:rStyle w:val="Hipervnculo"/>
            <w:rFonts w:ascii="Arial" w:hAnsi="Arial" w:cs="Arial"/>
            <w:lang w:val="es-ES"/>
          </w:rPr>
          <w:t>https://www.justiciacordoba.gob.ar/justiciacordoba/servicios/ConsultaJuicios.aspx</w:t>
        </w:r>
      </w:hyperlink>
    </w:p>
    <w:p w14:paraId="4D451CD6"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Corrientes</w:t>
      </w:r>
      <w:r>
        <w:rPr>
          <w:rFonts w:ascii="Arial" w:hAnsi="Arial" w:cs="Arial"/>
          <w:color w:val="000000" w:themeColor="text1"/>
          <w:lang w:val="es-ES"/>
        </w:rPr>
        <w:t xml:space="preserve">, </w:t>
      </w:r>
      <w:hyperlink r:id="rId46" w:history="1">
        <w:r w:rsidRPr="00C013DE">
          <w:rPr>
            <w:rStyle w:val="Hipervnculo"/>
            <w:rFonts w:ascii="Arial" w:hAnsi="Arial" w:cs="Arial"/>
            <w:lang w:val="es-ES"/>
          </w:rPr>
          <w:t>https://forumna.juscorrientes.gov.ar/com.forumna.login</w:t>
        </w:r>
      </w:hyperlink>
    </w:p>
    <w:p w14:paraId="6F701794"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Formosa</w:t>
      </w:r>
      <w:r>
        <w:rPr>
          <w:rFonts w:ascii="Arial" w:hAnsi="Arial" w:cs="Arial"/>
          <w:color w:val="000000" w:themeColor="text1"/>
          <w:lang w:val="es-ES"/>
        </w:rPr>
        <w:t xml:space="preserve">, </w:t>
      </w:r>
      <w:hyperlink r:id="rId47" w:history="1">
        <w:r w:rsidRPr="00C013DE">
          <w:rPr>
            <w:rStyle w:val="Hipervnculo"/>
            <w:rFonts w:ascii="Arial" w:hAnsi="Arial" w:cs="Arial"/>
            <w:lang w:val="es-ES"/>
          </w:rPr>
          <w:t>https://ejusticia.jusformosa.gob.ar/</w:t>
        </w:r>
      </w:hyperlink>
    </w:p>
    <w:p w14:paraId="3A4580CD"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Jujuy</w:t>
      </w:r>
      <w:r>
        <w:rPr>
          <w:rFonts w:ascii="Arial" w:hAnsi="Arial" w:cs="Arial"/>
          <w:color w:val="000000" w:themeColor="text1"/>
          <w:lang w:val="es-ES"/>
        </w:rPr>
        <w:t xml:space="preserve">, </w:t>
      </w:r>
      <w:hyperlink r:id="rId48" w:history="1">
        <w:r w:rsidRPr="00C013DE">
          <w:rPr>
            <w:rStyle w:val="Hipervnculo"/>
            <w:rFonts w:ascii="Arial" w:hAnsi="Arial" w:cs="Arial"/>
            <w:lang w:val="es-ES"/>
          </w:rPr>
          <w:t>https://sigj.justiciajujuy.gov.ar/mentradas/index.php/consulta_web/index</w:t>
        </w:r>
      </w:hyperlink>
    </w:p>
    <w:p w14:paraId="176B11DD"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Pr>
          <w:rFonts w:ascii="Arial" w:hAnsi="Arial" w:cs="Arial"/>
          <w:color w:val="000000" w:themeColor="text1"/>
          <w:lang w:val="es-ES"/>
        </w:rPr>
        <w:t>La</w:t>
      </w:r>
      <w:r w:rsidRPr="00C013DE">
        <w:rPr>
          <w:rFonts w:ascii="Arial" w:hAnsi="Arial" w:cs="Arial"/>
          <w:color w:val="000000" w:themeColor="text1"/>
          <w:lang w:val="es-ES"/>
        </w:rPr>
        <w:t xml:space="preserve"> Pampa</w:t>
      </w:r>
      <w:r>
        <w:rPr>
          <w:rFonts w:ascii="Arial" w:hAnsi="Arial" w:cs="Arial"/>
          <w:color w:val="000000" w:themeColor="text1"/>
          <w:lang w:val="es-ES"/>
        </w:rPr>
        <w:t xml:space="preserve">, </w:t>
      </w:r>
      <w:hyperlink r:id="rId49" w:history="1">
        <w:r w:rsidRPr="00C013DE">
          <w:rPr>
            <w:rStyle w:val="Hipervnculo"/>
            <w:rFonts w:ascii="Arial" w:hAnsi="Arial" w:cs="Arial"/>
            <w:lang w:val="es-ES"/>
          </w:rPr>
          <w:t>https://civil.justicialapampa.gob.ar/Autenticacion.aspx?ReturnUrl=%2f</w:t>
        </w:r>
      </w:hyperlink>
    </w:p>
    <w:p w14:paraId="01991984"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Pr>
          <w:rFonts w:ascii="Arial" w:hAnsi="Arial" w:cs="Arial"/>
          <w:color w:val="000000" w:themeColor="text1"/>
          <w:lang w:val="es-ES"/>
        </w:rPr>
        <w:t>L</w:t>
      </w:r>
      <w:r w:rsidRPr="00C013DE">
        <w:rPr>
          <w:rFonts w:ascii="Arial" w:hAnsi="Arial" w:cs="Arial"/>
          <w:color w:val="000000" w:themeColor="text1"/>
          <w:lang w:val="es-ES"/>
        </w:rPr>
        <w:t>a Rioja</w:t>
      </w:r>
      <w:r>
        <w:rPr>
          <w:rFonts w:ascii="Arial" w:hAnsi="Arial" w:cs="Arial"/>
          <w:color w:val="000000" w:themeColor="text1"/>
          <w:lang w:val="es-ES"/>
        </w:rPr>
        <w:t xml:space="preserve">, </w:t>
      </w:r>
      <w:hyperlink r:id="rId50" w:history="1">
        <w:r w:rsidRPr="00C013DE">
          <w:rPr>
            <w:rStyle w:val="Hipervnculo"/>
            <w:rFonts w:ascii="Arial" w:hAnsi="Arial" w:cs="Arial"/>
            <w:lang w:val="es-ES"/>
          </w:rPr>
          <w:t>https://jusjoaquin.gob.ar/requerimientos</w:t>
        </w:r>
      </w:hyperlink>
    </w:p>
    <w:p w14:paraId="69748257"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Mendoza</w:t>
      </w:r>
      <w:r>
        <w:rPr>
          <w:rFonts w:ascii="Arial" w:hAnsi="Arial" w:cs="Arial"/>
          <w:color w:val="000000" w:themeColor="text1"/>
          <w:lang w:val="es-ES"/>
        </w:rPr>
        <w:t xml:space="preserve">, </w:t>
      </w:r>
      <w:hyperlink r:id="rId51" w:history="1">
        <w:r w:rsidRPr="00C013DE">
          <w:rPr>
            <w:rStyle w:val="Hipervnculo"/>
            <w:rFonts w:ascii="Arial" w:hAnsi="Arial" w:cs="Arial"/>
            <w:lang w:val="es-ES"/>
          </w:rPr>
          <w:t>https://iol.jus.mendoza.gov.ar/iol-ui/p/inicio</w:t>
        </w:r>
      </w:hyperlink>
    </w:p>
    <w:p w14:paraId="35B935F3"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Misiones</w:t>
      </w:r>
      <w:r>
        <w:rPr>
          <w:rFonts w:ascii="Arial" w:hAnsi="Arial" w:cs="Arial"/>
          <w:color w:val="000000" w:themeColor="text1"/>
          <w:lang w:val="es-ES"/>
        </w:rPr>
        <w:t xml:space="preserve">, </w:t>
      </w:r>
      <w:hyperlink r:id="rId52" w:history="1">
        <w:r w:rsidRPr="00C013DE">
          <w:rPr>
            <w:rStyle w:val="Hipervnculo"/>
            <w:rFonts w:ascii="Arial" w:hAnsi="Arial" w:cs="Arial"/>
            <w:lang w:val="es-ES"/>
          </w:rPr>
          <w:t>https://www.jusmisiones.gov.ar/consultas_online/forms/expedientes/listado.php#</w:t>
        </w:r>
      </w:hyperlink>
    </w:p>
    <w:p w14:paraId="1D577143" w14:textId="77777777"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Neuquén</w:t>
      </w:r>
      <w:r>
        <w:rPr>
          <w:rFonts w:ascii="Arial" w:hAnsi="Arial" w:cs="Arial"/>
          <w:color w:val="000000" w:themeColor="text1"/>
          <w:lang w:val="es-ES"/>
        </w:rPr>
        <w:t xml:space="preserve">, </w:t>
      </w:r>
      <w:hyperlink r:id="rId53" w:history="1">
        <w:r w:rsidRPr="00C013DE">
          <w:rPr>
            <w:rStyle w:val="Hipervnculo"/>
            <w:rFonts w:ascii="Arial" w:hAnsi="Arial" w:cs="Arial"/>
            <w:lang w:val="es-ES"/>
          </w:rPr>
          <w:t>http://200.0.228.132/apremios.nsf</w:t>
        </w:r>
      </w:hyperlink>
    </w:p>
    <w:p w14:paraId="3EA0E3D8" w14:textId="429787AE" w:rsidR="00C06FA4"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R</w:t>
      </w:r>
      <w:r w:rsidR="00513F32">
        <w:rPr>
          <w:rFonts w:ascii="Arial" w:hAnsi="Arial" w:cs="Arial"/>
          <w:color w:val="000000" w:themeColor="text1"/>
          <w:lang w:val="es-ES"/>
        </w:rPr>
        <w:t>í</w:t>
      </w:r>
      <w:r w:rsidRPr="00C013DE">
        <w:rPr>
          <w:rFonts w:ascii="Arial" w:hAnsi="Arial" w:cs="Arial"/>
          <w:color w:val="000000" w:themeColor="text1"/>
          <w:lang w:val="es-ES"/>
        </w:rPr>
        <w:t>o Negro</w:t>
      </w:r>
      <w:r>
        <w:rPr>
          <w:rFonts w:ascii="Arial" w:hAnsi="Arial" w:cs="Arial"/>
          <w:color w:val="000000" w:themeColor="text1"/>
          <w:lang w:val="es-ES"/>
        </w:rPr>
        <w:t xml:space="preserve">, </w:t>
      </w:r>
      <w:hyperlink r:id="rId54" w:history="1">
        <w:r w:rsidRPr="00C013DE">
          <w:rPr>
            <w:rStyle w:val="Hipervnculo"/>
            <w:rFonts w:ascii="Arial" w:hAnsi="Arial" w:cs="Arial"/>
            <w:lang w:val="es-ES"/>
          </w:rPr>
          <w:t>https://puma.jusrionegro.gov.ar/expjud/busqueda-publica</w:t>
        </w:r>
      </w:hyperlink>
    </w:p>
    <w:p w14:paraId="3D519A67" w14:textId="77777777" w:rsidR="00C06FA4" w:rsidRPr="00C013DE" w:rsidRDefault="00C06FA4" w:rsidP="00C06FA4">
      <w:pPr>
        <w:pStyle w:val="Prrafodelista"/>
        <w:numPr>
          <w:ilvl w:val="0"/>
          <w:numId w:val="18"/>
        </w:numPr>
        <w:spacing w:line="360" w:lineRule="auto"/>
        <w:rPr>
          <w:rFonts w:ascii="Arial" w:hAnsi="Arial" w:cs="Arial"/>
          <w:color w:val="000000" w:themeColor="text1"/>
          <w:lang w:val="es-ES"/>
        </w:rPr>
      </w:pPr>
      <w:r w:rsidRPr="00C013DE">
        <w:rPr>
          <w:rFonts w:ascii="Arial" w:hAnsi="Arial" w:cs="Arial"/>
          <w:color w:val="000000" w:themeColor="text1"/>
          <w:lang w:val="es-ES"/>
        </w:rPr>
        <w:t>Salta</w:t>
      </w:r>
      <w:r>
        <w:rPr>
          <w:rFonts w:ascii="Arial" w:hAnsi="Arial" w:cs="Arial"/>
          <w:color w:val="000000" w:themeColor="text1"/>
          <w:lang w:val="es-ES"/>
        </w:rPr>
        <w:t xml:space="preserve">, </w:t>
      </w:r>
      <w:hyperlink r:id="rId55" w:history="1">
        <w:r w:rsidRPr="00C013DE">
          <w:rPr>
            <w:rStyle w:val="Hipervnculo"/>
            <w:rFonts w:ascii="Arial" w:hAnsi="Arial" w:cs="Arial"/>
            <w:lang w:val="es-ES"/>
          </w:rPr>
          <w:t>https://plataforma.justiciasalta.gov.ar/iol-ui/p/inicio</w:t>
        </w:r>
      </w:hyperlink>
    </w:p>
    <w:p w14:paraId="7E9D3F73" w14:textId="77777777" w:rsidR="00C06FA4" w:rsidRDefault="00C06FA4" w:rsidP="00C06FA4">
      <w:pPr>
        <w:pStyle w:val="Prrafodelista"/>
        <w:numPr>
          <w:ilvl w:val="0"/>
          <w:numId w:val="17"/>
        </w:numPr>
        <w:spacing w:line="360" w:lineRule="auto"/>
        <w:rPr>
          <w:rFonts w:ascii="Arial" w:hAnsi="Arial" w:cs="Arial"/>
          <w:color w:val="000000" w:themeColor="text1"/>
          <w:lang w:val="es-ES"/>
        </w:rPr>
      </w:pPr>
      <w:r>
        <w:rPr>
          <w:rFonts w:ascii="Arial" w:hAnsi="Arial" w:cs="Arial"/>
          <w:color w:val="000000" w:themeColor="text1"/>
          <w:lang w:val="es-ES"/>
        </w:rPr>
        <w:t xml:space="preserve">San Juan, </w:t>
      </w:r>
      <w:hyperlink r:id="rId56" w:history="1">
        <w:r w:rsidRPr="00E20774">
          <w:rPr>
            <w:rStyle w:val="Hipervnculo"/>
            <w:rFonts w:ascii="Arial" w:hAnsi="Arial" w:cs="Arial"/>
            <w:lang w:val="es-ES"/>
          </w:rPr>
          <w:t>https://pignus.jussanjuan.gob.ar/api/?publickey=G0J9zKsANlpw0yialdRidnZmwal3ZwJZSYESQI9WZyv1QqdjmHLn4XBemvb1BscnXj8TEz9hliIce5ra3iV1jFSrd0i5cMLq7FMVRKCRDrGZsr7HiO2NhTK7f8hKr0zs&amp;redirect-to=https://mesavirtual.jussanjuan.gob.ar/login</w:t>
        </w:r>
      </w:hyperlink>
    </w:p>
    <w:p w14:paraId="71981D67" w14:textId="77777777" w:rsidR="00C06FA4" w:rsidRDefault="00C06FA4" w:rsidP="00C06FA4">
      <w:pPr>
        <w:pStyle w:val="Prrafodelista"/>
        <w:numPr>
          <w:ilvl w:val="0"/>
          <w:numId w:val="17"/>
        </w:numPr>
        <w:spacing w:line="360" w:lineRule="auto"/>
        <w:jc w:val="both"/>
        <w:rPr>
          <w:rFonts w:ascii="Arial" w:hAnsi="Arial" w:cs="Arial"/>
          <w:color w:val="000000" w:themeColor="text1"/>
          <w:lang w:val="es-ES"/>
        </w:rPr>
      </w:pPr>
      <w:r>
        <w:rPr>
          <w:rFonts w:ascii="Arial" w:hAnsi="Arial" w:cs="Arial"/>
          <w:color w:val="000000" w:themeColor="text1"/>
          <w:lang w:val="es-ES"/>
        </w:rPr>
        <w:t xml:space="preserve">San Luis, </w:t>
      </w:r>
      <w:hyperlink r:id="rId57" w:history="1">
        <w:r w:rsidRPr="00E20774">
          <w:rPr>
            <w:rStyle w:val="Hipervnculo"/>
            <w:rFonts w:ascii="Arial" w:hAnsi="Arial" w:cs="Arial"/>
            <w:lang w:val="es-ES"/>
          </w:rPr>
          <w:t>https://publico.justiciasanluis.gov.ar/</w:t>
        </w:r>
      </w:hyperlink>
    </w:p>
    <w:p w14:paraId="73ACF792" w14:textId="77777777" w:rsidR="00C06FA4" w:rsidRDefault="00C06FA4" w:rsidP="00C06FA4">
      <w:pPr>
        <w:pStyle w:val="Prrafodelista"/>
        <w:numPr>
          <w:ilvl w:val="0"/>
          <w:numId w:val="17"/>
        </w:numPr>
        <w:spacing w:line="360" w:lineRule="auto"/>
        <w:jc w:val="both"/>
        <w:rPr>
          <w:rFonts w:ascii="Arial" w:hAnsi="Arial" w:cs="Arial"/>
          <w:color w:val="000000" w:themeColor="text1"/>
          <w:lang w:val="es-ES"/>
        </w:rPr>
      </w:pPr>
      <w:r>
        <w:rPr>
          <w:rFonts w:ascii="Arial" w:hAnsi="Arial" w:cs="Arial"/>
          <w:color w:val="000000" w:themeColor="text1"/>
          <w:lang w:val="es-ES"/>
        </w:rPr>
        <w:t xml:space="preserve">Santa Cruz, </w:t>
      </w:r>
      <w:hyperlink r:id="rId58" w:history="1">
        <w:r w:rsidRPr="00E20774">
          <w:rPr>
            <w:rStyle w:val="Hipervnculo"/>
            <w:rFonts w:ascii="Arial" w:hAnsi="Arial" w:cs="Arial"/>
            <w:lang w:val="es-ES"/>
          </w:rPr>
          <w:t>https://intranet.jussantacruz.gob.ar/consulta_publica/</w:t>
        </w:r>
      </w:hyperlink>
    </w:p>
    <w:p w14:paraId="4DA27F52" w14:textId="77777777" w:rsidR="00C06FA4" w:rsidRDefault="00C06FA4" w:rsidP="00C06FA4">
      <w:pPr>
        <w:pStyle w:val="Prrafodelista"/>
        <w:numPr>
          <w:ilvl w:val="0"/>
          <w:numId w:val="17"/>
        </w:numPr>
        <w:spacing w:line="360" w:lineRule="auto"/>
        <w:jc w:val="both"/>
        <w:rPr>
          <w:rFonts w:ascii="Arial" w:hAnsi="Arial" w:cs="Arial"/>
          <w:color w:val="000000" w:themeColor="text1"/>
          <w:lang w:val="es-ES"/>
        </w:rPr>
      </w:pPr>
      <w:r>
        <w:rPr>
          <w:rFonts w:ascii="Arial" w:hAnsi="Arial" w:cs="Arial"/>
          <w:color w:val="000000" w:themeColor="text1"/>
          <w:lang w:val="es-ES"/>
        </w:rPr>
        <w:t xml:space="preserve">Santa Fe, </w:t>
      </w:r>
      <w:hyperlink r:id="rId59" w:history="1">
        <w:r w:rsidRPr="00E20774">
          <w:rPr>
            <w:rStyle w:val="Hipervnculo"/>
            <w:rFonts w:ascii="Arial" w:hAnsi="Arial" w:cs="Arial"/>
            <w:lang w:val="es-ES"/>
          </w:rPr>
          <w:t>https://sisfe.justiciasantafe.gov.ar/login-otros</w:t>
        </w:r>
      </w:hyperlink>
    </w:p>
    <w:p w14:paraId="6DFB3A30" w14:textId="77777777" w:rsidR="00C06FA4" w:rsidRDefault="00C06FA4" w:rsidP="00C06FA4">
      <w:pPr>
        <w:pStyle w:val="Prrafodelista"/>
        <w:numPr>
          <w:ilvl w:val="0"/>
          <w:numId w:val="17"/>
        </w:numPr>
        <w:spacing w:line="360" w:lineRule="auto"/>
        <w:jc w:val="both"/>
        <w:rPr>
          <w:rFonts w:ascii="Arial" w:hAnsi="Arial" w:cs="Arial"/>
          <w:color w:val="000000" w:themeColor="text1"/>
          <w:lang w:val="es-ES"/>
        </w:rPr>
      </w:pPr>
      <w:r>
        <w:rPr>
          <w:rFonts w:ascii="Arial" w:hAnsi="Arial" w:cs="Arial"/>
          <w:color w:val="000000" w:themeColor="text1"/>
          <w:lang w:val="es-ES"/>
        </w:rPr>
        <w:t xml:space="preserve">Santiago del Estero, </w:t>
      </w:r>
      <w:hyperlink r:id="rId60" w:history="1">
        <w:r w:rsidRPr="00E20774">
          <w:rPr>
            <w:rStyle w:val="Hipervnculo"/>
            <w:rFonts w:ascii="Arial" w:hAnsi="Arial" w:cs="Arial"/>
            <w:lang w:val="es-ES"/>
          </w:rPr>
          <w:t>https://oficinavirtual.jussantiago.gov.ar/index.php</w:t>
        </w:r>
      </w:hyperlink>
      <w:r>
        <w:rPr>
          <w:rFonts w:ascii="Arial" w:hAnsi="Arial" w:cs="Arial"/>
          <w:color w:val="000000" w:themeColor="text1"/>
          <w:lang w:val="es-ES"/>
        </w:rPr>
        <w:t xml:space="preserve">  </w:t>
      </w:r>
    </w:p>
    <w:p w14:paraId="59F435A1" w14:textId="77777777" w:rsidR="00C06FA4" w:rsidRDefault="00C06FA4" w:rsidP="00C06FA4">
      <w:pPr>
        <w:pStyle w:val="Prrafodelista"/>
        <w:numPr>
          <w:ilvl w:val="0"/>
          <w:numId w:val="17"/>
        </w:numPr>
        <w:spacing w:line="360" w:lineRule="auto"/>
        <w:jc w:val="both"/>
        <w:rPr>
          <w:rFonts w:ascii="Arial" w:hAnsi="Arial" w:cs="Arial"/>
          <w:color w:val="000000" w:themeColor="text1"/>
          <w:lang w:val="es-ES"/>
        </w:rPr>
      </w:pPr>
      <w:r>
        <w:rPr>
          <w:rFonts w:ascii="Arial" w:hAnsi="Arial" w:cs="Arial"/>
          <w:color w:val="000000" w:themeColor="text1"/>
          <w:lang w:val="es-ES"/>
        </w:rPr>
        <w:t xml:space="preserve">Tucumán, </w:t>
      </w:r>
      <w:hyperlink r:id="rId61" w:history="1">
        <w:r w:rsidRPr="00E20774">
          <w:rPr>
            <w:rStyle w:val="Hipervnculo"/>
            <w:rFonts w:ascii="Arial" w:hAnsi="Arial" w:cs="Arial"/>
            <w:lang w:val="es-ES"/>
          </w:rPr>
          <w:t>https://consultaexpedientes.justucuman.gov.ar/</w:t>
        </w:r>
      </w:hyperlink>
      <w:r>
        <w:rPr>
          <w:rFonts w:ascii="Arial" w:hAnsi="Arial" w:cs="Arial"/>
          <w:color w:val="000000" w:themeColor="text1"/>
          <w:lang w:val="es-ES"/>
        </w:rPr>
        <w:t xml:space="preserve"> </w:t>
      </w:r>
    </w:p>
    <w:p w14:paraId="08BA3470" w14:textId="2C54C568" w:rsidR="00C06FA4" w:rsidRPr="007137CD" w:rsidRDefault="00C06FA4" w:rsidP="00C06FA4">
      <w:pPr>
        <w:pStyle w:val="Prrafodelista"/>
        <w:numPr>
          <w:ilvl w:val="0"/>
          <w:numId w:val="17"/>
        </w:numPr>
        <w:spacing w:line="360" w:lineRule="auto"/>
        <w:jc w:val="both"/>
        <w:rPr>
          <w:rFonts w:ascii="Arial" w:hAnsi="Arial" w:cs="Arial"/>
          <w:color w:val="000000" w:themeColor="text1"/>
          <w:lang w:val="es-ES"/>
        </w:rPr>
      </w:pPr>
      <w:r>
        <w:rPr>
          <w:rFonts w:ascii="Arial" w:hAnsi="Arial" w:cs="Arial"/>
          <w:color w:val="000000" w:themeColor="text1"/>
          <w:lang w:val="es-ES"/>
        </w:rPr>
        <w:t xml:space="preserve">Tierra del </w:t>
      </w:r>
      <w:r w:rsidR="00513F32">
        <w:rPr>
          <w:rFonts w:ascii="Arial" w:hAnsi="Arial" w:cs="Arial"/>
          <w:color w:val="000000" w:themeColor="text1"/>
          <w:lang w:val="es-ES"/>
        </w:rPr>
        <w:t>F</w:t>
      </w:r>
      <w:r>
        <w:rPr>
          <w:rFonts w:ascii="Arial" w:hAnsi="Arial" w:cs="Arial"/>
          <w:color w:val="000000" w:themeColor="text1"/>
          <w:lang w:val="es-ES"/>
        </w:rPr>
        <w:t xml:space="preserve">uego e islas del </w:t>
      </w:r>
      <w:r w:rsidR="00513F32">
        <w:rPr>
          <w:rFonts w:ascii="Arial" w:hAnsi="Arial" w:cs="Arial"/>
          <w:color w:val="000000" w:themeColor="text1"/>
          <w:lang w:val="es-ES"/>
        </w:rPr>
        <w:t>A</w:t>
      </w:r>
      <w:r>
        <w:rPr>
          <w:rFonts w:ascii="Arial" w:hAnsi="Arial" w:cs="Arial"/>
          <w:color w:val="000000" w:themeColor="text1"/>
          <w:lang w:val="es-ES"/>
        </w:rPr>
        <w:t xml:space="preserve">tlántico </w:t>
      </w:r>
      <w:r w:rsidR="00513F32">
        <w:rPr>
          <w:rFonts w:ascii="Arial" w:hAnsi="Arial" w:cs="Arial"/>
          <w:color w:val="000000" w:themeColor="text1"/>
          <w:lang w:val="es-ES"/>
        </w:rPr>
        <w:t>S</w:t>
      </w:r>
      <w:r>
        <w:rPr>
          <w:rFonts w:ascii="Arial" w:hAnsi="Arial" w:cs="Arial"/>
          <w:color w:val="000000" w:themeColor="text1"/>
          <w:lang w:val="es-ES"/>
        </w:rPr>
        <w:t>ur,</w:t>
      </w:r>
      <w:r w:rsidRPr="00AC302F">
        <w:t xml:space="preserve"> </w:t>
      </w:r>
      <w:hyperlink r:id="rId62" w:history="1">
        <w:r w:rsidRPr="00E20774">
          <w:rPr>
            <w:rStyle w:val="Hipervnculo"/>
            <w:rFonts w:ascii="Arial" w:hAnsi="Arial" w:cs="Arial"/>
            <w:lang w:val="es-ES"/>
          </w:rPr>
          <w:t>https://kayen.justierradelfuego.gov.ar/</w:t>
        </w:r>
      </w:hyperlink>
      <w:r>
        <w:rPr>
          <w:rFonts w:ascii="Arial" w:hAnsi="Arial" w:cs="Arial"/>
          <w:color w:val="000000" w:themeColor="text1"/>
          <w:lang w:val="es-ES"/>
        </w:rPr>
        <w:t xml:space="preserve"> </w:t>
      </w:r>
    </w:p>
    <w:p w14:paraId="02F76A90" w14:textId="77777777" w:rsidR="00412913" w:rsidRPr="00AC302F" w:rsidRDefault="00412913" w:rsidP="0011009A">
      <w:pPr>
        <w:widowControl w:val="0"/>
        <w:spacing w:line="360" w:lineRule="auto"/>
        <w:jc w:val="both"/>
        <w:rPr>
          <w:rFonts w:ascii="Arial" w:hAnsi="Arial" w:cs="Arial"/>
          <w:bCs/>
          <w:lang w:val="es-ES"/>
        </w:rPr>
      </w:pPr>
    </w:p>
    <w:p w14:paraId="639B03D6" w14:textId="12C08B94" w:rsidR="009B1FEE" w:rsidRPr="00121EC9" w:rsidRDefault="00412913" w:rsidP="0011009A">
      <w:pPr>
        <w:widowControl w:val="0"/>
        <w:spacing w:line="360" w:lineRule="auto"/>
        <w:jc w:val="both"/>
        <w:rPr>
          <w:rFonts w:ascii="Arial" w:hAnsi="Arial" w:cs="Arial"/>
          <w:b/>
          <w:u w:val="single"/>
        </w:rPr>
      </w:pPr>
      <w:r w:rsidRPr="007E2C6C">
        <w:rPr>
          <w:rFonts w:ascii="Arial" w:hAnsi="Arial" w:cs="Arial"/>
          <w:b/>
          <w:u w:val="single"/>
        </w:rPr>
        <w:t>BIBLIOGRAFIA</w:t>
      </w:r>
      <w:r w:rsidR="007E2C6C">
        <w:rPr>
          <w:rFonts w:ascii="Arial" w:hAnsi="Arial" w:cs="Arial"/>
          <w:b/>
          <w:u w:val="single"/>
        </w:rPr>
        <w:t>.</w:t>
      </w:r>
    </w:p>
    <w:p w14:paraId="6AF945DB" w14:textId="77777777" w:rsidR="009202CC" w:rsidRPr="00E21149" w:rsidRDefault="009202CC" w:rsidP="00E21149">
      <w:pPr>
        <w:spacing w:line="360" w:lineRule="auto"/>
        <w:ind w:firstLine="1134"/>
        <w:jc w:val="both"/>
        <w:rPr>
          <w:rFonts w:ascii="Arial" w:hAnsi="Arial" w:cs="Arial"/>
          <w:lang w:val="es-ES"/>
        </w:rPr>
      </w:pPr>
      <w:r w:rsidRPr="009B1FEE">
        <w:rPr>
          <w:rFonts w:ascii="Arial" w:hAnsi="Arial" w:cs="Arial"/>
          <w:smallCaps/>
          <w:lang w:val="es-ES"/>
        </w:rPr>
        <w:t>Aguiló Regla</w:t>
      </w:r>
      <w:r w:rsidRPr="009B1FEE">
        <w:rPr>
          <w:rFonts w:ascii="Arial" w:hAnsi="Arial" w:cs="Arial"/>
          <w:lang w:val="es-ES"/>
        </w:rPr>
        <w:t>, Josep y otro, “Fuentes del derecho. Dos visiones.”, Astrea, Buenos Aires, 2012</w:t>
      </w:r>
      <w:r>
        <w:rPr>
          <w:rFonts w:ascii="Arial" w:hAnsi="Arial" w:cs="Arial"/>
          <w:lang w:val="es-ES"/>
        </w:rPr>
        <w:t>.</w:t>
      </w:r>
    </w:p>
    <w:p w14:paraId="77F9E215"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rPr>
        <w:t>Alvarado Velloso</w:t>
      </w:r>
      <w:r w:rsidRPr="002B74B3">
        <w:rPr>
          <w:rFonts w:ascii="Arial" w:hAnsi="Arial" w:cs="Arial"/>
        </w:rPr>
        <w:t>, Adolfo y otro “Código Procesal Civil y Comercial de la Nación”, Tomo IV, Rubinzal Culzoni, Santa Fe, 1989</w:t>
      </w:r>
    </w:p>
    <w:p w14:paraId="486345D3" w14:textId="42571CFA"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rPr>
        <w:t>Alvarado Velloso</w:t>
      </w:r>
      <w:r w:rsidRPr="00B91968">
        <w:rPr>
          <w:rFonts w:ascii="Arial" w:hAnsi="Arial" w:cs="Arial"/>
          <w:lang w:val="es-ES"/>
        </w:rPr>
        <w:t>, Adolfo y otro “Código Procesal Civil y Comercial de la Nación”, Tomo VIII, Rubinzal Culzoni, Santa Fe, 1994</w:t>
      </w:r>
      <w:r>
        <w:rPr>
          <w:rFonts w:ascii="Arial" w:hAnsi="Arial" w:cs="Arial"/>
          <w:lang w:val="es-ES"/>
        </w:rPr>
        <w:t>.</w:t>
      </w:r>
    </w:p>
    <w:p w14:paraId="237A95C8" w14:textId="77777777" w:rsidR="009202CC" w:rsidRPr="00E21149" w:rsidRDefault="009202CC" w:rsidP="00E21149">
      <w:pPr>
        <w:spacing w:line="360" w:lineRule="auto"/>
        <w:ind w:firstLine="1134"/>
        <w:jc w:val="both"/>
        <w:rPr>
          <w:rFonts w:ascii="Arial" w:hAnsi="Arial" w:cs="Arial"/>
          <w:lang w:val="es-ES"/>
        </w:rPr>
      </w:pPr>
      <w:r w:rsidRPr="00E21149">
        <w:rPr>
          <w:rFonts w:ascii="Arial" w:hAnsi="Arial" w:cs="Arial"/>
          <w:smallCaps/>
          <w:lang w:val="es-ES"/>
        </w:rPr>
        <w:t>Alvarado Velloso</w:t>
      </w:r>
      <w:r w:rsidRPr="00E21149">
        <w:rPr>
          <w:rFonts w:ascii="Arial" w:hAnsi="Arial" w:cs="Arial"/>
          <w:lang w:val="es-ES"/>
        </w:rPr>
        <w:t>, Adolfo, “Sistema Procesal – Garantía de Libertad”, Tomo I, Rubinzal Culzoni, Santa Fe, 2009.</w:t>
      </w:r>
    </w:p>
    <w:p w14:paraId="30D0E33D" w14:textId="77777777" w:rsidR="009202CC" w:rsidRPr="002B74B3" w:rsidRDefault="009202CC" w:rsidP="00E21149">
      <w:pPr>
        <w:spacing w:line="360" w:lineRule="auto"/>
        <w:ind w:firstLine="1134"/>
        <w:jc w:val="both"/>
        <w:rPr>
          <w:rFonts w:ascii="Arial" w:hAnsi="Arial" w:cs="Arial"/>
          <w:lang w:val="es-ES"/>
        </w:rPr>
      </w:pPr>
      <w:r w:rsidRPr="00E21149">
        <w:rPr>
          <w:rFonts w:ascii="Arial" w:hAnsi="Arial" w:cs="Arial"/>
          <w:smallCaps/>
          <w:lang w:val="es-ES"/>
        </w:rPr>
        <w:lastRenderedPageBreak/>
        <w:t xml:space="preserve">Alvarado </w:t>
      </w:r>
      <w:r w:rsidRPr="002B74B3">
        <w:rPr>
          <w:rFonts w:ascii="Arial" w:hAnsi="Arial" w:cs="Arial"/>
          <w:smallCaps/>
          <w:lang w:val="es-ES"/>
        </w:rPr>
        <w:t>Velloso</w:t>
      </w:r>
      <w:r w:rsidRPr="002B74B3">
        <w:rPr>
          <w:rFonts w:ascii="Arial" w:hAnsi="Arial" w:cs="Arial"/>
          <w:lang w:val="es-ES"/>
        </w:rPr>
        <w:t>, Adolfo, “Sistema Procesal – Garantía de Libertad”, Tomo II, Rubinzal Culzoni, Santa Fe, 2009</w:t>
      </w:r>
    </w:p>
    <w:p w14:paraId="58AA5CDF" w14:textId="77777777" w:rsidR="009202CC" w:rsidRPr="002B74B3" w:rsidRDefault="009202CC" w:rsidP="00E21149">
      <w:pPr>
        <w:spacing w:line="360" w:lineRule="auto"/>
        <w:ind w:firstLine="1134"/>
        <w:jc w:val="both"/>
        <w:rPr>
          <w:rFonts w:ascii="Arial" w:hAnsi="Arial" w:cs="Arial"/>
        </w:rPr>
      </w:pPr>
      <w:r w:rsidRPr="002B74B3">
        <w:rPr>
          <w:rFonts w:ascii="Arial" w:hAnsi="Arial" w:cs="Arial"/>
          <w:smallCaps/>
        </w:rPr>
        <w:t>Bobbio</w:t>
      </w:r>
      <w:r w:rsidRPr="002B74B3">
        <w:rPr>
          <w:rFonts w:ascii="Arial" w:hAnsi="Arial" w:cs="Arial"/>
        </w:rPr>
        <w:t>, Norberto, “</w:t>
      </w:r>
      <w:r w:rsidRPr="002B74B3">
        <w:rPr>
          <w:rFonts w:ascii="Arial" w:hAnsi="Arial" w:cs="Arial"/>
          <w:i/>
          <w:iCs/>
        </w:rPr>
        <w:t>Estado, Gobierno y Sociedad, Por una teoría general de la Política</w:t>
      </w:r>
      <w:r w:rsidRPr="002B74B3">
        <w:rPr>
          <w:rFonts w:ascii="Arial" w:hAnsi="Arial" w:cs="Arial"/>
        </w:rPr>
        <w:t>”, Fondo de Cultura Económica, México D.F., 2014.</w:t>
      </w:r>
    </w:p>
    <w:p w14:paraId="1AB9BC51" w14:textId="77777777" w:rsidR="009202CC" w:rsidRPr="002B74B3" w:rsidRDefault="009202CC" w:rsidP="00E21149">
      <w:pPr>
        <w:spacing w:line="360" w:lineRule="auto"/>
        <w:ind w:firstLine="1134"/>
        <w:jc w:val="both"/>
        <w:rPr>
          <w:rFonts w:ascii="Arial" w:hAnsi="Arial" w:cs="Arial"/>
          <w:lang w:val="en-US"/>
        </w:rPr>
      </w:pPr>
      <w:r w:rsidRPr="002B74B3">
        <w:rPr>
          <w:rFonts w:ascii="Arial" w:hAnsi="Arial" w:cs="Arial"/>
          <w:smallCaps/>
          <w:lang w:val="en-US"/>
        </w:rPr>
        <w:t>Brandeis,</w:t>
      </w:r>
      <w:r w:rsidRPr="002B74B3">
        <w:rPr>
          <w:rFonts w:ascii="Arial" w:hAnsi="Arial" w:cs="Arial"/>
          <w:lang w:val="en-US"/>
        </w:rPr>
        <w:t xml:space="preserve"> Louis D., “</w:t>
      </w:r>
      <w:r w:rsidRPr="002B74B3">
        <w:rPr>
          <w:rFonts w:ascii="Arial" w:hAnsi="Arial" w:cs="Arial"/>
          <w:i/>
          <w:iCs/>
          <w:lang w:val="en-US"/>
        </w:rPr>
        <w:t>Other people money, and how the bankers use it</w:t>
      </w:r>
      <w:r w:rsidRPr="002B74B3">
        <w:rPr>
          <w:rFonts w:ascii="Arial" w:hAnsi="Arial" w:cs="Arial"/>
          <w:lang w:val="en-US"/>
        </w:rPr>
        <w:t>”, Frederik A. Stokes Company, New York, 1914.</w:t>
      </w:r>
    </w:p>
    <w:p w14:paraId="627A3914"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Cafferata Nores</w:t>
      </w:r>
      <w:r w:rsidRPr="002B74B3">
        <w:rPr>
          <w:rFonts w:ascii="Arial" w:hAnsi="Arial" w:cs="Arial"/>
        </w:rPr>
        <w:t xml:space="preserve"> José I. y otra., “</w:t>
      </w:r>
      <w:r w:rsidRPr="002B74B3">
        <w:rPr>
          <w:rFonts w:ascii="Arial" w:hAnsi="Arial" w:cs="Arial"/>
          <w:i/>
          <w:iCs/>
        </w:rPr>
        <w:t>Código Procesal Penal de la Provincia de Córdoba</w:t>
      </w:r>
      <w:r w:rsidRPr="002B74B3">
        <w:rPr>
          <w:rFonts w:ascii="Arial" w:hAnsi="Arial" w:cs="Arial"/>
        </w:rPr>
        <w:t>”, Tomo II,  Mediterránea, Córdoba, 2003</w:t>
      </w:r>
    </w:p>
    <w:p w14:paraId="05ECA350"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Chiacchiera</w:t>
      </w:r>
      <w:r w:rsidRPr="002B74B3">
        <w:rPr>
          <w:rFonts w:ascii="Arial" w:hAnsi="Arial" w:cs="Arial"/>
          <w:lang w:val="es-ES"/>
        </w:rPr>
        <w:t xml:space="preserve"> Castro, Paulina R. y otro (directores), “El derecho de acceso a la información pública en la Provincia de Córdoba – Ley 8.803”, Advocatus, Córdoba, 2020.</w:t>
      </w:r>
    </w:p>
    <w:p w14:paraId="6241EEE1"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Cicerón</w:t>
      </w:r>
      <w:r w:rsidRPr="002B74B3">
        <w:rPr>
          <w:rFonts w:ascii="Arial" w:hAnsi="Arial" w:cs="Arial"/>
          <w:lang w:val="es-ES"/>
        </w:rPr>
        <w:t>, Marco T. “</w:t>
      </w:r>
      <w:r w:rsidRPr="002B74B3">
        <w:rPr>
          <w:rFonts w:ascii="Arial" w:hAnsi="Arial" w:cs="Arial"/>
          <w:i/>
          <w:iCs/>
          <w:lang w:val="es-ES"/>
        </w:rPr>
        <w:t>Sobre la República</w:t>
      </w:r>
      <w:r w:rsidRPr="002B74B3">
        <w:rPr>
          <w:rFonts w:ascii="Arial" w:hAnsi="Arial" w:cs="Arial"/>
          <w:lang w:val="es-ES"/>
        </w:rPr>
        <w:t>”, Gredos, Madrid, 1991.</w:t>
      </w:r>
    </w:p>
    <w:p w14:paraId="16761E22"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rPr>
        <w:t>Einaudi</w:t>
      </w:r>
      <w:r w:rsidRPr="002B74B3">
        <w:rPr>
          <w:rFonts w:ascii="Arial" w:hAnsi="Arial" w:cs="Arial"/>
        </w:rPr>
        <w:t>, Luigi, "Prediche inutili", Giulio Einaudi, Torino, 1956.</w:t>
      </w:r>
    </w:p>
    <w:p w14:paraId="4C6EC383" w14:textId="77777777" w:rsidR="009202CC" w:rsidRPr="00B036D4" w:rsidRDefault="009202CC" w:rsidP="00E21149">
      <w:pPr>
        <w:spacing w:line="360" w:lineRule="auto"/>
        <w:ind w:firstLine="1134"/>
        <w:jc w:val="both"/>
        <w:rPr>
          <w:rFonts w:ascii="Arial" w:hAnsi="Arial" w:cs="Arial"/>
          <w:lang w:val="en-US"/>
        </w:rPr>
      </w:pPr>
      <w:r w:rsidRPr="00B036D4">
        <w:rPr>
          <w:rFonts w:ascii="Arial" w:eastAsia="Calibri" w:hAnsi="Arial" w:cs="Arial"/>
          <w:smallCaps/>
          <w:kern w:val="2"/>
          <w:lang w:eastAsia="en-US"/>
        </w:rPr>
        <w:t>Falcon</w:t>
      </w:r>
      <w:r w:rsidRPr="00B036D4">
        <w:rPr>
          <w:rFonts w:ascii="Arial" w:hAnsi="Arial" w:cs="Arial"/>
          <w:smallCaps/>
        </w:rPr>
        <w:t xml:space="preserve">, </w:t>
      </w:r>
      <w:r w:rsidRPr="00B036D4">
        <w:rPr>
          <w:rFonts w:ascii="Arial" w:hAnsi="Arial" w:cs="Arial"/>
        </w:rPr>
        <w:t>Enrique M., “</w:t>
      </w:r>
      <w:r w:rsidRPr="00B036D4">
        <w:rPr>
          <w:rFonts w:ascii="Arial" w:hAnsi="Arial" w:cs="Arial"/>
          <w:i/>
          <w:iCs/>
        </w:rPr>
        <w:t>Código Procesal Civil y Comercial de la Nación</w:t>
      </w:r>
      <w:r w:rsidRPr="00B036D4">
        <w:rPr>
          <w:rFonts w:ascii="Arial" w:hAnsi="Arial" w:cs="Arial"/>
        </w:rPr>
        <w:t>”, Tomo II, Astrea, Buenos Aires, 2006</w:t>
      </w:r>
    </w:p>
    <w:p w14:paraId="504F452A"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rPr>
        <w:t>Ferrajoli</w:t>
      </w:r>
      <w:r w:rsidRPr="002B74B3">
        <w:rPr>
          <w:rFonts w:ascii="Arial" w:hAnsi="Arial" w:cs="Arial"/>
        </w:rPr>
        <w:t>, Luigi, "Derecho y Razón. Teoría del Garantismo Penal", Ed. Trotta, Madrid, 1995.</w:t>
      </w:r>
    </w:p>
    <w:p w14:paraId="0C1D4E87" w14:textId="77777777" w:rsidR="009202CC" w:rsidRDefault="009202CC" w:rsidP="00E21149">
      <w:pPr>
        <w:spacing w:line="360" w:lineRule="auto"/>
        <w:ind w:firstLine="1134"/>
        <w:jc w:val="both"/>
        <w:rPr>
          <w:rFonts w:ascii="Arial" w:hAnsi="Arial" w:cs="Arial"/>
          <w:lang w:val="es-ES"/>
        </w:rPr>
      </w:pPr>
      <w:r w:rsidRPr="002B74B3">
        <w:rPr>
          <w:rFonts w:ascii="Arial" w:hAnsi="Arial" w:cs="Arial"/>
          <w:smallCaps/>
          <w:lang w:val="es-ES"/>
        </w:rPr>
        <w:t>Gelli</w:t>
      </w:r>
      <w:r w:rsidRPr="002B74B3">
        <w:rPr>
          <w:rFonts w:ascii="Arial" w:hAnsi="Arial" w:cs="Arial"/>
          <w:lang w:val="es-ES"/>
        </w:rPr>
        <w:t>, María A. “</w:t>
      </w:r>
      <w:r w:rsidRPr="002B74B3">
        <w:rPr>
          <w:rFonts w:ascii="Arial" w:hAnsi="Arial" w:cs="Arial"/>
          <w:i/>
          <w:iCs/>
          <w:lang w:val="es-ES"/>
        </w:rPr>
        <w:t>Constitución de la Nación Argentina, Comentada y Anotada</w:t>
      </w:r>
      <w:r w:rsidRPr="002B74B3">
        <w:rPr>
          <w:rFonts w:ascii="Arial" w:hAnsi="Arial" w:cs="Arial"/>
          <w:lang w:val="es-ES"/>
        </w:rPr>
        <w:t>”, La ley, Buenos Aires, 2006.</w:t>
      </w:r>
    </w:p>
    <w:p w14:paraId="5B5A4498"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González Castro</w:t>
      </w:r>
      <w:r w:rsidRPr="002B74B3">
        <w:rPr>
          <w:rFonts w:ascii="Arial" w:hAnsi="Arial" w:cs="Arial"/>
          <w:lang w:val="es-ES"/>
        </w:rPr>
        <w:t>, Manuel A., “</w:t>
      </w:r>
      <w:r w:rsidRPr="002B74B3">
        <w:rPr>
          <w:rFonts w:ascii="Arial" w:hAnsi="Arial" w:cs="Arial"/>
          <w:i/>
          <w:iCs/>
          <w:lang w:val="es-ES"/>
        </w:rPr>
        <w:t>Código Procesal Civil y Comercial de la Provincia de Córdoba</w:t>
      </w:r>
      <w:r w:rsidRPr="002B74B3">
        <w:rPr>
          <w:rFonts w:ascii="Arial" w:hAnsi="Arial" w:cs="Arial"/>
          <w:lang w:val="es-ES"/>
        </w:rPr>
        <w:t>”, Advocatus, Córdoba, 2023.</w:t>
      </w:r>
    </w:p>
    <w:p w14:paraId="310653DC"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 xml:space="preserve">González Castro, </w:t>
      </w:r>
      <w:r w:rsidRPr="002B74B3">
        <w:rPr>
          <w:rFonts w:ascii="Arial" w:hAnsi="Arial" w:cs="Arial"/>
          <w:color w:val="000000" w:themeColor="text1"/>
          <w:lang w:val="es-ES"/>
        </w:rPr>
        <w:t>Manuel A., “</w:t>
      </w:r>
      <w:r w:rsidRPr="002B74B3">
        <w:rPr>
          <w:rFonts w:ascii="Arial" w:hAnsi="Arial" w:cs="Arial"/>
          <w:i/>
          <w:iCs/>
          <w:color w:val="000000" w:themeColor="text1"/>
          <w:lang w:val="es-ES"/>
        </w:rPr>
        <w:t>Teoría General de las Impugnaciones</w:t>
      </w:r>
      <w:r w:rsidRPr="002B74B3">
        <w:rPr>
          <w:rFonts w:ascii="Arial" w:hAnsi="Arial" w:cs="Arial"/>
          <w:color w:val="000000" w:themeColor="text1"/>
          <w:lang w:val="es-ES"/>
        </w:rPr>
        <w:t>”, Advocatus, Córdoba, 2024.</w:t>
      </w:r>
    </w:p>
    <w:p w14:paraId="5ACBF430"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Montesquieu</w:t>
      </w:r>
      <w:r w:rsidRPr="002B74B3">
        <w:rPr>
          <w:rFonts w:ascii="Arial" w:hAnsi="Arial" w:cs="Arial"/>
          <w:lang w:val="es-ES"/>
        </w:rPr>
        <w:t>, “</w:t>
      </w:r>
      <w:r w:rsidRPr="002B74B3">
        <w:rPr>
          <w:rFonts w:ascii="Arial" w:hAnsi="Arial" w:cs="Arial"/>
          <w:i/>
          <w:iCs/>
          <w:lang w:val="es-ES"/>
        </w:rPr>
        <w:t>El espíritu de las leyes</w:t>
      </w:r>
      <w:r w:rsidRPr="002B74B3">
        <w:rPr>
          <w:rFonts w:ascii="Arial" w:hAnsi="Arial" w:cs="Arial"/>
          <w:lang w:val="es-ES"/>
        </w:rPr>
        <w:t>”, Partido de la Revolución Democrática, México, 2018.</w:t>
      </w:r>
    </w:p>
    <w:p w14:paraId="5D63CA66"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Nino,</w:t>
      </w:r>
      <w:r w:rsidRPr="002B74B3">
        <w:rPr>
          <w:rFonts w:ascii="Arial" w:hAnsi="Arial" w:cs="Arial"/>
          <w:lang w:val="es-ES"/>
        </w:rPr>
        <w:t xml:space="preserve"> Carlos S., “</w:t>
      </w:r>
      <w:r w:rsidRPr="002B74B3">
        <w:rPr>
          <w:rFonts w:ascii="Arial" w:hAnsi="Arial" w:cs="Arial"/>
          <w:i/>
          <w:iCs/>
          <w:lang w:val="es-ES"/>
        </w:rPr>
        <w:t>Fundamentos de derecho constitucional</w:t>
      </w:r>
      <w:r w:rsidRPr="002B74B3">
        <w:rPr>
          <w:rFonts w:ascii="Arial" w:hAnsi="Arial" w:cs="Arial"/>
          <w:lang w:val="es-ES"/>
        </w:rPr>
        <w:t>”, ASTREA, Buenos Aires, 2017.</w:t>
      </w:r>
    </w:p>
    <w:p w14:paraId="585899A6" w14:textId="77777777" w:rsidR="009202CC" w:rsidRPr="002B74B3" w:rsidRDefault="009202CC" w:rsidP="00E21149">
      <w:pPr>
        <w:spacing w:line="360" w:lineRule="auto"/>
        <w:ind w:firstLine="1134"/>
        <w:jc w:val="both"/>
        <w:rPr>
          <w:rFonts w:ascii="Arial" w:hAnsi="Arial" w:cs="Arial"/>
          <w:lang w:val="es-ES"/>
        </w:rPr>
      </w:pPr>
      <w:r w:rsidRPr="002B74B3">
        <w:rPr>
          <w:rFonts w:ascii="Arial" w:eastAsia="Calibri" w:hAnsi="Arial" w:cs="Arial"/>
          <w:smallCaps/>
          <w:kern w:val="2"/>
          <w:lang w:val="es-ES" w:eastAsia="en-US"/>
        </w:rPr>
        <w:t>Nuñez, Sergio</w:t>
      </w:r>
      <w:r w:rsidRPr="002B74B3">
        <w:rPr>
          <w:rFonts w:ascii="Arial" w:hAnsi="Arial" w:cs="Arial"/>
          <w:color w:val="000000" w:themeColor="text1"/>
          <w:lang w:val="es-ES"/>
        </w:rPr>
        <w:t xml:space="preserve"> (Director), Código Procesal Penal de la Provincia de Córdoba, Ley 8.123”, Tomo II, Toledo, Córdoba. 2021.</w:t>
      </w:r>
    </w:p>
    <w:p w14:paraId="5A0B530A" w14:textId="4D865BF2"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rPr>
        <w:t>Ortiz de Zárate</w:t>
      </w:r>
      <w:r w:rsidRPr="002B74B3">
        <w:rPr>
          <w:rFonts w:ascii="Arial" w:hAnsi="Arial" w:cs="Arial"/>
        </w:rPr>
        <w:t>, Juan Manuel y otros, “Sesgos algorítmicos y representación social en los modelos de lenguaje generativo (LLM), “ Fundar, Buenos Aires, 2024.</w:t>
      </w:r>
    </w:p>
    <w:p w14:paraId="7F7D8962"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rPr>
        <w:t>Puccinelli,</w:t>
      </w:r>
      <w:r w:rsidRPr="002B74B3">
        <w:rPr>
          <w:rFonts w:ascii="Arial" w:hAnsi="Arial" w:cs="Arial"/>
        </w:rPr>
        <w:t xml:space="preserve"> Claudio, “</w:t>
      </w:r>
      <w:r w:rsidRPr="002B74B3">
        <w:rPr>
          <w:rFonts w:ascii="Arial" w:hAnsi="Arial" w:cs="Arial"/>
          <w:i/>
          <w:iCs/>
        </w:rPr>
        <w:t>Influencias de los medios de comunicación en los procesos judiciales</w:t>
      </w:r>
      <w:r w:rsidRPr="002B74B3">
        <w:rPr>
          <w:rFonts w:ascii="Arial" w:hAnsi="Arial" w:cs="Arial"/>
        </w:rPr>
        <w:t>”, Tesis de la Maestría en Derecho Procesal, UNR.</w:t>
      </w:r>
    </w:p>
    <w:p w14:paraId="0E0C843E" w14:textId="77777777" w:rsidR="009202CC" w:rsidRPr="002B74B3" w:rsidRDefault="009202CC" w:rsidP="00E21149">
      <w:pPr>
        <w:spacing w:line="360" w:lineRule="auto"/>
        <w:ind w:firstLine="1134"/>
        <w:jc w:val="both"/>
        <w:rPr>
          <w:rFonts w:ascii="Arial" w:hAnsi="Arial" w:cs="Arial"/>
          <w:lang w:val="en-US"/>
        </w:rPr>
      </w:pPr>
      <w:r w:rsidRPr="002B74B3">
        <w:rPr>
          <w:rFonts w:ascii="Arial" w:hAnsi="Arial" w:cs="Arial"/>
          <w:smallCaps/>
          <w:lang w:val="en-US"/>
        </w:rPr>
        <w:t>Simmel,</w:t>
      </w:r>
      <w:r w:rsidRPr="002B74B3">
        <w:rPr>
          <w:rFonts w:ascii="Arial" w:hAnsi="Arial" w:cs="Arial"/>
          <w:lang w:val="en-US"/>
        </w:rPr>
        <w:t xml:space="preserve"> George, “</w:t>
      </w:r>
      <w:r w:rsidRPr="002B74B3">
        <w:rPr>
          <w:rFonts w:ascii="Arial" w:hAnsi="Arial" w:cs="Arial"/>
          <w:i/>
          <w:iCs/>
          <w:lang w:val="en-US"/>
        </w:rPr>
        <w:t>The Sociology of Secrecy and of Secret Societies</w:t>
      </w:r>
      <w:r w:rsidRPr="002B74B3">
        <w:rPr>
          <w:rFonts w:ascii="Arial" w:hAnsi="Arial" w:cs="Arial"/>
          <w:lang w:val="en-US"/>
        </w:rPr>
        <w:t>”, extraído de “American Journal of Sociology, Jan., 1906, Vol. 11, No. 4, Chicago, 1906, pp. 441- 498.</w:t>
      </w:r>
    </w:p>
    <w:p w14:paraId="1139F9F2" w14:textId="77777777" w:rsidR="009202CC" w:rsidRPr="00B036D4" w:rsidRDefault="009202CC" w:rsidP="00E21149">
      <w:pPr>
        <w:spacing w:line="360" w:lineRule="auto"/>
        <w:ind w:firstLine="1134"/>
        <w:jc w:val="both"/>
        <w:rPr>
          <w:rFonts w:ascii="Arial" w:hAnsi="Arial" w:cs="Arial"/>
          <w:color w:val="000000" w:themeColor="text1"/>
          <w:lang w:val="es-ES"/>
        </w:rPr>
      </w:pPr>
      <w:r w:rsidRPr="00B036D4">
        <w:rPr>
          <w:rFonts w:ascii="Arial" w:hAnsi="Arial" w:cs="Arial"/>
          <w:smallCaps/>
          <w:lang w:val="es-ES"/>
        </w:rPr>
        <w:lastRenderedPageBreak/>
        <w:t xml:space="preserve">Venica, </w:t>
      </w:r>
      <w:r w:rsidRPr="00B036D4">
        <w:rPr>
          <w:rFonts w:ascii="Arial" w:hAnsi="Arial" w:cs="Arial"/>
          <w:color w:val="000000" w:themeColor="text1"/>
          <w:lang w:val="es-ES"/>
        </w:rPr>
        <w:t>Oscar Hugo., “</w:t>
      </w:r>
      <w:r w:rsidRPr="00B036D4">
        <w:rPr>
          <w:rFonts w:ascii="Arial" w:hAnsi="Arial" w:cs="Arial"/>
          <w:i/>
          <w:iCs/>
          <w:color w:val="000000" w:themeColor="text1"/>
          <w:lang w:val="es-ES"/>
        </w:rPr>
        <w:t>Código Procesal Civil y Comercial de la Provincia de Córdoba</w:t>
      </w:r>
      <w:r w:rsidRPr="00B036D4">
        <w:rPr>
          <w:rFonts w:ascii="Arial" w:hAnsi="Arial" w:cs="Arial"/>
          <w:color w:val="000000" w:themeColor="text1"/>
          <w:lang w:val="es-ES"/>
        </w:rPr>
        <w:t>”, Tomo I, Lerner, Córdoba, 1997.</w:t>
      </w:r>
    </w:p>
    <w:p w14:paraId="78366DF6" w14:textId="77777777" w:rsidR="009202CC" w:rsidRPr="00B036D4" w:rsidRDefault="009202CC" w:rsidP="00E21149">
      <w:pPr>
        <w:spacing w:line="360" w:lineRule="auto"/>
        <w:ind w:firstLine="1134"/>
        <w:jc w:val="both"/>
        <w:rPr>
          <w:rFonts w:ascii="Arial" w:hAnsi="Arial" w:cs="Arial"/>
          <w:color w:val="000000" w:themeColor="text1"/>
          <w:lang w:val="es-ES"/>
        </w:rPr>
      </w:pPr>
      <w:r w:rsidRPr="00B036D4">
        <w:rPr>
          <w:rFonts w:ascii="Arial" w:hAnsi="Arial" w:cs="Arial"/>
          <w:smallCaps/>
          <w:lang w:val="es-ES"/>
        </w:rPr>
        <w:t xml:space="preserve">Venica, </w:t>
      </w:r>
      <w:r w:rsidRPr="00B036D4">
        <w:rPr>
          <w:rFonts w:ascii="Arial" w:hAnsi="Arial" w:cs="Arial"/>
          <w:color w:val="000000" w:themeColor="text1"/>
          <w:lang w:val="es-ES"/>
        </w:rPr>
        <w:t>Oscar Hugo., “</w:t>
      </w:r>
      <w:r w:rsidRPr="00B036D4">
        <w:rPr>
          <w:rFonts w:ascii="Arial" w:hAnsi="Arial" w:cs="Arial"/>
          <w:i/>
          <w:iCs/>
          <w:color w:val="000000" w:themeColor="text1"/>
          <w:lang w:val="es-ES"/>
        </w:rPr>
        <w:t>Código Procesal Civil y Comercial de la Provincia de Córdoba</w:t>
      </w:r>
      <w:r w:rsidRPr="00B036D4">
        <w:rPr>
          <w:rFonts w:ascii="Arial" w:hAnsi="Arial" w:cs="Arial"/>
          <w:color w:val="000000" w:themeColor="text1"/>
          <w:lang w:val="es-ES"/>
        </w:rPr>
        <w:t>”, Tomo II, Lerner, Córdoba, 1998.</w:t>
      </w:r>
    </w:p>
    <w:p w14:paraId="5B256748" w14:textId="77777777" w:rsidR="009202CC" w:rsidRPr="002B74B3" w:rsidRDefault="009202CC" w:rsidP="00E21149">
      <w:pPr>
        <w:spacing w:line="360" w:lineRule="auto"/>
        <w:ind w:firstLine="1134"/>
        <w:jc w:val="both"/>
        <w:rPr>
          <w:rFonts w:ascii="Arial" w:hAnsi="Arial" w:cs="Arial"/>
          <w:lang w:val="es-ES"/>
        </w:rPr>
      </w:pPr>
      <w:r w:rsidRPr="002B74B3">
        <w:rPr>
          <w:rFonts w:ascii="Arial" w:hAnsi="Arial" w:cs="Arial"/>
          <w:smallCaps/>
          <w:lang w:val="es-ES"/>
        </w:rPr>
        <w:t>Weber</w:t>
      </w:r>
      <w:r w:rsidRPr="002B74B3">
        <w:rPr>
          <w:rFonts w:ascii="Arial" w:hAnsi="Arial" w:cs="Arial"/>
          <w:lang w:val="es-ES"/>
        </w:rPr>
        <w:t>, Max, "Economía y sociedad", Fondo de Cultura Económica, Madrid, 2002.</w:t>
      </w:r>
    </w:p>
    <w:p w14:paraId="615CB2BE" w14:textId="77777777" w:rsidR="00F420FE" w:rsidRPr="002B74B3" w:rsidRDefault="00F420FE" w:rsidP="00F420FE">
      <w:pPr>
        <w:ind w:left="360"/>
        <w:rPr>
          <w:rFonts w:ascii="Arial" w:hAnsi="Arial" w:cs="Arial"/>
          <w:bCs/>
          <w:lang w:val="es-ES"/>
        </w:rPr>
      </w:pPr>
    </w:p>
    <w:p w14:paraId="2E26BB0B" w14:textId="77777777" w:rsidR="002F0FB0" w:rsidRPr="002B74B3" w:rsidRDefault="002F0FB0" w:rsidP="0011009A">
      <w:pPr>
        <w:widowControl w:val="0"/>
        <w:spacing w:line="360" w:lineRule="auto"/>
        <w:jc w:val="both"/>
        <w:rPr>
          <w:rFonts w:ascii="Arial" w:hAnsi="Arial" w:cs="Arial"/>
          <w:bCs/>
          <w:lang w:val="es-ES"/>
        </w:rPr>
      </w:pPr>
    </w:p>
    <w:p w14:paraId="16889DC9" w14:textId="77777777" w:rsidR="001B2182" w:rsidRPr="007C4D73" w:rsidRDefault="001B2182" w:rsidP="0011009A">
      <w:pPr>
        <w:widowControl w:val="0"/>
        <w:spacing w:line="360" w:lineRule="auto"/>
        <w:jc w:val="both"/>
        <w:rPr>
          <w:rFonts w:ascii="Arial" w:hAnsi="Arial" w:cs="Arial"/>
          <w:bCs/>
          <w:lang w:val="es-ES"/>
        </w:rPr>
      </w:pPr>
    </w:p>
    <w:p w14:paraId="768194F4" w14:textId="3ADAB06E" w:rsidR="00C73669" w:rsidRDefault="00C73669" w:rsidP="00C73669">
      <w:pPr>
        <w:widowControl w:val="0"/>
        <w:spacing w:line="360" w:lineRule="auto"/>
        <w:jc w:val="both"/>
        <w:rPr>
          <w:rFonts w:ascii="Arial" w:hAnsi="Arial" w:cs="Arial"/>
          <w:bCs/>
        </w:rPr>
      </w:pPr>
      <w:r w:rsidRPr="00C73669">
        <w:rPr>
          <w:rFonts w:ascii="Arial" w:hAnsi="Arial" w:cs="Arial"/>
          <w:bCs/>
        </w:rPr>
        <w:t>Nombre</w:t>
      </w:r>
      <w:r>
        <w:rPr>
          <w:rFonts w:ascii="Arial" w:hAnsi="Arial" w:cs="Arial"/>
          <w:bCs/>
        </w:rPr>
        <w:t xml:space="preserve">: </w:t>
      </w:r>
      <w:r w:rsidR="002F0FB0">
        <w:rPr>
          <w:rFonts w:ascii="Arial" w:hAnsi="Arial" w:cs="Arial"/>
          <w:bCs/>
        </w:rPr>
        <w:t>Juan Pablo</w:t>
      </w:r>
    </w:p>
    <w:p w14:paraId="56A46883" w14:textId="72AF352A" w:rsidR="00C73669" w:rsidRPr="00C73669" w:rsidRDefault="00C73669" w:rsidP="00C73669">
      <w:pPr>
        <w:widowControl w:val="0"/>
        <w:spacing w:line="360" w:lineRule="auto"/>
        <w:jc w:val="both"/>
        <w:rPr>
          <w:rFonts w:ascii="Arial" w:hAnsi="Arial" w:cs="Arial"/>
          <w:bCs/>
        </w:rPr>
      </w:pPr>
      <w:r w:rsidRPr="00C73669">
        <w:rPr>
          <w:rFonts w:ascii="Arial" w:hAnsi="Arial" w:cs="Arial"/>
          <w:bCs/>
        </w:rPr>
        <w:t>Apellido</w:t>
      </w:r>
      <w:r>
        <w:rPr>
          <w:rFonts w:ascii="Arial" w:hAnsi="Arial" w:cs="Arial"/>
          <w:bCs/>
        </w:rPr>
        <w:t xml:space="preserve">: </w:t>
      </w:r>
      <w:r w:rsidR="002F0FB0">
        <w:rPr>
          <w:rFonts w:ascii="Arial" w:hAnsi="Arial" w:cs="Arial"/>
          <w:bCs/>
        </w:rPr>
        <w:t>Gaido</w:t>
      </w:r>
    </w:p>
    <w:p w14:paraId="7C4A5170" w14:textId="469777DB" w:rsidR="00C73669" w:rsidRPr="00C73669" w:rsidRDefault="00C73669" w:rsidP="00C73669">
      <w:pPr>
        <w:widowControl w:val="0"/>
        <w:spacing w:line="360" w:lineRule="auto"/>
        <w:jc w:val="both"/>
        <w:rPr>
          <w:rFonts w:ascii="Arial" w:hAnsi="Arial" w:cs="Arial"/>
          <w:bCs/>
        </w:rPr>
      </w:pPr>
      <w:r w:rsidRPr="00C73669">
        <w:rPr>
          <w:rFonts w:ascii="Arial" w:hAnsi="Arial" w:cs="Arial"/>
          <w:bCs/>
        </w:rPr>
        <w:t>Documento de Identidad</w:t>
      </w:r>
      <w:r>
        <w:rPr>
          <w:rFonts w:ascii="Arial" w:hAnsi="Arial" w:cs="Arial"/>
          <w:bCs/>
        </w:rPr>
        <w:t xml:space="preserve">: </w:t>
      </w:r>
      <w:r w:rsidR="002F0FB0">
        <w:rPr>
          <w:rFonts w:ascii="Arial" w:hAnsi="Arial" w:cs="Arial"/>
          <w:bCs/>
        </w:rPr>
        <w:t>38.110.373</w:t>
      </w:r>
    </w:p>
    <w:p w14:paraId="0D3BDD19" w14:textId="3BDDE01B" w:rsidR="00C73669" w:rsidRDefault="00C73669" w:rsidP="00C73669">
      <w:pPr>
        <w:widowControl w:val="0"/>
        <w:spacing w:line="360" w:lineRule="auto"/>
        <w:jc w:val="both"/>
        <w:rPr>
          <w:rFonts w:ascii="Arial" w:hAnsi="Arial" w:cs="Arial"/>
          <w:bCs/>
        </w:rPr>
      </w:pPr>
      <w:r w:rsidRPr="00C73669">
        <w:rPr>
          <w:rFonts w:ascii="Arial" w:hAnsi="Arial" w:cs="Arial"/>
          <w:bCs/>
        </w:rPr>
        <w:t>Domicilio:</w:t>
      </w:r>
      <w:r>
        <w:rPr>
          <w:rFonts w:ascii="Arial" w:hAnsi="Arial" w:cs="Arial"/>
          <w:bCs/>
        </w:rPr>
        <w:t xml:space="preserve"> </w:t>
      </w:r>
      <w:r w:rsidR="002F0FB0">
        <w:rPr>
          <w:rFonts w:ascii="Arial" w:hAnsi="Arial" w:cs="Arial"/>
          <w:bCs/>
        </w:rPr>
        <w:t>Córdoba 256 9b</w:t>
      </w:r>
    </w:p>
    <w:p w14:paraId="3B4CD2C9" w14:textId="49EB3397" w:rsidR="00C73669" w:rsidRDefault="00C73669" w:rsidP="00C73669">
      <w:pPr>
        <w:widowControl w:val="0"/>
        <w:spacing w:line="360" w:lineRule="auto"/>
        <w:jc w:val="both"/>
        <w:rPr>
          <w:rFonts w:ascii="Arial" w:hAnsi="Arial" w:cs="Arial"/>
          <w:bCs/>
        </w:rPr>
      </w:pPr>
      <w:r w:rsidRPr="00C73669">
        <w:rPr>
          <w:rFonts w:ascii="Arial" w:hAnsi="Arial" w:cs="Arial"/>
          <w:bCs/>
        </w:rPr>
        <w:t>Ciudad</w:t>
      </w:r>
      <w:r>
        <w:rPr>
          <w:rFonts w:ascii="Arial" w:hAnsi="Arial" w:cs="Arial"/>
          <w:bCs/>
        </w:rPr>
        <w:t xml:space="preserve">: </w:t>
      </w:r>
      <w:r w:rsidR="00995E6A">
        <w:rPr>
          <w:rFonts w:ascii="Arial" w:hAnsi="Arial" w:cs="Arial"/>
          <w:bCs/>
        </w:rPr>
        <w:t>Bell Ville</w:t>
      </w:r>
    </w:p>
    <w:p w14:paraId="1776371C" w14:textId="5F270224" w:rsidR="00C73669" w:rsidRDefault="00C73669" w:rsidP="00C73669">
      <w:pPr>
        <w:widowControl w:val="0"/>
        <w:spacing w:line="360" w:lineRule="auto"/>
        <w:jc w:val="both"/>
        <w:rPr>
          <w:rFonts w:ascii="Arial" w:hAnsi="Arial" w:cs="Arial"/>
          <w:bCs/>
        </w:rPr>
      </w:pPr>
      <w:r w:rsidRPr="00C73669">
        <w:rPr>
          <w:rFonts w:ascii="Arial" w:hAnsi="Arial" w:cs="Arial"/>
          <w:bCs/>
        </w:rPr>
        <w:t>(C.P.)</w:t>
      </w:r>
      <w:r>
        <w:rPr>
          <w:rFonts w:ascii="Arial" w:hAnsi="Arial" w:cs="Arial"/>
          <w:bCs/>
        </w:rPr>
        <w:t xml:space="preserve">: </w:t>
      </w:r>
      <w:r w:rsidR="002F0FB0">
        <w:rPr>
          <w:rFonts w:ascii="Arial" w:hAnsi="Arial" w:cs="Arial"/>
          <w:bCs/>
        </w:rPr>
        <w:t>2550</w:t>
      </w:r>
    </w:p>
    <w:p w14:paraId="09AE814F" w14:textId="768A1A8F" w:rsidR="00C73669" w:rsidRDefault="00C73669" w:rsidP="00C73669">
      <w:pPr>
        <w:widowControl w:val="0"/>
        <w:spacing w:line="360" w:lineRule="auto"/>
        <w:jc w:val="both"/>
        <w:rPr>
          <w:rFonts w:ascii="Arial" w:hAnsi="Arial" w:cs="Arial"/>
          <w:bCs/>
        </w:rPr>
      </w:pPr>
      <w:r w:rsidRPr="00C73669">
        <w:rPr>
          <w:rFonts w:ascii="Arial" w:hAnsi="Arial" w:cs="Arial"/>
          <w:bCs/>
        </w:rPr>
        <w:t>Provinci</w:t>
      </w:r>
      <w:r>
        <w:rPr>
          <w:rFonts w:ascii="Arial" w:hAnsi="Arial" w:cs="Arial"/>
          <w:bCs/>
        </w:rPr>
        <w:t>a</w:t>
      </w:r>
      <w:r w:rsidRPr="00C73669">
        <w:rPr>
          <w:rFonts w:ascii="Arial" w:hAnsi="Arial" w:cs="Arial"/>
          <w:bCs/>
        </w:rPr>
        <w:t>:</w:t>
      </w:r>
      <w:r>
        <w:rPr>
          <w:rFonts w:ascii="Arial" w:hAnsi="Arial" w:cs="Arial"/>
          <w:bCs/>
        </w:rPr>
        <w:t xml:space="preserve"> </w:t>
      </w:r>
      <w:r w:rsidR="002F0FB0">
        <w:rPr>
          <w:rFonts w:ascii="Arial" w:hAnsi="Arial" w:cs="Arial"/>
          <w:bCs/>
        </w:rPr>
        <w:t>Córdoba</w:t>
      </w:r>
    </w:p>
    <w:p w14:paraId="4A232C73" w14:textId="2B29C6FA" w:rsidR="00C73669" w:rsidRPr="00C73669" w:rsidRDefault="00C73669" w:rsidP="00C73669">
      <w:pPr>
        <w:widowControl w:val="0"/>
        <w:spacing w:line="360" w:lineRule="auto"/>
        <w:jc w:val="both"/>
        <w:rPr>
          <w:rFonts w:ascii="Arial" w:hAnsi="Arial" w:cs="Arial"/>
          <w:bCs/>
        </w:rPr>
      </w:pPr>
      <w:r w:rsidRPr="00C73669">
        <w:rPr>
          <w:rFonts w:ascii="Arial" w:hAnsi="Arial" w:cs="Arial"/>
          <w:bCs/>
        </w:rPr>
        <w:t>País</w:t>
      </w:r>
      <w:r>
        <w:rPr>
          <w:rFonts w:ascii="Arial" w:hAnsi="Arial" w:cs="Arial"/>
          <w:bCs/>
        </w:rPr>
        <w:t>: Argentina</w:t>
      </w:r>
    </w:p>
    <w:p w14:paraId="2EF1403D" w14:textId="7CC3355D" w:rsidR="00C73669" w:rsidRDefault="00C73669" w:rsidP="00C73669">
      <w:pPr>
        <w:widowControl w:val="0"/>
        <w:spacing w:line="360" w:lineRule="auto"/>
        <w:jc w:val="both"/>
        <w:rPr>
          <w:rFonts w:ascii="Arial" w:hAnsi="Arial" w:cs="Arial"/>
          <w:bCs/>
        </w:rPr>
      </w:pPr>
      <w:r w:rsidRPr="00C73669">
        <w:rPr>
          <w:rFonts w:ascii="Arial" w:hAnsi="Arial" w:cs="Arial"/>
          <w:bCs/>
        </w:rPr>
        <w:t>Tel.</w:t>
      </w:r>
      <w:r>
        <w:rPr>
          <w:rFonts w:ascii="Arial" w:hAnsi="Arial" w:cs="Arial"/>
          <w:bCs/>
        </w:rPr>
        <w:t xml:space="preserve"> </w:t>
      </w:r>
      <w:r w:rsidR="002F0FB0">
        <w:rPr>
          <w:rFonts w:ascii="Arial" w:hAnsi="Arial" w:cs="Arial"/>
          <w:bCs/>
        </w:rPr>
        <w:t>3537 513163</w:t>
      </w:r>
    </w:p>
    <w:p w14:paraId="797FBF3E" w14:textId="15E482BD" w:rsidR="00D004A8" w:rsidRPr="00BF2973" w:rsidRDefault="00C73669" w:rsidP="00BF2973">
      <w:pPr>
        <w:widowControl w:val="0"/>
        <w:spacing w:line="360" w:lineRule="auto"/>
        <w:jc w:val="both"/>
        <w:rPr>
          <w:rFonts w:ascii="Arial" w:hAnsi="Arial" w:cs="Arial"/>
          <w:bCs/>
        </w:rPr>
      </w:pPr>
      <w:r w:rsidRPr="00CB5B4D">
        <w:rPr>
          <w:rFonts w:ascii="Arial" w:hAnsi="Arial" w:cs="Arial"/>
          <w:bCs/>
        </w:rPr>
        <w:t xml:space="preserve">E-mail: </w:t>
      </w:r>
      <w:hyperlink r:id="rId63" w:history="1">
        <w:r w:rsidR="002F0FB0" w:rsidRPr="00292AF8">
          <w:rPr>
            <w:rStyle w:val="Hipervnculo"/>
            <w:rFonts w:ascii="Arial" w:hAnsi="Arial" w:cs="Arial"/>
            <w:bCs/>
          </w:rPr>
          <w:t>gaidojuanpablo@gmail.com</w:t>
        </w:r>
      </w:hyperlink>
    </w:p>
    <w:sectPr w:rsidR="00D004A8" w:rsidRPr="00BF2973" w:rsidSect="00BF2973">
      <w:headerReference w:type="default" r:id="rId64"/>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B08BC" w14:textId="77777777" w:rsidR="00E40930" w:rsidRDefault="00E40930" w:rsidP="00F45FC8">
      <w:r>
        <w:separator/>
      </w:r>
    </w:p>
  </w:endnote>
  <w:endnote w:type="continuationSeparator" w:id="0">
    <w:p w14:paraId="2ADC75AB" w14:textId="77777777" w:rsidR="00E40930" w:rsidRDefault="00E40930" w:rsidP="00F45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AEDA" w14:textId="77777777" w:rsidR="00E40930" w:rsidRDefault="00E40930" w:rsidP="00F45FC8">
      <w:r>
        <w:separator/>
      </w:r>
    </w:p>
  </w:footnote>
  <w:footnote w:type="continuationSeparator" w:id="0">
    <w:p w14:paraId="3F7C4574" w14:textId="77777777" w:rsidR="00E40930" w:rsidRDefault="00E40930" w:rsidP="00F45FC8">
      <w:r>
        <w:continuationSeparator/>
      </w:r>
    </w:p>
  </w:footnote>
  <w:footnote w:id="1">
    <w:p w14:paraId="6A9515A9" w14:textId="77777777" w:rsidR="00F52819" w:rsidRPr="001B2182" w:rsidRDefault="00F52819" w:rsidP="00F52819">
      <w:pPr>
        <w:pStyle w:val="Textonotapie"/>
        <w:jc w:val="both"/>
        <w:rPr>
          <w:rFonts w:ascii="Arial" w:hAnsi="Arial" w:cs="Arial"/>
          <w:lang w:val="en-US"/>
        </w:rPr>
      </w:pPr>
      <w:r w:rsidRPr="007A015F">
        <w:rPr>
          <w:rStyle w:val="Refdenotaalpie"/>
          <w:rFonts w:ascii="Arial" w:hAnsi="Arial" w:cs="Arial"/>
        </w:rPr>
        <w:footnoteRef/>
      </w:r>
      <w:r w:rsidRPr="007A015F">
        <w:rPr>
          <w:rFonts w:ascii="Arial" w:hAnsi="Arial" w:cs="Arial"/>
        </w:rPr>
        <w:t xml:space="preserve"> </w:t>
      </w:r>
      <w:r w:rsidRPr="007A015F">
        <w:rPr>
          <w:rFonts w:ascii="Arial" w:hAnsi="Arial" w:cs="Arial"/>
          <w:lang w:val="es-ES"/>
        </w:rPr>
        <w:t xml:space="preserve">Louis </w:t>
      </w:r>
      <w:r w:rsidRPr="0080239F">
        <w:rPr>
          <w:rFonts w:ascii="Arial" w:hAnsi="Arial" w:cs="Arial"/>
          <w:smallCaps/>
        </w:rPr>
        <w:t>Brandeis</w:t>
      </w:r>
      <w:r w:rsidRPr="007A015F">
        <w:rPr>
          <w:rFonts w:ascii="Arial" w:hAnsi="Arial" w:cs="Arial"/>
          <w:lang w:val="es-ES"/>
        </w:rPr>
        <w:t xml:space="preserve">, Juez de la Corte Suprema de Justicia de Estados Unidos (periodo </w:t>
      </w:r>
      <w:r w:rsidRPr="007A015F">
        <w:rPr>
          <w:rFonts w:ascii="Arial" w:hAnsi="Arial" w:cs="Arial"/>
        </w:rPr>
        <w:t>1916/1939) en un libro donde critica como los grandes banqueros utilizan el dinero de otros para dominar mercados, sentarse en múltiples directorios, suprimir competencia y dirigir la economía a su conveniencia, nos dice</w:t>
      </w:r>
      <w:r w:rsidRPr="007A015F">
        <w:rPr>
          <w:rFonts w:ascii="Arial" w:hAnsi="Arial" w:cs="Arial"/>
          <w:lang w:val="es-ES"/>
        </w:rPr>
        <w:t xml:space="preserve">: “Publicity is justly commended as a </w:t>
      </w:r>
      <w:r w:rsidRPr="001B2182">
        <w:rPr>
          <w:rFonts w:ascii="Arial" w:hAnsi="Arial" w:cs="Arial"/>
          <w:lang w:val="es-ES"/>
        </w:rPr>
        <w:t xml:space="preserve">remedy for social and industrial diseases. </w:t>
      </w:r>
      <w:r w:rsidRPr="001B2182">
        <w:rPr>
          <w:rFonts w:ascii="Arial" w:hAnsi="Arial" w:cs="Arial"/>
        </w:rPr>
        <w:t>Sunlight is said to be the best of disinfectants; electric light the most efficient policeman”, lo que se puede traducir como: “</w:t>
      </w:r>
      <w:r w:rsidRPr="001B2182">
        <w:rPr>
          <w:rFonts w:ascii="Arial" w:hAnsi="Arial" w:cs="Arial"/>
          <w:i/>
          <w:iCs/>
        </w:rPr>
        <w:t>La publicidad es justamente elogiada como remedio para las enfermedades sociales e industriales. Se dice que la luz del sol es el mejor desinfectante; la luz eléctrica, el policía más eficaz</w:t>
      </w:r>
      <w:r w:rsidRPr="001B2182">
        <w:rPr>
          <w:rFonts w:ascii="Arial" w:hAnsi="Arial" w:cs="Arial"/>
          <w:lang w:val="es-ES"/>
        </w:rPr>
        <w:t xml:space="preserve">.” </w:t>
      </w:r>
      <w:r w:rsidRPr="001B2182">
        <w:rPr>
          <w:rFonts w:ascii="Arial" w:hAnsi="Arial" w:cs="Arial"/>
          <w:lang w:val="en-US"/>
        </w:rPr>
        <w:t>(</w:t>
      </w:r>
      <w:r w:rsidRPr="001B2182">
        <w:rPr>
          <w:rFonts w:ascii="Arial" w:hAnsi="Arial" w:cs="Arial"/>
          <w:smallCaps/>
          <w:lang w:val="en-US"/>
        </w:rPr>
        <w:t xml:space="preserve">Brandeis, </w:t>
      </w:r>
      <w:r w:rsidRPr="001B2182">
        <w:rPr>
          <w:rFonts w:ascii="Arial" w:hAnsi="Arial" w:cs="Arial"/>
          <w:lang w:val="en-US"/>
        </w:rPr>
        <w:t>Louis D., “</w:t>
      </w:r>
      <w:r w:rsidRPr="001B2182">
        <w:rPr>
          <w:rFonts w:ascii="Arial" w:hAnsi="Arial" w:cs="Arial"/>
          <w:i/>
          <w:iCs/>
          <w:lang w:val="en-US"/>
        </w:rPr>
        <w:t>Other people money, and how the bankers use it</w:t>
      </w:r>
      <w:r w:rsidRPr="001B2182">
        <w:rPr>
          <w:rFonts w:ascii="Arial" w:hAnsi="Arial" w:cs="Arial"/>
          <w:lang w:val="en-US"/>
        </w:rPr>
        <w:t>”, Frederik A. Stokes Company, New York,</w:t>
      </w:r>
      <w:r w:rsidRPr="001B2182">
        <w:rPr>
          <w:rFonts w:ascii="Arial" w:hAnsi="Arial" w:cs="Arial"/>
          <w:smallCaps/>
          <w:lang w:val="en-US"/>
        </w:rPr>
        <w:t xml:space="preserve"> 1914</w:t>
      </w:r>
      <w:r w:rsidRPr="001B2182">
        <w:rPr>
          <w:rFonts w:ascii="Arial" w:hAnsi="Arial" w:cs="Arial"/>
          <w:lang w:val="en-US"/>
        </w:rPr>
        <w:t>, p. 92).</w:t>
      </w:r>
    </w:p>
    <w:p w14:paraId="746CE4C9" w14:textId="77777777" w:rsidR="00F52819" w:rsidRPr="001B2182" w:rsidRDefault="00F52819" w:rsidP="00F52819">
      <w:pPr>
        <w:pStyle w:val="Textonotapie"/>
        <w:rPr>
          <w:rFonts w:ascii="Arial" w:hAnsi="Arial" w:cs="Arial"/>
          <w:lang w:val="en-US"/>
        </w:rPr>
      </w:pPr>
    </w:p>
  </w:footnote>
  <w:footnote w:id="2">
    <w:p w14:paraId="2E6B2D3E" w14:textId="614D20F2" w:rsidR="001B2182" w:rsidRPr="001B2182" w:rsidRDefault="001B2182" w:rsidP="001B2182">
      <w:pPr>
        <w:jc w:val="both"/>
        <w:rPr>
          <w:rFonts w:ascii="Arial" w:hAnsi="Arial" w:cs="Arial"/>
          <w:color w:val="000000" w:themeColor="text1"/>
          <w:sz w:val="20"/>
          <w:szCs w:val="20"/>
        </w:rPr>
      </w:pPr>
      <w:r w:rsidRPr="001B2182">
        <w:rPr>
          <w:rStyle w:val="Refdenotaalpie"/>
          <w:rFonts w:ascii="Arial" w:hAnsi="Arial" w:cs="Arial"/>
          <w:color w:val="000000" w:themeColor="text1"/>
          <w:sz w:val="20"/>
          <w:szCs w:val="20"/>
        </w:rPr>
        <w:footnoteRef/>
      </w:r>
      <w:r w:rsidRPr="001B2182">
        <w:rPr>
          <w:rFonts w:ascii="Arial" w:hAnsi="Arial" w:cs="Arial"/>
          <w:color w:val="000000" w:themeColor="text1"/>
          <w:sz w:val="20"/>
          <w:szCs w:val="20"/>
        </w:rPr>
        <w:t xml:space="preserve"> Ver </w:t>
      </w:r>
      <w:r w:rsidRPr="0080239F">
        <w:rPr>
          <w:rFonts w:ascii="Arial" w:eastAsia="Calibri" w:hAnsi="Arial" w:cs="Arial"/>
          <w:smallCaps/>
          <w:kern w:val="2"/>
          <w:sz w:val="20"/>
          <w:szCs w:val="20"/>
          <w:lang w:eastAsia="en-US"/>
        </w:rPr>
        <w:t>Bobbio</w:t>
      </w:r>
      <w:r w:rsidRPr="001B2182">
        <w:rPr>
          <w:rFonts w:ascii="Arial" w:hAnsi="Arial" w:cs="Arial"/>
          <w:color w:val="000000" w:themeColor="text1"/>
          <w:sz w:val="20"/>
          <w:szCs w:val="20"/>
        </w:rPr>
        <w:t>, Norberto, “</w:t>
      </w:r>
      <w:r w:rsidRPr="001B2182">
        <w:rPr>
          <w:rFonts w:ascii="Arial" w:hAnsi="Arial" w:cs="Arial"/>
          <w:i/>
          <w:iCs/>
          <w:color w:val="000000" w:themeColor="text1"/>
          <w:sz w:val="20"/>
          <w:szCs w:val="20"/>
        </w:rPr>
        <w:t>Estado, Gobierno y Sociedad, Por una teoría general de la Política</w:t>
      </w:r>
      <w:r w:rsidRPr="001B2182">
        <w:rPr>
          <w:rFonts w:ascii="Arial" w:hAnsi="Arial" w:cs="Arial"/>
          <w:color w:val="000000" w:themeColor="text1"/>
          <w:sz w:val="20"/>
          <w:szCs w:val="20"/>
        </w:rPr>
        <w:t>”, Fondo de Cultura Económica, México D.F., 2014, pp. 11-38.</w:t>
      </w:r>
    </w:p>
    <w:p w14:paraId="2859E4B1" w14:textId="60B36CE0" w:rsidR="001B2182" w:rsidRPr="001B2182" w:rsidRDefault="001B2182">
      <w:pPr>
        <w:pStyle w:val="Textonotapie"/>
        <w:rPr>
          <w:rFonts w:ascii="Arial" w:hAnsi="Arial" w:cs="Arial"/>
        </w:rPr>
      </w:pPr>
    </w:p>
  </w:footnote>
  <w:footnote w:id="3">
    <w:p w14:paraId="385ACB26" w14:textId="26AE7848" w:rsidR="00390B30" w:rsidRPr="00390B30" w:rsidRDefault="00390B30">
      <w:pPr>
        <w:pStyle w:val="Textonotapie"/>
        <w:rPr>
          <w:lang w:val="es-ES"/>
        </w:rPr>
      </w:pPr>
      <w:r>
        <w:rPr>
          <w:rStyle w:val="Refdenotaalpie"/>
        </w:rPr>
        <w:footnoteRef/>
      </w:r>
      <w:r>
        <w:t xml:space="preserve"> </w:t>
      </w:r>
      <w:r w:rsidRPr="00390B30">
        <w:rPr>
          <w:rFonts w:ascii="Arial" w:hAnsi="Arial" w:cs="Arial"/>
          <w:smallCaps/>
          <w:lang w:val="es-ES"/>
        </w:rPr>
        <w:t>Cicerón</w:t>
      </w:r>
      <w:r w:rsidRPr="00390B30">
        <w:rPr>
          <w:rFonts w:ascii="Arial" w:hAnsi="Arial" w:cs="Arial"/>
          <w:lang w:val="es-ES"/>
        </w:rPr>
        <w:t>, Marco T. “</w:t>
      </w:r>
      <w:r w:rsidRPr="00390B30">
        <w:rPr>
          <w:rFonts w:ascii="Arial" w:hAnsi="Arial" w:cs="Arial"/>
          <w:i/>
          <w:iCs/>
          <w:lang w:val="es-ES"/>
        </w:rPr>
        <w:t>Sobre la República</w:t>
      </w:r>
      <w:r w:rsidRPr="00390B30">
        <w:rPr>
          <w:rFonts w:ascii="Arial" w:hAnsi="Arial" w:cs="Arial"/>
          <w:lang w:val="es-ES"/>
        </w:rPr>
        <w:t>”, Gredos, Madrid, 1991</w:t>
      </w:r>
      <w:r w:rsidRPr="00390B30">
        <w:rPr>
          <w:rFonts w:ascii="Arial" w:hAnsi="Arial" w:cs="Arial"/>
          <w:color w:val="000000" w:themeColor="text1"/>
        </w:rPr>
        <w:t>, p. 62.</w:t>
      </w:r>
    </w:p>
  </w:footnote>
  <w:footnote w:id="4">
    <w:p w14:paraId="35B8B556" w14:textId="1E343A30" w:rsidR="0026270D" w:rsidRPr="0026270D" w:rsidRDefault="0026270D">
      <w:pPr>
        <w:pStyle w:val="Textonotapie"/>
        <w:rPr>
          <w:rFonts w:ascii="Arial" w:hAnsi="Arial" w:cs="Arial"/>
          <w:lang w:val="es-ES"/>
        </w:rPr>
      </w:pPr>
      <w:r w:rsidRPr="0026270D">
        <w:rPr>
          <w:rStyle w:val="Refdenotaalpie"/>
          <w:rFonts w:ascii="Arial" w:hAnsi="Arial" w:cs="Arial"/>
        </w:rPr>
        <w:footnoteRef/>
      </w:r>
      <w:r w:rsidRPr="0026270D">
        <w:rPr>
          <w:rFonts w:ascii="Arial" w:hAnsi="Arial" w:cs="Arial"/>
        </w:rPr>
        <w:t xml:space="preserve"> </w:t>
      </w:r>
      <w:r w:rsidRPr="0026270D">
        <w:rPr>
          <w:rFonts w:ascii="Arial" w:hAnsi="Arial" w:cs="Arial"/>
          <w:smallCaps/>
        </w:rPr>
        <w:t>Einaudi</w:t>
      </w:r>
      <w:r w:rsidRPr="0026270D">
        <w:rPr>
          <w:rFonts w:ascii="Arial" w:hAnsi="Arial" w:cs="Arial"/>
        </w:rPr>
        <w:t>, Luigi, "Prediche inutili", Giulio Einaudi, Torino, 1956, pp. 1-12</w:t>
      </w:r>
      <w:r w:rsidR="00B52005">
        <w:rPr>
          <w:rFonts w:ascii="Arial" w:hAnsi="Arial" w:cs="Arial"/>
          <w:lang w:val="es-ES"/>
        </w:rPr>
        <w:t>;</w:t>
      </w:r>
      <w:r>
        <w:rPr>
          <w:rFonts w:ascii="Arial" w:hAnsi="Arial" w:cs="Arial"/>
          <w:lang w:val="es-ES"/>
        </w:rPr>
        <w:t xml:space="preserve"> </w:t>
      </w:r>
      <w:r w:rsidR="00B52005" w:rsidRPr="00B52005">
        <w:rPr>
          <w:rFonts w:ascii="Arial" w:hAnsi="Arial" w:cs="Arial"/>
          <w:smallCaps/>
        </w:rPr>
        <w:t>Montesquieu</w:t>
      </w:r>
      <w:r w:rsidR="00B52005" w:rsidRPr="00B52005">
        <w:rPr>
          <w:rFonts w:ascii="Arial" w:hAnsi="Arial" w:cs="Arial"/>
        </w:rPr>
        <w:t>, “El espíritu de las leyes”, Partido de la Revolución Democrática, México, 2018.</w:t>
      </w:r>
    </w:p>
  </w:footnote>
  <w:footnote w:id="5">
    <w:p w14:paraId="4A2B33BA" w14:textId="7BBBC312" w:rsidR="00E14B83" w:rsidRPr="00E14B83" w:rsidRDefault="00E14B83">
      <w:pPr>
        <w:pStyle w:val="Textonotapie"/>
        <w:rPr>
          <w:lang w:val="es-ES"/>
        </w:rPr>
      </w:pPr>
      <w:r>
        <w:rPr>
          <w:rStyle w:val="Refdenotaalpie"/>
        </w:rPr>
        <w:footnoteRef/>
      </w:r>
      <w:r>
        <w:t xml:space="preserve"> </w:t>
      </w:r>
      <w:r w:rsidRPr="00E14B83">
        <w:rPr>
          <w:smallCaps/>
        </w:rPr>
        <w:t>Alvarado Velloso</w:t>
      </w:r>
      <w:r>
        <w:t>,</w:t>
      </w:r>
      <w:r w:rsidRPr="00E14B83">
        <w:t xml:space="preserve"> Adolfo, “Sistema Procesal – Garantía de Libertad”, Tomo I, Rubinzal Culzoni, Santa Fe, 2009</w:t>
      </w:r>
      <w:r>
        <w:t>, p</w:t>
      </w:r>
      <w:r w:rsidR="00E21149">
        <w:t>p. 346-359.</w:t>
      </w:r>
    </w:p>
  </w:footnote>
  <w:footnote w:id="6">
    <w:p w14:paraId="53FBB6F1" w14:textId="71DFB87D" w:rsidR="00E14B83" w:rsidRPr="00E14B83" w:rsidRDefault="00E14B83">
      <w:pPr>
        <w:pStyle w:val="Textonotapie"/>
        <w:rPr>
          <w:lang w:val="es-ES"/>
        </w:rPr>
      </w:pPr>
      <w:r>
        <w:rPr>
          <w:rStyle w:val="Refdenotaalpie"/>
        </w:rPr>
        <w:footnoteRef/>
      </w:r>
      <w:r>
        <w:t xml:space="preserve"> </w:t>
      </w:r>
      <w:r>
        <w:rPr>
          <w:lang w:val="es-ES"/>
        </w:rPr>
        <w:t xml:space="preserve">Sobre la relación que existe entre el sistema dispositivo y la publicidad en el proceso, puede consultarse: </w:t>
      </w:r>
      <w:r w:rsidRPr="00E14B83">
        <w:rPr>
          <w:smallCaps/>
        </w:rPr>
        <w:t>Ferrajoli</w:t>
      </w:r>
      <w:r w:rsidRPr="00E14B83">
        <w:t>, Luigi, "Derecho y Razón. Teoría del Garantismo Penal", Ed. Trotta, Madrid, 1995</w:t>
      </w:r>
      <w:r>
        <w:t>, p. 563.</w:t>
      </w:r>
    </w:p>
  </w:footnote>
  <w:footnote w:id="7">
    <w:p w14:paraId="0623E1BA" w14:textId="1E4F85F7" w:rsidR="0037455D" w:rsidRPr="008F3E2E" w:rsidRDefault="0037455D">
      <w:pPr>
        <w:pStyle w:val="Textonotapie"/>
        <w:rPr>
          <w:rFonts w:ascii="Arial" w:hAnsi="Arial" w:cs="Arial"/>
          <w:lang w:val="es-ES"/>
        </w:rPr>
      </w:pPr>
      <w:r w:rsidRPr="008F3E2E">
        <w:rPr>
          <w:rStyle w:val="Refdenotaalpie"/>
          <w:rFonts w:ascii="Arial" w:hAnsi="Arial" w:cs="Arial"/>
        </w:rPr>
        <w:footnoteRef/>
      </w:r>
      <w:r w:rsidRPr="008F3E2E">
        <w:rPr>
          <w:rFonts w:ascii="Arial" w:hAnsi="Arial" w:cs="Arial"/>
        </w:rPr>
        <w:t xml:space="preserve"> </w:t>
      </w:r>
      <w:r w:rsidRPr="0037455D">
        <w:rPr>
          <w:rFonts w:ascii="Arial" w:hAnsi="Arial" w:cs="Arial"/>
          <w:smallCaps/>
          <w:lang w:val="es-ES"/>
        </w:rPr>
        <w:t>Gelli</w:t>
      </w:r>
      <w:r w:rsidRPr="0037455D">
        <w:rPr>
          <w:rFonts w:ascii="Arial" w:hAnsi="Arial" w:cs="Arial"/>
          <w:lang w:val="es-ES"/>
        </w:rPr>
        <w:t>, María A. “</w:t>
      </w:r>
      <w:r w:rsidRPr="0037455D">
        <w:rPr>
          <w:rFonts w:ascii="Arial" w:hAnsi="Arial" w:cs="Arial"/>
          <w:i/>
          <w:iCs/>
          <w:lang w:val="es-ES"/>
        </w:rPr>
        <w:t>C</w:t>
      </w:r>
      <w:r w:rsidRPr="00B64998">
        <w:rPr>
          <w:rFonts w:ascii="Arial" w:hAnsi="Arial" w:cs="Arial"/>
          <w:i/>
          <w:iCs/>
          <w:lang w:val="es-ES"/>
        </w:rPr>
        <w:t>onstitución de la Nación Argentina, Comentada y Anotada</w:t>
      </w:r>
      <w:r w:rsidRPr="00B64998">
        <w:rPr>
          <w:rFonts w:ascii="Arial" w:hAnsi="Arial" w:cs="Arial"/>
          <w:lang w:val="es-ES"/>
        </w:rPr>
        <w:t>”, La ley, Buenos Aires, 2006, p. 26.</w:t>
      </w:r>
    </w:p>
  </w:footnote>
  <w:footnote w:id="8">
    <w:p w14:paraId="37BDABB8" w14:textId="46ECA222" w:rsidR="00352786" w:rsidRPr="008F3E2E" w:rsidRDefault="00352786" w:rsidP="0037455D">
      <w:pPr>
        <w:pStyle w:val="Textonotapie"/>
        <w:jc w:val="both"/>
        <w:rPr>
          <w:rFonts w:ascii="Arial" w:hAnsi="Arial" w:cs="Arial"/>
          <w:lang w:val="es-ES"/>
        </w:rPr>
      </w:pPr>
      <w:r w:rsidRPr="008F3E2E">
        <w:rPr>
          <w:rStyle w:val="Refdenotaalpie"/>
          <w:rFonts w:ascii="Arial" w:hAnsi="Arial" w:cs="Arial"/>
        </w:rPr>
        <w:footnoteRef/>
      </w:r>
      <w:r w:rsidRPr="008F3E2E">
        <w:rPr>
          <w:rFonts w:ascii="Arial" w:hAnsi="Arial" w:cs="Arial"/>
          <w:lang w:val="es-ES"/>
        </w:rPr>
        <w:t xml:space="preserve"> </w:t>
      </w:r>
      <w:r w:rsidRPr="008F3E2E">
        <w:rPr>
          <w:rFonts w:ascii="Arial" w:hAnsi="Arial" w:cs="Arial"/>
          <w:smallCaps/>
          <w:lang w:val="es-ES"/>
        </w:rPr>
        <w:t>Prodan</w:t>
      </w:r>
      <w:r w:rsidRPr="008F3E2E">
        <w:rPr>
          <w:rFonts w:ascii="Arial" w:hAnsi="Arial" w:cs="Arial"/>
          <w:lang w:val="es-ES"/>
        </w:rPr>
        <w:t xml:space="preserve"> Luca, </w:t>
      </w:r>
      <w:r w:rsidR="0037455D" w:rsidRPr="008F3E2E">
        <w:rPr>
          <w:rFonts w:ascii="Arial" w:hAnsi="Arial" w:cs="Arial"/>
          <w:lang w:val="es-ES"/>
        </w:rPr>
        <w:t>SUMO “</w:t>
      </w:r>
      <w:r w:rsidR="0037455D" w:rsidRPr="008F3E2E">
        <w:rPr>
          <w:rFonts w:ascii="Arial" w:hAnsi="Arial" w:cs="Arial"/>
          <w:i/>
          <w:iCs/>
        </w:rPr>
        <w:t>Obras cumbres</w:t>
      </w:r>
      <w:r w:rsidR="0037455D" w:rsidRPr="008F3E2E">
        <w:rPr>
          <w:rFonts w:ascii="Arial" w:hAnsi="Arial" w:cs="Arial"/>
          <w:lang w:val="es-ES"/>
        </w:rPr>
        <w:t>”, Sony Music, Buenos Aires, 2000, CD2, track 19</w:t>
      </w:r>
      <w:r w:rsidR="008F3E2E">
        <w:rPr>
          <w:rFonts w:ascii="Arial" w:hAnsi="Arial" w:cs="Arial"/>
          <w:lang w:val="es-ES"/>
        </w:rPr>
        <w:t xml:space="preserve"> “Años”</w:t>
      </w:r>
      <w:r w:rsidR="0037455D" w:rsidRPr="008F3E2E">
        <w:rPr>
          <w:rFonts w:ascii="Arial" w:hAnsi="Arial" w:cs="Arial"/>
          <w:lang w:val="es-ES"/>
        </w:rPr>
        <w:t>.</w:t>
      </w:r>
    </w:p>
  </w:footnote>
  <w:footnote w:id="9">
    <w:p w14:paraId="20D2A0AE" w14:textId="16596E45" w:rsidR="0002451A" w:rsidRPr="0002451A" w:rsidRDefault="0002451A">
      <w:pPr>
        <w:pStyle w:val="Textonotapie"/>
        <w:rPr>
          <w:rFonts w:ascii="Arial" w:hAnsi="Arial" w:cs="Arial"/>
          <w:lang w:val="es-ES"/>
        </w:rPr>
      </w:pPr>
      <w:r w:rsidRPr="008F3E2E">
        <w:rPr>
          <w:rStyle w:val="Refdenotaalpie"/>
          <w:rFonts w:ascii="Arial" w:hAnsi="Arial" w:cs="Arial"/>
        </w:rPr>
        <w:footnoteRef/>
      </w:r>
      <w:r w:rsidRPr="008F3E2E">
        <w:rPr>
          <w:rFonts w:ascii="Arial" w:hAnsi="Arial" w:cs="Arial"/>
        </w:rPr>
        <w:t xml:space="preserve"> </w:t>
      </w:r>
      <w:r w:rsidRPr="008F3E2E">
        <w:rPr>
          <w:rFonts w:ascii="Arial" w:hAnsi="Arial" w:cs="Arial"/>
          <w:smallCaps/>
        </w:rPr>
        <w:t>Montesquieu</w:t>
      </w:r>
      <w:r w:rsidRPr="008F3E2E">
        <w:rPr>
          <w:rFonts w:ascii="Arial" w:hAnsi="Arial" w:cs="Arial"/>
        </w:rPr>
        <w:t>, “El espíritu de las leyes”,</w:t>
      </w:r>
      <w:r w:rsidRPr="00B52005">
        <w:rPr>
          <w:rFonts w:ascii="Arial" w:hAnsi="Arial" w:cs="Arial"/>
        </w:rPr>
        <w:t xml:space="preserve"> Partido de la Revolución Democrática, México, 2018</w:t>
      </w:r>
      <w:r>
        <w:rPr>
          <w:rFonts w:ascii="Arial" w:hAnsi="Arial" w:cs="Arial"/>
        </w:rPr>
        <w:t>, p. 578.</w:t>
      </w:r>
    </w:p>
  </w:footnote>
  <w:footnote w:id="10">
    <w:p w14:paraId="032670D4" w14:textId="1A83019E" w:rsidR="004B09BD" w:rsidRPr="00DA0ADF" w:rsidRDefault="004B09BD">
      <w:pPr>
        <w:pStyle w:val="Textonotapie"/>
        <w:rPr>
          <w:rFonts w:ascii="Arial" w:hAnsi="Arial" w:cs="Arial"/>
          <w:lang w:val="es-ES"/>
        </w:rPr>
      </w:pPr>
      <w:r w:rsidRPr="00DA0ADF">
        <w:rPr>
          <w:rStyle w:val="Refdenotaalpie"/>
          <w:rFonts w:ascii="Arial" w:hAnsi="Arial" w:cs="Arial"/>
        </w:rPr>
        <w:footnoteRef/>
      </w:r>
      <w:r w:rsidRPr="00DA0ADF">
        <w:rPr>
          <w:rFonts w:ascii="Arial" w:hAnsi="Arial" w:cs="Arial"/>
        </w:rPr>
        <w:t xml:space="preserve"> </w:t>
      </w:r>
      <w:r w:rsidRPr="00DA0ADF">
        <w:rPr>
          <w:rFonts w:ascii="Arial" w:hAnsi="Arial" w:cs="Arial"/>
          <w:smallCaps/>
        </w:rPr>
        <w:t>Montesquieu</w:t>
      </w:r>
      <w:r w:rsidRPr="00DA0ADF">
        <w:rPr>
          <w:rFonts w:ascii="Arial" w:hAnsi="Arial" w:cs="Arial"/>
        </w:rPr>
        <w:t>, “El espíritu de las leyes”, Partido de la Revolución Democrática, México, 2018, p. 578.</w:t>
      </w:r>
    </w:p>
  </w:footnote>
  <w:footnote w:id="11">
    <w:p w14:paraId="025F803E" w14:textId="481C5D61" w:rsidR="00862CA9" w:rsidRPr="00DA0ADF" w:rsidRDefault="00862CA9">
      <w:pPr>
        <w:pStyle w:val="Textonotapie"/>
        <w:rPr>
          <w:rFonts w:ascii="Arial" w:hAnsi="Arial" w:cs="Arial"/>
          <w:lang w:val="es-ES"/>
        </w:rPr>
      </w:pPr>
      <w:r w:rsidRPr="00DA0ADF">
        <w:rPr>
          <w:rStyle w:val="Refdenotaalpie"/>
          <w:rFonts w:ascii="Arial" w:hAnsi="Arial" w:cs="Arial"/>
        </w:rPr>
        <w:footnoteRef/>
      </w:r>
      <w:r w:rsidRPr="00DA0ADF">
        <w:rPr>
          <w:rFonts w:ascii="Arial" w:hAnsi="Arial" w:cs="Arial"/>
        </w:rPr>
        <w:t xml:space="preserve"> </w:t>
      </w:r>
      <w:r w:rsidRPr="00DA0ADF">
        <w:rPr>
          <w:rFonts w:ascii="Arial" w:hAnsi="Arial" w:cs="Arial"/>
          <w:smallCaps/>
        </w:rPr>
        <w:t>Ferrajoli</w:t>
      </w:r>
      <w:r w:rsidRPr="00DA0ADF">
        <w:rPr>
          <w:rFonts w:ascii="Arial" w:hAnsi="Arial" w:cs="Arial"/>
        </w:rPr>
        <w:t>, Luigi, "Derecho y Razón. Teoría del Garantismo Penal", Ed. Trotta, Madrid, 1995, p. 619.</w:t>
      </w:r>
    </w:p>
  </w:footnote>
  <w:footnote w:id="12">
    <w:p w14:paraId="21B229C2" w14:textId="6DC614E7" w:rsidR="002431B5" w:rsidRPr="00DA0ADF" w:rsidRDefault="002431B5" w:rsidP="002431B5">
      <w:pPr>
        <w:pStyle w:val="Textonotapie"/>
        <w:jc w:val="both"/>
        <w:rPr>
          <w:rFonts w:ascii="Arial" w:hAnsi="Arial" w:cs="Arial"/>
          <w:lang w:val="es-ES"/>
        </w:rPr>
      </w:pPr>
      <w:r w:rsidRPr="00DA0ADF">
        <w:rPr>
          <w:rStyle w:val="Refdenotaalpie"/>
          <w:rFonts w:ascii="Arial" w:hAnsi="Arial" w:cs="Arial"/>
        </w:rPr>
        <w:footnoteRef/>
      </w:r>
      <w:r w:rsidRPr="00DA0ADF">
        <w:rPr>
          <w:rFonts w:ascii="Arial" w:hAnsi="Arial" w:cs="Arial"/>
        </w:rPr>
        <w:t xml:space="preserve"> Reflexión inspirada en </w:t>
      </w:r>
      <w:r w:rsidRPr="00DA0ADF">
        <w:rPr>
          <w:rFonts w:ascii="Arial" w:hAnsi="Arial" w:cs="Arial"/>
          <w:smallCaps/>
          <w:color w:val="000000" w:themeColor="text1"/>
          <w:lang w:val="es-ES"/>
        </w:rPr>
        <w:t xml:space="preserve">Habermas, </w:t>
      </w:r>
      <w:r w:rsidRPr="00DA0ADF">
        <w:rPr>
          <w:rFonts w:ascii="Arial" w:hAnsi="Arial" w:cs="Arial"/>
          <w:color w:val="000000" w:themeColor="text1"/>
          <w:lang w:val="es-ES"/>
        </w:rPr>
        <w:t>Jürgen “</w:t>
      </w:r>
      <w:r w:rsidRPr="00DA0ADF">
        <w:rPr>
          <w:rFonts w:ascii="Arial" w:hAnsi="Arial" w:cs="Arial"/>
          <w:color w:val="000000" w:themeColor="text1"/>
        </w:rPr>
        <w:t>Historia y crítica de la opinión pública”, Gustavo Gili, Barcelona, 1981.</w:t>
      </w:r>
    </w:p>
  </w:footnote>
  <w:footnote w:id="13">
    <w:p w14:paraId="67A7FEEA" w14:textId="29DC79FD" w:rsidR="00486521" w:rsidRPr="008F2BED" w:rsidRDefault="00486521" w:rsidP="008F2BED">
      <w:pPr>
        <w:pStyle w:val="Textonotapie"/>
        <w:jc w:val="both"/>
        <w:rPr>
          <w:rFonts w:ascii="Arial" w:hAnsi="Arial" w:cs="Arial"/>
          <w:lang w:val="es-ES"/>
        </w:rPr>
      </w:pPr>
      <w:r w:rsidRPr="00DA0ADF">
        <w:rPr>
          <w:rStyle w:val="Refdenotaalpie"/>
          <w:rFonts w:ascii="Arial" w:hAnsi="Arial" w:cs="Arial"/>
        </w:rPr>
        <w:footnoteRef/>
      </w:r>
      <w:r w:rsidRPr="00DA0ADF">
        <w:rPr>
          <w:rFonts w:ascii="Arial" w:hAnsi="Arial" w:cs="Arial"/>
        </w:rPr>
        <w:t xml:space="preserve"> </w:t>
      </w:r>
      <w:r w:rsidRPr="00DA0ADF">
        <w:rPr>
          <w:rFonts w:ascii="Arial" w:hAnsi="Arial" w:cs="Arial"/>
          <w:lang w:val="es-ES"/>
        </w:rPr>
        <w:t>Concluye Puccinelli que “</w:t>
      </w:r>
      <w:r w:rsidRPr="00DA0ADF">
        <w:rPr>
          <w:rFonts w:ascii="Arial" w:hAnsi="Arial" w:cs="Arial"/>
          <w:i/>
          <w:iCs/>
        </w:rPr>
        <w:t xml:space="preserve">es evidente la influencia que los medios de comunicación ejercen sobre los </w:t>
      </w:r>
      <w:r w:rsidRPr="008F2BED">
        <w:rPr>
          <w:rFonts w:ascii="Arial" w:hAnsi="Arial" w:cs="Arial"/>
          <w:i/>
          <w:iCs/>
        </w:rPr>
        <w:t>procesos</w:t>
      </w:r>
      <w:r w:rsidRPr="008F2BED">
        <w:rPr>
          <w:rFonts w:ascii="Arial" w:hAnsi="Arial" w:cs="Arial"/>
        </w:rPr>
        <w:t xml:space="preserve">” </w:t>
      </w:r>
      <w:r w:rsidRPr="008F2BED">
        <w:rPr>
          <w:rFonts w:ascii="Arial" w:hAnsi="Arial" w:cs="Arial"/>
          <w:smallCaps/>
        </w:rPr>
        <w:t>Puccinelli,</w:t>
      </w:r>
      <w:r w:rsidRPr="008F2BED">
        <w:rPr>
          <w:rFonts w:ascii="Arial" w:hAnsi="Arial" w:cs="Arial"/>
        </w:rPr>
        <w:t xml:space="preserve"> Claudio, “INFLUENCIAS DE LOS MEDIOS DE COMUNICACIÓN EN LOS PROCESOS JUDICIALES”, Tesis de la Maestría en Derecho Procesal, UNR.</w:t>
      </w:r>
    </w:p>
  </w:footnote>
  <w:footnote w:id="14">
    <w:p w14:paraId="2B8FD9CB" w14:textId="77777777" w:rsidR="008F2BED" w:rsidRPr="008F2BED" w:rsidRDefault="008F2BED" w:rsidP="008F2BED">
      <w:pPr>
        <w:pStyle w:val="Textonotapie"/>
        <w:jc w:val="both"/>
        <w:rPr>
          <w:rFonts w:ascii="Arial" w:hAnsi="Arial" w:cs="Arial"/>
          <w:lang w:val="es-ES"/>
        </w:rPr>
      </w:pPr>
      <w:r w:rsidRPr="008F2BED">
        <w:rPr>
          <w:rStyle w:val="Refdenotaalpie"/>
          <w:rFonts w:ascii="Arial" w:hAnsi="Arial" w:cs="Arial"/>
        </w:rPr>
        <w:footnoteRef/>
      </w:r>
      <w:r w:rsidRPr="008F2BED">
        <w:rPr>
          <w:rFonts w:ascii="Arial" w:hAnsi="Arial" w:cs="Arial"/>
        </w:rPr>
        <w:t xml:space="preserve"> </w:t>
      </w:r>
      <w:r w:rsidRPr="008F2BED">
        <w:rPr>
          <w:rFonts w:ascii="Arial" w:hAnsi="Arial" w:cs="Arial"/>
          <w:smallCaps/>
        </w:rPr>
        <w:t>Ortiz de Zárate</w:t>
      </w:r>
      <w:r w:rsidRPr="008F2BED">
        <w:rPr>
          <w:rFonts w:ascii="Arial" w:hAnsi="Arial" w:cs="Arial"/>
        </w:rPr>
        <w:t>, Juan Manuel y otros,  “Sesgos algorítmicos y representación social en los modelos de lenguaje generativo (LLM), “ Fundar, Buenos Aires, 2024.</w:t>
      </w:r>
    </w:p>
  </w:footnote>
  <w:footnote w:id="15">
    <w:p w14:paraId="321929C9" w14:textId="70F34060" w:rsidR="008F2BED" w:rsidRPr="008F2BED" w:rsidRDefault="008F2BED" w:rsidP="008F2BED">
      <w:pPr>
        <w:pStyle w:val="Textonotapie"/>
        <w:jc w:val="both"/>
        <w:rPr>
          <w:rFonts w:ascii="Arial" w:hAnsi="Arial" w:cs="Arial"/>
          <w:lang w:val="es-ES"/>
        </w:rPr>
      </w:pPr>
      <w:r w:rsidRPr="008F2BED">
        <w:rPr>
          <w:rStyle w:val="Refdenotaalpie"/>
          <w:rFonts w:ascii="Arial" w:hAnsi="Arial" w:cs="Arial"/>
        </w:rPr>
        <w:footnoteRef/>
      </w:r>
      <w:r w:rsidRPr="008F2BED">
        <w:rPr>
          <w:rFonts w:ascii="Arial" w:hAnsi="Arial" w:cs="Arial"/>
        </w:rPr>
        <w:t xml:space="preserve"> </w:t>
      </w:r>
      <w:r w:rsidRPr="008F2BED">
        <w:rPr>
          <w:rFonts w:ascii="Arial" w:hAnsi="Arial" w:cs="Arial"/>
          <w:lang w:val="es-ES"/>
        </w:rPr>
        <w:t xml:space="preserve">Se puede consultar en la cual se puede consultar en </w:t>
      </w:r>
      <w:hyperlink r:id="rId1" w:history="1">
        <w:r w:rsidRPr="008F2BED">
          <w:rPr>
            <w:rStyle w:val="Hipervnculo"/>
            <w:rFonts w:ascii="Arial" w:hAnsi="Arial" w:cs="Arial"/>
            <w:lang w:val="es-ES"/>
          </w:rPr>
          <w:t>https://www.corteconstitucional.gov.co/relatoria/2025/t-067-25.htm</w:t>
        </w:r>
      </w:hyperlink>
      <w:r w:rsidRPr="008F2BED">
        <w:rPr>
          <w:rFonts w:ascii="Arial" w:hAnsi="Arial" w:cs="Arial"/>
          <w:lang w:val="es-ES"/>
        </w:rPr>
        <w:t>.</w:t>
      </w:r>
    </w:p>
  </w:footnote>
  <w:footnote w:id="16">
    <w:p w14:paraId="577FC6B6" w14:textId="252DD4A1" w:rsidR="001D5843" w:rsidRPr="001D5843" w:rsidRDefault="001D5843" w:rsidP="001D5843">
      <w:pPr>
        <w:pStyle w:val="Textonotapie"/>
        <w:jc w:val="both"/>
      </w:pPr>
      <w:r>
        <w:rPr>
          <w:rStyle w:val="Refdenotaalpie"/>
        </w:rPr>
        <w:footnoteRef/>
      </w:r>
      <w:r>
        <w:t xml:space="preserve"> En palabras del Tribunal Cimero Argentino “</w:t>
      </w:r>
      <w:r w:rsidRPr="001D5843">
        <w:rPr>
          <w:i/>
          <w:iCs/>
        </w:rPr>
        <w:t>Así también ha dicho “El derecho de acceso a la información se rige por el principio de máxima divulgación, el cual establece la presunción de que toda información es accesible, sujeto a un sistema restringido de excepciones, pues el actuar del Estado debe encontrarse regido por los principios de publicidad y transparencia en la gestión pública, lo que hace posible que las personas que se encuentran bajo su jurisdicción ejerzan el control democrático de las gestiones estatales, de forma tal que puedan cuestionar, indagar y considerar si se está dando un adecuado cumplimiento de las funciones públicas</w:t>
      </w:r>
      <w:r w:rsidRPr="001D5843">
        <w:t>.” (</w:t>
      </w:r>
      <w:r>
        <w:t>CSJN, s</w:t>
      </w:r>
      <w:r w:rsidRPr="001D5843">
        <w:t>entencia de fecha 07.03.2019, dictada en autos “Savoia, Claudio Martín c/ EN - Secretaría Legal y Técnica (dto. 1172/03) s/ amparo ley 16.986”, Fallos: 342:208).</w:t>
      </w:r>
      <w:r>
        <w:t>”</w:t>
      </w:r>
    </w:p>
  </w:footnote>
  <w:footnote w:id="17">
    <w:p w14:paraId="3468316F" w14:textId="60CF843A" w:rsidR="007C4D73" w:rsidRPr="007C4D73" w:rsidRDefault="007C4D73" w:rsidP="007C4D73">
      <w:pPr>
        <w:pStyle w:val="Textonotapie"/>
        <w:jc w:val="both"/>
        <w:rPr>
          <w:rFonts w:ascii="Arial" w:hAnsi="Arial" w:cs="Arial"/>
          <w:lang w:val="es-ES"/>
        </w:rPr>
      </w:pPr>
      <w:r w:rsidRPr="007C4D73">
        <w:rPr>
          <w:rStyle w:val="Refdenotaalpie"/>
          <w:rFonts w:ascii="Arial" w:hAnsi="Arial" w:cs="Arial"/>
        </w:rPr>
        <w:footnoteRef/>
      </w:r>
      <w:r w:rsidRPr="007C4D73">
        <w:rPr>
          <w:rFonts w:ascii="Arial" w:hAnsi="Arial" w:cs="Arial"/>
        </w:rPr>
        <w:t xml:space="preserve"> </w:t>
      </w:r>
      <w:r>
        <w:rPr>
          <w:rFonts w:ascii="Arial" w:hAnsi="Arial" w:cs="Arial"/>
        </w:rPr>
        <w:t xml:space="preserve">Ha dicho </w:t>
      </w:r>
      <w:r w:rsidRPr="007C4D73">
        <w:rPr>
          <w:rFonts w:ascii="Arial" w:hAnsi="Arial" w:cs="Arial"/>
          <w:smallCaps/>
        </w:rPr>
        <w:t>Weber</w:t>
      </w:r>
      <w:r>
        <w:rPr>
          <w:rFonts w:ascii="Arial" w:hAnsi="Arial" w:cs="Arial"/>
        </w:rPr>
        <w:t>: “</w:t>
      </w:r>
      <w:r w:rsidRPr="007C4D73">
        <w:rPr>
          <w:rFonts w:ascii="Arial" w:hAnsi="Arial" w:cs="Arial"/>
          <w:i/>
          <w:iCs/>
        </w:rPr>
        <w:t>El gobierno burocrático es, por su  misma tendencia, un gobierno que excluye la publicidad. La burocracia oculta en la  medida de lo posible su saber y su actividad frente a la crítica. Las autoridades eclesiásticas prusianas amenazan con  medidas  disciplinarias  a los  párrocos  que comuniquen a un tercero las indicaciones u otras normas dirigidas a ellos,  pues de este modo se "acarrean" la posibilidad de una crítica. Los funcionarios de hacienda del Sha persa convirtieron su ciencia financiera en una doctrina esotérica y se sirvieron de una escritura secreta. La  estadística  oficial  prusiana. publica en general sólo aquello que no puede perjudicar a los propósitos de La tendencia al secreto se  deriva en  determinados sectores de gobierno de su misma naturaleza y se manifiesta siempre allí don- de se trata de los intereses de poder hacia fuera mantenidos por la  organización  correspondiente (…)”</w:t>
      </w:r>
      <w:r>
        <w:rPr>
          <w:rFonts w:ascii="Arial" w:hAnsi="Arial" w:cs="Arial"/>
        </w:rPr>
        <w:t xml:space="preserve"> </w:t>
      </w:r>
      <w:r w:rsidRPr="001D5843">
        <w:rPr>
          <w:rFonts w:ascii="Arial" w:hAnsi="Arial" w:cs="Arial"/>
          <w:smallCaps/>
        </w:rPr>
        <w:t>Weber</w:t>
      </w:r>
      <w:r w:rsidRPr="007C4D73">
        <w:rPr>
          <w:rFonts w:ascii="Arial" w:hAnsi="Arial" w:cs="Arial"/>
        </w:rPr>
        <w:t>, Max, "Economía y sociedad", Fondo de Cultura Económica, Madrid, 2002</w:t>
      </w:r>
      <w:r>
        <w:rPr>
          <w:rFonts w:ascii="Arial" w:hAnsi="Arial" w:cs="Arial"/>
        </w:rPr>
        <w:t>, pp. 744-745.</w:t>
      </w:r>
    </w:p>
  </w:footnote>
  <w:footnote w:id="18">
    <w:p w14:paraId="53458D8A" w14:textId="5AE05265" w:rsidR="00007E16" w:rsidRPr="00007E16" w:rsidRDefault="00007E16">
      <w:pPr>
        <w:pStyle w:val="Textonotapie"/>
        <w:rPr>
          <w:lang w:val="es-ES"/>
        </w:rPr>
      </w:pPr>
      <w:r>
        <w:rPr>
          <w:rStyle w:val="Refdenotaalpie"/>
        </w:rPr>
        <w:footnoteRef/>
      </w:r>
      <w:r>
        <w:t xml:space="preserve"> </w:t>
      </w:r>
      <w:r w:rsidR="00D26600" w:rsidRPr="00D26600">
        <w:rPr>
          <w:lang w:val="es-ES"/>
        </w:rPr>
        <w:t xml:space="preserve">Un ejemplo paradigmático lo constituye el caso de </w:t>
      </w:r>
      <w:r w:rsidR="00D26600" w:rsidRPr="00D26600">
        <w:t>presunta responsabilidad de un grupo de personal médico en la muerte del astro de fútbol argentino Diego Armando Maradona, en el se le imputa a la magistrada Julieta Makintach el haber permitido la obtención de imágenes fílmicas desde el interior de la sala de audiencias, con discriminación a los demás periodistas y bajo la promesa de poder obtener beneficios económicos futuros directos.</w:t>
      </w:r>
    </w:p>
  </w:footnote>
  <w:footnote w:id="19">
    <w:p w14:paraId="6815B5D0" w14:textId="69F7ACDD" w:rsidR="00572094" w:rsidRPr="00572094" w:rsidRDefault="00572094" w:rsidP="00572094">
      <w:pPr>
        <w:pStyle w:val="Textonotapie"/>
        <w:jc w:val="both"/>
      </w:pPr>
      <w:r>
        <w:rPr>
          <w:rStyle w:val="Refdenotaalpie"/>
        </w:rPr>
        <w:footnoteRef/>
      </w:r>
      <w:r>
        <w:t xml:space="preserve"> E</w:t>
      </w:r>
      <w:r w:rsidRPr="00572094">
        <w:t xml:space="preserve">l Código Civil y Comercial (Ley 26.994) en su art. 708 establece un acceso limitado al expte.: </w:t>
      </w:r>
      <w:r w:rsidRPr="00572094">
        <w:rPr>
          <w:i/>
          <w:iCs/>
        </w:rPr>
        <w:t>“El acceso al expediente en los procesos de familia está limitado a las partes, sus representantes y letrados y a los auxiliares designados en el proceso. En caso de que las actuaciones sean ofrecidas como prueba ante otro juzgado, se debe ordenar su remisión si la finalidad de la petición lo justifica y se garantiza su reserva.”</w:t>
      </w:r>
      <w:r w:rsidRPr="00572094">
        <w:t>.</w:t>
      </w:r>
    </w:p>
  </w:footnote>
  <w:footnote w:id="20">
    <w:p w14:paraId="4BFE0FB0" w14:textId="324AD3CC" w:rsidR="00572094" w:rsidRPr="00572094" w:rsidRDefault="00572094" w:rsidP="00572094">
      <w:pPr>
        <w:pStyle w:val="Textonotapie"/>
        <w:jc w:val="both"/>
      </w:pPr>
      <w:r>
        <w:rPr>
          <w:rStyle w:val="Refdenotaalpie"/>
        </w:rPr>
        <w:footnoteRef/>
      </w:r>
      <w:r>
        <w:t xml:space="preserve"> N</w:t>
      </w:r>
      <w:r w:rsidRPr="00572094">
        <w:t>os dice el art. 101 de la ley 11.683, sobre el secreto fiscal, que “</w:t>
      </w:r>
      <w:r w:rsidRPr="00572094">
        <w:rPr>
          <w:rFonts w:hint="cs"/>
          <w:i/>
          <w:iCs/>
          <w:lang w:val="es-ES"/>
        </w:rPr>
        <w:t>Las declaraciones juradas, manifestaciones e informes que los responsables o terceros presentan a la ADMINISTRACION FEDERAL DE INGRESOS PUBLICOS, y los juicios de demanda contenciosa en cuanto consignen aquellas informaciones, son secretos.</w:t>
      </w:r>
      <w:r w:rsidRPr="00572094">
        <w:rPr>
          <w:i/>
          <w:iCs/>
          <w:lang w:val="es-ES"/>
        </w:rPr>
        <w:t xml:space="preserve"> </w:t>
      </w:r>
      <w:r w:rsidRPr="00222674">
        <w:rPr>
          <w:rFonts w:hint="cs"/>
          <w:i/>
          <w:iCs/>
          <w:lang w:val="es-ES"/>
        </w:rPr>
        <w:t>Los magistrados, funcionarios, empleados judiciales o dependientes de la ADMINISTRACION FEDERAL DE INGRESOS PUBLICOS, están obligados a mantener el más absoluto secreto de todo lo que llegue a su conocimiento en el desempeño de sus funciones sin poder comunicarlo a persona alguna, ni aun a solicitud del interesado, salvo a sus superiores jerárquicos.</w:t>
      </w:r>
      <w:r w:rsidRPr="00572094">
        <w:rPr>
          <w:i/>
          <w:iCs/>
          <w:lang w:val="es-ES"/>
        </w:rPr>
        <w:t xml:space="preserve"> </w:t>
      </w:r>
      <w:r w:rsidRPr="00222674">
        <w:rPr>
          <w:rFonts w:hint="cs"/>
          <w:i/>
          <w:iCs/>
          <w:lang w:val="es-ES"/>
        </w:rPr>
        <w:t>Las informaciones expresadas no serán admitidas como pruebas en causas judiciales, debiendo los jueces rechazarlas de oficio, salvo en las cuestiones de familia, o en los procesos criminales por delitos comunes cuando aquéllas se hallen directamente relacionadas con los hechos que se investiguen, o cuando lo solicite el interesado en los juicios en que sea parte contraria el Fisco Nacional, provincial o municipal y en cuanto la información</w:t>
      </w:r>
      <w:r w:rsidRPr="00572094">
        <w:rPr>
          <w:i/>
          <w:iCs/>
          <w:lang w:val="es-ES"/>
        </w:rPr>
        <w:t xml:space="preserve"> </w:t>
      </w:r>
      <w:r w:rsidRPr="00222674">
        <w:rPr>
          <w:rFonts w:hint="cs"/>
          <w:i/>
          <w:iCs/>
          <w:lang w:val="es-ES"/>
        </w:rPr>
        <w:t>no</w:t>
      </w:r>
      <w:r w:rsidRPr="00572094">
        <w:rPr>
          <w:i/>
          <w:iCs/>
          <w:lang w:val="es-ES"/>
        </w:rPr>
        <w:t xml:space="preserve"> </w:t>
      </w:r>
      <w:r w:rsidRPr="00222674">
        <w:rPr>
          <w:rFonts w:hint="cs"/>
          <w:i/>
          <w:iCs/>
          <w:lang w:val="es-ES"/>
        </w:rPr>
        <w:t>revele datos referentes a terceros.</w:t>
      </w:r>
      <w:r w:rsidRPr="00572094">
        <w:rPr>
          <w:i/>
          <w:iCs/>
          <w:lang w:val="es-ES"/>
        </w:rPr>
        <w:t xml:space="preserve"> </w:t>
      </w:r>
      <w:r w:rsidRPr="00222674">
        <w:rPr>
          <w:rFonts w:hint="cs"/>
          <w:i/>
          <w:iCs/>
          <w:lang w:val="es-ES"/>
        </w:rPr>
        <w:t>Los terceros que divulguen o reproduzcan dichas informaciones incurrirán en la pena prevista por el artículo 157 del Código Penal, para quienes divulgaren actuaciones o procedimientos que por la ley deben quedar secretos</w:t>
      </w:r>
      <w:r w:rsidRPr="00222674">
        <w:rPr>
          <w:rFonts w:hint="cs"/>
          <w:lang w:val="es-ES"/>
        </w:rPr>
        <w:t>.</w:t>
      </w:r>
      <w:r w:rsidRPr="00572094">
        <w:rPr>
          <w:lang w:val="es-ES"/>
        </w:rPr>
        <w:t>”</w:t>
      </w:r>
    </w:p>
  </w:footnote>
  <w:footnote w:id="21">
    <w:p w14:paraId="70D28AD9" w14:textId="77777777" w:rsidR="003C41DF" w:rsidRPr="009B1FEE" w:rsidRDefault="003C41DF" w:rsidP="003C41DF">
      <w:pPr>
        <w:pStyle w:val="Textonotapie"/>
        <w:jc w:val="both"/>
        <w:rPr>
          <w:lang w:val="es-ES"/>
        </w:rPr>
      </w:pPr>
      <w:r>
        <w:rPr>
          <w:rStyle w:val="Refdenotaalpie"/>
        </w:rPr>
        <w:footnoteRef/>
      </w:r>
      <w:r>
        <w:t xml:space="preserve"> </w:t>
      </w:r>
      <w:r w:rsidRPr="009B1FEE">
        <w:rPr>
          <w:rFonts w:ascii="Arial" w:hAnsi="Arial" w:cs="Arial"/>
          <w:smallCaps/>
          <w:color w:val="000000" w:themeColor="text1"/>
          <w:lang w:val="es-ES"/>
        </w:rPr>
        <w:t>Aguiló Regla</w:t>
      </w:r>
      <w:r>
        <w:rPr>
          <w:rFonts w:ascii="Arial" w:hAnsi="Arial" w:cs="Arial"/>
          <w:smallCaps/>
          <w:color w:val="000000" w:themeColor="text1"/>
          <w:lang w:val="es-ES"/>
        </w:rPr>
        <w:t>, J</w:t>
      </w:r>
      <w:r>
        <w:rPr>
          <w:rFonts w:ascii="Arial" w:hAnsi="Arial" w:cs="Arial"/>
          <w:color w:val="000000" w:themeColor="text1"/>
          <w:lang w:val="es-ES"/>
        </w:rPr>
        <w:t>osep y otro, “Fuentes del derecho. Dos visiones.”, Astrea, Buenos Aires, 2012, pp. 123,124.</w:t>
      </w:r>
    </w:p>
  </w:footnote>
  <w:footnote w:id="22">
    <w:p w14:paraId="2E52F3FD" w14:textId="646DB594" w:rsidR="003C41DF" w:rsidRPr="003C41DF" w:rsidRDefault="003C41DF" w:rsidP="003C41DF">
      <w:pPr>
        <w:pStyle w:val="Textonotapie"/>
        <w:jc w:val="both"/>
        <w:rPr>
          <w:lang w:val="es-ES"/>
        </w:rPr>
      </w:pPr>
      <w:r>
        <w:rPr>
          <w:rStyle w:val="Refdenotaalpie"/>
        </w:rPr>
        <w:footnoteRef/>
      </w:r>
      <w:r>
        <w:t xml:space="preserve"> </w:t>
      </w:r>
      <w:r w:rsidRPr="003C41DF">
        <w:rPr>
          <w:lang w:val="es-ES"/>
        </w:rPr>
        <w:t>Se ha dicho que “</w:t>
      </w:r>
      <w:r w:rsidRPr="003C41DF">
        <w:t xml:space="preserve">Tanto la igualdad como la seguridad jurídica son intereses por los cuales deben velar las provincias evitando posturas antitéticas de sus tribunales y garantizando el respeto al debido proceso y el principio de igualdad, mediante remedios de casación de su propio derecho que dejen en pie la unidad y coherencia del ordenamiento jurídico” (CSJN, Disidencia del juez Rosatti en sentencia dictada en la causa </w:t>
      </w:r>
      <w:r w:rsidRPr="003C41DF">
        <w:rPr>
          <w:lang w:val="es-ES"/>
        </w:rPr>
        <w:t xml:space="preserve">PETROARSA S.A. c/ PROVINCIA DE TUCUMAN s/INCONSTITUCIONALIDAD, de fecha 20/08/2024, Fallos: 347:971). </w:t>
      </w:r>
    </w:p>
  </w:footnote>
  <w:footnote w:id="23">
    <w:p w14:paraId="193B6438" w14:textId="4FA9B9C7" w:rsidR="009D7429" w:rsidRPr="009D7429" w:rsidRDefault="009D7429" w:rsidP="009D7429">
      <w:pPr>
        <w:pStyle w:val="Textonotapie"/>
        <w:jc w:val="both"/>
        <w:rPr>
          <w:lang w:val="es-ES"/>
        </w:rPr>
      </w:pPr>
      <w:r>
        <w:rPr>
          <w:rStyle w:val="Refdenotaalpie"/>
        </w:rPr>
        <w:footnoteRef/>
      </w:r>
      <w:r>
        <w:t xml:space="preserve"> Así ha dicho “</w:t>
      </w:r>
      <w:r w:rsidRPr="009D7429">
        <w:rPr>
          <w:i/>
          <w:iCs/>
          <w:lang w:val="es-ES"/>
        </w:rPr>
        <w:t xml:space="preserve">En particular, se ha dicho, no lo es mediante una legitimación de tipo «democrático» o de mayoría, como la que obtendría con un control gubernativo o parlamentario sobre las funciones judiciales y sobre las de la acusación, o con el carácter electivo de los jueces y acusadores, o acaso con formas de jurisdicción democrática directa o asamblearia. Y esto por la razón ya expuesta de que la legitimación mayoritaria no hace verdaderas las pro- posiciones jurisdiccionales falsas, ni susceptibles de verificación o refutación las que no sean verificables ni refutables. De ello se sigue que la carencia de legitimación legal o racional en una palabra </w:t>
      </w:r>
      <w:r w:rsidRPr="003C41DF">
        <w:rPr>
          <w:i/>
          <w:iCs/>
          <w:lang w:val="es-ES"/>
        </w:rPr>
        <w:t>—</w:t>
      </w:r>
      <w:r w:rsidRPr="009D7429">
        <w:rPr>
          <w:i/>
          <w:iCs/>
          <w:lang w:val="es-ES"/>
        </w:rPr>
        <w:t>garantista</w:t>
      </w:r>
      <w:r w:rsidRPr="003C41DF">
        <w:rPr>
          <w:i/>
          <w:iCs/>
          <w:lang w:val="es-ES"/>
        </w:rPr>
        <w:t>—</w:t>
      </w:r>
      <w:r w:rsidRPr="009D7429">
        <w:rPr>
          <w:i/>
          <w:iCs/>
          <w:lang w:val="es-ES"/>
        </w:rPr>
        <w:t xml:space="preserve"> del poder judicial,  en tanto que inevitable, es también irremediable, al no ser pertinentes otras formas de legitimación, que incluso chocan con la naturaleza misma de la jurisdicción</w:t>
      </w:r>
      <w:r>
        <w:rPr>
          <w:lang w:val="es-ES"/>
        </w:rPr>
        <w:t>. (</w:t>
      </w:r>
      <w:r w:rsidRPr="009D7429">
        <w:rPr>
          <w:smallCaps/>
        </w:rPr>
        <w:t>Ferrajoli</w:t>
      </w:r>
      <w:r w:rsidRPr="009D7429">
        <w:t>, Luigi, "Derecho y Razón. Teoría del Garantismo Penal", Ed. Trotta, Madrid, 1995</w:t>
      </w:r>
      <w:r>
        <w:t>, p. 547)</w:t>
      </w:r>
    </w:p>
  </w:footnote>
  <w:footnote w:id="24">
    <w:p w14:paraId="2DD9A1DC" w14:textId="5A9699C7" w:rsidR="00D426A0" w:rsidRPr="00D426A0" w:rsidRDefault="00D426A0">
      <w:pPr>
        <w:pStyle w:val="Textonotapie"/>
        <w:rPr>
          <w:lang w:val="es-ES"/>
        </w:rPr>
      </w:pPr>
      <w:r>
        <w:rPr>
          <w:rStyle w:val="Refdenotaalpie"/>
        </w:rPr>
        <w:footnoteRef/>
      </w:r>
      <w:r>
        <w:t xml:space="preserve"> </w:t>
      </w:r>
      <w:r w:rsidRPr="009D7429">
        <w:rPr>
          <w:smallCaps/>
        </w:rPr>
        <w:t>Ferrajoli</w:t>
      </w:r>
      <w:r w:rsidRPr="009D7429">
        <w:t>, Luigi, "Derecho y Razón. Teoría del Garantismo Penal", Ed. Trotta, Madrid, 1995</w:t>
      </w:r>
      <w:r>
        <w:t>, p. 602.</w:t>
      </w:r>
    </w:p>
  </w:footnote>
  <w:footnote w:id="25">
    <w:p w14:paraId="64C67E37" w14:textId="2EF7A240" w:rsidR="00F051A8" w:rsidRPr="00F051A8" w:rsidRDefault="00F051A8">
      <w:pPr>
        <w:pStyle w:val="Textonotapie"/>
        <w:rPr>
          <w:lang w:val="es-ES"/>
        </w:rPr>
      </w:pPr>
      <w:r>
        <w:rPr>
          <w:rStyle w:val="Refdenotaalpie"/>
        </w:rPr>
        <w:footnoteRef/>
      </w:r>
      <w:r>
        <w:t xml:space="preserve"> </w:t>
      </w:r>
      <w:r w:rsidRPr="00F051A8">
        <w:rPr>
          <w:smallCaps/>
        </w:rPr>
        <w:t>Andruet</w:t>
      </w:r>
      <w:r w:rsidRPr="00F051A8">
        <w:t>, Armando S. (h), "</w:t>
      </w:r>
      <w:r w:rsidRPr="00F051A8">
        <w:rPr>
          <w:i/>
          <w:iCs/>
        </w:rPr>
        <w:t>Teoría general de la Argumentación Forense</w:t>
      </w:r>
      <w:r w:rsidRPr="00F051A8">
        <w:t>", Alveroni, Córdoba, 2001.</w:t>
      </w:r>
      <w:r>
        <w:t xml:space="preserve">, </w:t>
      </w:r>
      <w:r>
        <w:rPr>
          <w:lang w:val="es-ES"/>
        </w:rPr>
        <w:t>p</w:t>
      </w:r>
      <w:r w:rsidRPr="00F051A8">
        <w:rPr>
          <w:lang w:val="es-ES"/>
        </w:rPr>
        <w:t>.5</w:t>
      </w:r>
      <w:r>
        <w:rPr>
          <w:lang w:val="es-ES"/>
        </w:rPr>
        <w:t>3.</w:t>
      </w:r>
    </w:p>
  </w:footnote>
  <w:footnote w:id="26">
    <w:p w14:paraId="5160DD14" w14:textId="77502C52" w:rsidR="003C0794" w:rsidRPr="003C0794" w:rsidRDefault="003C0794" w:rsidP="0087137F">
      <w:pPr>
        <w:pStyle w:val="Textonotapie"/>
        <w:jc w:val="both"/>
        <w:rPr>
          <w:lang w:val="es-ES"/>
        </w:rPr>
      </w:pPr>
      <w:r w:rsidRPr="00210704">
        <w:rPr>
          <w:rStyle w:val="Refdenotaalpie"/>
        </w:rPr>
        <w:footnoteRef/>
      </w:r>
      <w:r w:rsidRPr="00210704">
        <w:t xml:space="preserve"> </w:t>
      </w:r>
      <w:r w:rsidRPr="00210704">
        <w:rPr>
          <w:lang w:val="es-ES"/>
        </w:rPr>
        <w:t>“</w:t>
      </w:r>
      <w:r w:rsidRPr="00210704">
        <w:rPr>
          <w:i/>
          <w:iCs/>
        </w:rPr>
        <w:t>El procedimiento no solo no era público, sino que también permanecía secreto para el acusado. Naturalmente, todo lo secreto que era posible, pero era posible en su mayor parte. El acusado tampoco tenía acceso a los escritos judiciales y deducir de los interrogatorios el contenido de ellos era muy difícil, sobre todo para el acusado, confuso y lleno de preocupaciones</w:t>
      </w:r>
      <w:r w:rsidRPr="00210704">
        <w:t>” (Kafka, Franz, “El proceso”, El cid</w:t>
      </w:r>
      <w:r w:rsidR="00210704">
        <w:t>.)</w:t>
      </w:r>
    </w:p>
  </w:footnote>
  <w:footnote w:id="27">
    <w:p w14:paraId="5D6E3DE9" w14:textId="103EDA78" w:rsidR="00121EC9" w:rsidRPr="00121EC9" w:rsidRDefault="00121EC9">
      <w:pPr>
        <w:pStyle w:val="Textonotapie"/>
        <w:rPr>
          <w:lang w:val="es-ES"/>
        </w:rPr>
      </w:pPr>
      <w:r>
        <w:rPr>
          <w:rStyle w:val="Refdenotaalpie"/>
        </w:rPr>
        <w:footnoteRef/>
      </w:r>
      <w:r>
        <w:t xml:space="preserve"> </w:t>
      </w:r>
      <w:r>
        <w:rPr>
          <w:lang w:val="es-ES"/>
        </w:rPr>
        <w:t xml:space="preserve">Y algunos autores afirman también que guarda relación con el derecho a peticionar antes las autoridades (art. 14 C.N.). En este sentido, se ha dicho: </w:t>
      </w:r>
      <w:r w:rsidRPr="00121EC9">
        <w:rPr>
          <w:i/>
          <w:iCs/>
          <w:lang w:val="es-ES"/>
        </w:rPr>
        <w:t>“Es que el derecho a la información tiene un presupuesto gnoseológico, puesto que no se puede pedir si no se sabe que es lo que hay que pedir. “</w:t>
      </w:r>
      <w:r>
        <w:rPr>
          <w:lang w:val="es-ES"/>
        </w:rPr>
        <w:t>.</w:t>
      </w:r>
      <w:r w:rsidRPr="00121EC9">
        <w:rPr>
          <w:lang w:val="es-ES"/>
        </w:rPr>
        <w:t xml:space="preserve"> Así lo ha entendido CALDERÓN, Maximiliano R. en </w:t>
      </w:r>
      <w:r w:rsidRPr="002B74B3">
        <w:rPr>
          <w:smallCaps/>
        </w:rPr>
        <w:t>C</w:t>
      </w:r>
      <w:r w:rsidR="002B74B3" w:rsidRPr="002B74B3">
        <w:rPr>
          <w:smallCaps/>
        </w:rPr>
        <w:t>hiacciera Castro</w:t>
      </w:r>
      <w:r w:rsidRPr="00121EC9">
        <w:rPr>
          <w:lang w:val="es-ES"/>
        </w:rPr>
        <w:t>, Paulina R. y otro (directores), “El derecho de acceso a la información pública en la Provincia de Córdoba – Ley 8.803”, Advocatus, Córdoba, 2020</w:t>
      </w:r>
      <w:r>
        <w:rPr>
          <w:lang w:val="es-ES"/>
        </w:rPr>
        <w:t>, p. 34.</w:t>
      </w:r>
    </w:p>
  </w:footnote>
  <w:footnote w:id="28">
    <w:p w14:paraId="4F4B5DE1" w14:textId="4AB13EA1" w:rsidR="001C3B3D" w:rsidRPr="001C3B3D" w:rsidRDefault="001C3B3D">
      <w:pPr>
        <w:pStyle w:val="Textonotapie"/>
        <w:rPr>
          <w:lang w:val="es-ES"/>
        </w:rPr>
      </w:pPr>
      <w:r>
        <w:rPr>
          <w:rStyle w:val="Refdenotaalpie"/>
        </w:rPr>
        <w:footnoteRef/>
      </w:r>
      <w:r>
        <w:t xml:space="preserve"> CSJN, “Fallos de la CSJN”, Buenos Aires, 1865, Tomo I (1863-1865)</w:t>
      </w:r>
    </w:p>
  </w:footnote>
  <w:footnote w:id="29">
    <w:p w14:paraId="223F6146" w14:textId="16A31204" w:rsidR="00366512" w:rsidRPr="00366512" w:rsidRDefault="00366512">
      <w:pPr>
        <w:pStyle w:val="Textonotapie"/>
        <w:rPr>
          <w:lang w:val="es-ES"/>
        </w:rPr>
      </w:pPr>
      <w:r>
        <w:rPr>
          <w:rStyle w:val="Refdenotaalpie"/>
        </w:rPr>
        <w:footnoteRef/>
      </w:r>
      <w:r w:rsidR="00882EA2">
        <w:t xml:space="preserve"> </w:t>
      </w:r>
      <w:r w:rsidR="00882EA2" w:rsidRPr="002B74B3">
        <w:rPr>
          <w:smallCaps/>
        </w:rPr>
        <w:t>Alvarado Velloso</w:t>
      </w:r>
      <w:r w:rsidR="00882EA2">
        <w:t>, Adolfo y otro</w:t>
      </w:r>
      <w:r>
        <w:t xml:space="preserve"> </w:t>
      </w:r>
      <w:r w:rsidR="00882EA2">
        <w:t>“</w:t>
      </w:r>
      <w:r w:rsidR="00882EA2" w:rsidRPr="00882EA2">
        <w:t>Código Procesal Civil y Comercial de la Nación</w:t>
      </w:r>
      <w:r w:rsidR="00882EA2">
        <w:t>”, Tomo IV, Rubinzal Culzoni, Santa Fe, 1989, pp. 125-126.</w:t>
      </w:r>
    </w:p>
  </w:footnote>
  <w:footnote w:id="30">
    <w:p w14:paraId="61AB4902" w14:textId="4D6449E8" w:rsidR="002B74B3" w:rsidRPr="002B74B3" w:rsidRDefault="002B74B3">
      <w:pPr>
        <w:pStyle w:val="Textonotapie"/>
        <w:rPr>
          <w:lang w:val="es-ES"/>
        </w:rPr>
      </w:pPr>
      <w:r>
        <w:rPr>
          <w:rStyle w:val="Refdenotaalpie"/>
        </w:rPr>
        <w:footnoteRef/>
      </w:r>
      <w:r>
        <w:t xml:space="preserve"> </w:t>
      </w:r>
      <w:r w:rsidRPr="002B74B3">
        <w:rPr>
          <w:smallCaps/>
        </w:rPr>
        <w:t>Alvarado Velloso</w:t>
      </w:r>
      <w:r>
        <w:t>, Adolfo y otro “</w:t>
      </w:r>
      <w:r w:rsidRPr="00882EA2">
        <w:t>Código Procesal Civil y Comercial de la Nación</w:t>
      </w:r>
      <w:r>
        <w:t>”, Tomo IV, Rubinzal Culzoni, Santa Fe, 1989, pp. 164.</w:t>
      </w:r>
    </w:p>
  </w:footnote>
  <w:footnote w:id="31">
    <w:p w14:paraId="30CAA37F" w14:textId="48D62584" w:rsidR="00B036D4" w:rsidRPr="00B036D4" w:rsidRDefault="00B036D4">
      <w:pPr>
        <w:pStyle w:val="Textonotapie"/>
        <w:rPr>
          <w:lang w:val="es-ES"/>
        </w:rPr>
      </w:pPr>
      <w:r>
        <w:rPr>
          <w:rStyle w:val="Refdenotaalpie"/>
        </w:rPr>
        <w:footnoteRef/>
      </w:r>
      <w:r>
        <w:t xml:space="preserve"> </w:t>
      </w:r>
      <w:r w:rsidRPr="00B036D4">
        <w:rPr>
          <w:smallCaps/>
        </w:rPr>
        <w:t>Falcon</w:t>
      </w:r>
      <w:r>
        <w:rPr>
          <w:smallCaps/>
        </w:rPr>
        <w:t xml:space="preserve">, </w:t>
      </w:r>
      <w:r>
        <w:t>Enrique M., “</w:t>
      </w:r>
      <w:r w:rsidRPr="00B036D4">
        <w:rPr>
          <w:i/>
          <w:iCs/>
        </w:rPr>
        <w:t>Código Procesal Civil y Comercial de la Nación</w:t>
      </w:r>
      <w:r>
        <w:t>”, Tomo II, Astrea, Buenos Aires, 2006, p. 159.</w:t>
      </w:r>
    </w:p>
  </w:footnote>
  <w:footnote w:id="32">
    <w:p w14:paraId="18C97ABC" w14:textId="428F0ED2" w:rsidR="00B91968" w:rsidRPr="00B91968" w:rsidRDefault="00B91968">
      <w:pPr>
        <w:pStyle w:val="Textonotapie"/>
        <w:rPr>
          <w:lang w:val="es-ES"/>
        </w:rPr>
      </w:pPr>
      <w:r>
        <w:rPr>
          <w:rStyle w:val="Refdenotaalpie"/>
        </w:rPr>
        <w:footnoteRef/>
      </w:r>
      <w:r>
        <w:t xml:space="preserve"> </w:t>
      </w:r>
      <w:r w:rsidRPr="002B74B3">
        <w:rPr>
          <w:smallCaps/>
        </w:rPr>
        <w:t>Alvarado Velloso</w:t>
      </w:r>
      <w:r>
        <w:t>, Adolfo y otro “</w:t>
      </w:r>
      <w:r w:rsidRPr="00882EA2">
        <w:t>Código Procesal Civil y Comercial de la Nación</w:t>
      </w:r>
      <w:r>
        <w:t>”, Tomo VIII, Rubinzal Culzoni, Santa Fe, 1994, pp.</w:t>
      </w:r>
      <w:r>
        <w:rPr>
          <w:lang w:val="es-ES"/>
        </w:rPr>
        <w:t xml:space="preserve"> 389-390.</w:t>
      </w:r>
    </w:p>
  </w:footnote>
  <w:footnote w:id="33">
    <w:p w14:paraId="76102689" w14:textId="77777777" w:rsidR="00C06FA4" w:rsidRPr="00080EE5" w:rsidRDefault="00C06FA4" w:rsidP="00C06FA4">
      <w:pPr>
        <w:pStyle w:val="Textonotapie"/>
        <w:rPr>
          <w:rFonts w:ascii="Arial" w:hAnsi="Arial" w:cs="Arial"/>
          <w:lang w:val="es-ES"/>
        </w:rPr>
      </w:pPr>
      <w:r w:rsidRPr="00080EE5">
        <w:rPr>
          <w:rStyle w:val="Refdenotaalpie"/>
          <w:rFonts w:ascii="Arial" w:hAnsi="Arial" w:cs="Arial"/>
        </w:rPr>
        <w:footnoteRef/>
      </w:r>
      <w:r w:rsidRPr="00080EE5">
        <w:rPr>
          <w:rFonts w:ascii="Arial" w:hAnsi="Arial" w:cs="Arial"/>
        </w:rPr>
        <w:t xml:space="preserve"> </w:t>
      </w:r>
      <w:r w:rsidRPr="00080EE5">
        <w:rPr>
          <w:rFonts w:ascii="Arial" w:hAnsi="Arial" w:cs="Arial"/>
          <w:lang w:val="es-ES"/>
        </w:rPr>
        <w:t>Establece que “</w:t>
      </w:r>
      <w:r w:rsidRPr="00080EE5">
        <w:rPr>
          <w:rFonts w:ascii="Arial" w:hAnsi="Arial" w:cs="Arial"/>
          <w:i/>
          <w:iCs/>
        </w:rPr>
        <w:t>La audiencia será grabada en forma total mediante soporte de audio o video</w:t>
      </w:r>
      <w:r w:rsidRPr="00080EE5">
        <w:rPr>
          <w:rFonts w:ascii="Arial" w:hAnsi="Arial" w:cs="Arial"/>
        </w:rPr>
        <w:t>”.</w:t>
      </w:r>
    </w:p>
  </w:footnote>
  <w:footnote w:id="34">
    <w:p w14:paraId="64A34423" w14:textId="77777777" w:rsidR="00C06FA4" w:rsidRPr="00080EE5" w:rsidRDefault="00C06FA4" w:rsidP="00C06FA4">
      <w:pPr>
        <w:pStyle w:val="Textonotapie"/>
        <w:jc w:val="both"/>
        <w:rPr>
          <w:lang w:val="es-ES"/>
        </w:rPr>
      </w:pPr>
      <w:r w:rsidRPr="00080EE5">
        <w:rPr>
          <w:rStyle w:val="Refdenotaalpie"/>
          <w:rFonts w:ascii="Arial" w:hAnsi="Arial" w:cs="Arial"/>
        </w:rPr>
        <w:footnoteRef/>
      </w:r>
      <w:r w:rsidRPr="00080EE5">
        <w:rPr>
          <w:rFonts w:ascii="Arial" w:hAnsi="Arial" w:cs="Arial"/>
        </w:rPr>
        <w:t xml:space="preserve"> </w:t>
      </w:r>
      <w:r w:rsidRPr="00080EE5">
        <w:rPr>
          <w:rFonts w:ascii="Arial" w:hAnsi="Arial" w:cs="Arial"/>
          <w:lang w:val="es-ES"/>
        </w:rPr>
        <w:t xml:space="preserve">Dice el art. 163 que </w:t>
      </w:r>
      <w:r w:rsidRPr="00080EE5">
        <w:rPr>
          <w:rFonts w:ascii="Arial" w:hAnsi="Arial" w:cs="Arial"/>
          <w:i/>
          <w:iCs/>
          <w:lang w:val="es-ES"/>
        </w:rPr>
        <w:t>“</w:t>
      </w:r>
      <w:r w:rsidRPr="00080EE5">
        <w:rPr>
          <w:rFonts w:ascii="Arial" w:hAnsi="Arial" w:cs="Arial"/>
          <w:i/>
          <w:iCs/>
        </w:rPr>
        <w:t>Cuando deba recibirse testimonio de personas que hayan resultado víctimas de hechos que las han afectado psicológicamente, el representante del MINISTERIO PÚBLICO FISCAL o el juez, según el caso y fundadamente, podrán disponer su recepción en privado y con el auxilio de familiares o profesionales especializados, garantizando el ejercicio de la defensa”</w:t>
      </w:r>
      <w:r w:rsidRPr="00080EE5">
        <w:rPr>
          <w:rFonts w:ascii="Arial" w:hAnsi="Arial" w:cs="Arial"/>
        </w:rPr>
        <w:t>.</w:t>
      </w:r>
    </w:p>
  </w:footnote>
  <w:footnote w:id="35">
    <w:p w14:paraId="7F32D49A" w14:textId="37294B50" w:rsidR="007C5B04" w:rsidRPr="007C5B04" w:rsidRDefault="007C5B04">
      <w:pPr>
        <w:pStyle w:val="Textonotapie"/>
        <w:rPr>
          <w:lang w:val="es-ES"/>
        </w:rPr>
      </w:pPr>
      <w:r>
        <w:rPr>
          <w:rStyle w:val="Refdenotaalpie"/>
        </w:rPr>
        <w:footnoteRef/>
      </w:r>
      <w:r>
        <w:t xml:space="preserve"> </w:t>
      </w:r>
      <w:hyperlink r:id="rId2" w:history="1">
        <w:r w:rsidRPr="00E20774">
          <w:rPr>
            <w:rStyle w:val="Hipervnculo"/>
          </w:rPr>
          <w:t>https://www.csjn.gov.ar/documentos/descargar?ID=144715</w:t>
        </w:r>
      </w:hyperlink>
      <w:r>
        <w:t xml:space="preserve"> </w:t>
      </w:r>
    </w:p>
  </w:footnote>
  <w:footnote w:id="36">
    <w:p w14:paraId="0CB20205" w14:textId="29B42C29" w:rsidR="007C5B04" w:rsidRPr="007C5B04" w:rsidRDefault="007C5B04">
      <w:pPr>
        <w:pStyle w:val="Textonotapie"/>
        <w:rPr>
          <w:lang w:val="es-ES"/>
        </w:rPr>
      </w:pPr>
      <w:r>
        <w:rPr>
          <w:rStyle w:val="Refdenotaalpie"/>
        </w:rPr>
        <w:footnoteRef/>
      </w:r>
      <w:r>
        <w:t xml:space="preserve"> </w:t>
      </w:r>
      <w:hyperlink r:id="rId3" w:history="1">
        <w:r w:rsidRPr="00E20774">
          <w:rPr>
            <w:rStyle w:val="Hipervnculo"/>
          </w:rPr>
          <w:t>https://www.csjn.gov.ar/documentos/descargar?ID=148639</w:t>
        </w:r>
      </w:hyperlink>
      <w:r>
        <w:t xml:space="preserve"> </w:t>
      </w:r>
    </w:p>
  </w:footnote>
  <w:footnote w:id="37">
    <w:p w14:paraId="2B3EAF9B" w14:textId="33557F50" w:rsidR="00017407" w:rsidRPr="00017407" w:rsidRDefault="00017407" w:rsidP="00017407">
      <w:pPr>
        <w:pStyle w:val="Textonotapie"/>
        <w:rPr>
          <w:lang w:val="es-ES"/>
        </w:rPr>
      </w:pPr>
      <w:r>
        <w:rPr>
          <w:rStyle w:val="Refdenotaalpie"/>
        </w:rPr>
        <w:footnoteRef/>
      </w:r>
      <w:r>
        <w:t xml:space="preserve"> CSJN, </w:t>
      </w:r>
      <w:r w:rsidRPr="00017407">
        <w:t>Fallos: 345:1421</w:t>
      </w:r>
      <w:r>
        <w:t>, de fecha 15.12.2022, “</w:t>
      </w:r>
      <w:r w:rsidRPr="00017407">
        <w:rPr>
          <w:i/>
          <w:iCs/>
        </w:rPr>
        <w:t>Sala, Milagro Amalia Ángela y otros s/ p.ss.aa. de asociación ilícita, fraude a la administración pública y extorsión. CSJ 351/2020</w:t>
      </w:r>
      <w:r>
        <w:t xml:space="preserve">”, puede consultarse en: </w:t>
      </w:r>
      <w:hyperlink r:id="rId4" w:history="1">
        <w:r w:rsidRPr="00100999">
          <w:rPr>
            <w:rStyle w:val="Hipervnculo"/>
          </w:rPr>
          <w:t>https://sjconsulta.csjn.gov.ar/sjconsulta/documentos/verDocumentoByIdLinksJSP.html?idDocumento=7813661&amp;cache=1756040468494</w:t>
        </w:r>
      </w:hyperlink>
      <w:r>
        <w:t xml:space="preserve"> </w:t>
      </w:r>
    </w:p>
  </w:footnote>
  <w:footnote w:id="38">
    <w:p w14:paraId="72458E53" w14:textId="4049E5B6" w:rsidR="00471EE2" w:rsidRPr="00471EE2" w:rsidRDefault="00471EE2" w:rsidP="004729C8">
      <w:pPr>
        <w:pStyle w:val="Textonotapie"/>
        <w:jc w:val="both"/>
        <w:rPr>
          <w:sz w:val="22"/>
          <w:szCs w:val="22"/>
          <w:lang w:val="es-ES"/>
        </w:rPr>
      </w:pPr>
      <w:r>
        <w:rPr>
          <w:rStyle w:val="Refdenotaalpie"/>
        </w:rPr>
        <w:footnoteRef/>
      </w:r>
      <w:r>
        <w:t xml:space="preserve"> </w:t>
      </w:r>
      <w:r w:rsidRPr="00100710">
        <w:rPr>
          <w:rFonts w:ascii="Arial" w:hAnsi="Arial" w:cs="Arial"/>
          <w:smallCaps/>
          <w:lang w:val="es-ES"/>
        </w:rPr>
        <w:t>González Castro</w:t>
      </w:r>
      <w:r>
        <w:rPr>
          <w:rFonts w:ascii="Arial" w:hAnsi="Arial" w:cs="Arial"/>
          <w:smallCaps/>
          <w:lang w:val="es-ES"/>
        </w:rPr>
        <w:t xml:space="preserve">, </w:t>
      </w:r>
      <w:r>
        <w:rPr>
          <w:rFonts w:ascii="Arial" w:hAnsi="Arial" w:cs="Arial"/>
          <w:color w:val="000000" w:themeColor="text1"/>
          <w:lang w:val="es-ES"/>
        </w:rPr>
        <w:t>Manuel A., “</w:t>
      </w:r>
      <w:r w:rsidRPr="00471EE2">
        <w:rPr>
          <w:rFonts w:ascii="Arial" w:hAnsi="Arial" w:cs="Arial"/>
          <w:i/>
          <w:iCs/>
          <w:color w:val="000000" w:themeColor="text1"/>
          <w:lang w:val="es-ES"/>
        </w:rPr>
        <w:t>Código Procesal Civil y Comercial de la Provincia de Córdoba</w:t>
      </w:r>
      <w:r>
        <w:rPr>
          <w:rFonts w:ascii="Arial" w:hAnsi="Arial" w:cs="Arial"/>
          <w:color w:val="000000" w:themeColor="text1"/>
          <w:lang w:val="es-ES"/>
        </w:rPr>
        <w:t>”, Advocatus, Córdoba, 2023, p. 54.</w:t>
      </w:r>
    </w:p>
  </w:footnote>
  <w:footnote w:id="39">
    <w:p w14:paraId="59FA7796" w14:textId="659A2981" w:rsidR="004729C8" w:rsidRPr="004729C8" w:rsidRDefault="004729C8" w:rsidP="004729C8">
      <w:pPr>
        <w:pStyle w:val="Textonotapie"/>
        <w:jc w:val="both"/>
        <w:rPr>
          <w:sz w:val="22"/>
          <w:szCs w:val="22"/>
          <w:lang w:val="es-ES"/>
        </w:rPr>
      </w:pPr>
      <w:r>
        <w:rPr>
          <w:rStyle w:val="Refdenotaalpie"/>
        </w:rPr>
        <w:footnoteRef/>
      </w:r>
      <w:r>
        <w:t xml:space="preserve"> </w:t>
      </w:r>
      <w:r>
        <w:rPr>
          <w:rFonts w:ascii="Arial" w:hAnsi="Arial" w:cs="Arial"/>
          <w:smallCaps/>
          <w:lang w:val="es-ES"/>
        </w:rPr>
        <w:t xml:space="preserve">Venica, </w:t>
      </w:r>
      <w:r>
        <w:rPr>
          <w:rFonts w:ascii="Arial" w:hAnsi="Arial" w:cs="Arial"/>
          <w:color w:val="000000" w:themeColor="text1"/>
          <w:lang w:val="es-ES"/>
        </w:rPr>
        <w:t>Oscar Hugo., “</w:t>
      </w:r>
      <w:r w:rsidRPr="00471EE2">
        <w:rPr>
          <w:rFonts w:ascii="Arial" w:hAnsi="Arial" w:cs="Arial"/>
          <w:i/>
          <w:iCs/>
          <w:color w:val="000000" w:themeColor="text1"/>
          <w:lang w:val="es-ES"/>
        </w:rPr>
        <w:t>Código Procesal Civil y Comercial de la Provincia de Córdoba</w:t>
      </w:r>
      <w:r>
        <w:rPr>
          <w:rFonts w:ascii="Arial" w:hAnsi="Arial" w:cs="Arial"/>
          <w:color w:val="000000" w:themeColor="text1"/>
          <w:lang w:val="es-ES"/>
        </w:rPr>
        <w:t xml:space="preserve">”, Lerner, Córdoba, 1997, p. </w:t>
      </w:r>
      <w:r w:rsidR="00E20A48">
        <w:rPr>
          <w:rFonts w:ascii="Arial" w:hAnsi="Arial" w:cs="Arial"/>
          <w:color w:val="000000" w:themeColor="text1"/>
          <w:lang w:val="es-ES"/>
        </w:rPr>
        <w:t>178</w:t>
      </w:r>
      <w:r>
        <w:rPr>
          <w:rFonts w:ascii="Arial" w:hAnsi="Arial" w:cs="Arial"/>
          <w:color w:val="000000" w:themeColor="text1"/>
          <w:lang w:val="es-ES"/>
        </w:rPr>
        <w:t>.</w:t>
      </w:r>
    </w:p>
  </w:footnote>
  <w:footnote w:id="40">
    <w:p w14:paraId="6A10531A" w14:textId="7CCF2BA8" w:rsidR="00E20A48" w:rsidRPr="00E20A48" w:rsidRDefault="00E20A48" w:rsidP="00E20A48">
      <w:pPr>
        <w:pStyle w:val="Textonotapie"/>
        <w:jc w:val="both"/>
        <w:rPr>
          <w:sz w:val="22"/>
          <w:szCs w:val="22"/>
          <w:lang w:val="es-ES"/>
        </w:rPr>
      </w:pPr>
      <w:r>
        <w:rPr>
          <w:rStyle w:val="Refdenotaalpie"/>
        </w:rPr>
        <w:footnoteRef/>
      </w:r>
      <w:r>
        <w:t xml:space="preserve"> </w:t>
      </w:r>
      <w:r>
        <w:rPr>
          <w:rFonts w:ascii="Arial" w:hAnsi="Arial" w:cs="Arial"/>
          <w:smallCaps/>
          <w:lang w:val="es-ES"/>
        </w:rPr>
        <w:t xml:space="preserve">Venica, </w:t>
      </w:r>
      <w:r>
        <w:rPr>
          <w:rFonts w:ascii="Arial" w:hAnsi="Arial" w:cs="Arial"/>
          <w:color w:val="000000" w:themeColor="text1"/>
          <w:lang w:val="es-ES"/>
        </w:rPr>
        <w:t>Oscar Hugo., “</w:t>
      </w:r>
      <w:r w:rsidRPr="00471EE2">
        <w:rPr>
          <w:rFonts w:ascii="Arial" w:hAnsi="Arial" w:cs="Arial"/>
          <w:i/>
          <w:iCs/>
          <w:color w:val="000000" w:themeColor="text1"/>
          <w:lang w:val="es-ES"/>
        </w:rPr>
        <w:t>Código Procesal Civil y Comercial de la Provincia de Córdoba</w:t>
      </w:r>
      <w:r>
        <w:rPr>
          <w:rFonts w:ascii="Arial" w:hAnsi="Arial" w:cs="Arial"/>
          <w:color w:val="000000" w:themeColor="text1"/>
          <w:lang w:val="es-ES"/>
        </w:rPr>
        <w:t>”,</w:t>
      </w:r>
      <w:r w:rsidR="0053440A">
        <w:rPr>
          <w:rFonts w:ascii="Arial" w:hAnsi="Arial" w:cs="Arial"/>
          <w:color w:val="000000" w:themeColor="text1"/>
          <w:lang w:val="es-ES"/>
        </w:rPr>
        <w:t xml:space="preserve"> Tomo I,</w:t>
      </w:r>
      <w:r>
        <w:rPr>
          <w:rFonts w:ascii="Arial" w:hAnsi="Arial" w:cs="Arial"/>
          <w:color w:val="000000" w:themeColor="text1"/>
          <w:lang w:val="es-ES"/>
        </w:rPr>
        <w:t xml:space="preserve"> Lerner, Córdoba, 1997, pp. 179, 180.</w:t>
      </w:r>
    </w:p>
  </w:footnote>
  <w:footnote w:id="41">
    <w:p w14:paraId="22923865" w14:textId="55FB9AE8" w:rsidR="0053440A" w:rsidRPr="0053440A" w:rsidRDefault="0053440A" w:rsidP="0053440A">
      <w:pPr>
        <w:pStyle w:val="Textonotapie"/>
        <w:jc w:val="both"/>
        <w:rPr>
          <w:sz w:val="22"/>
          <w:szCs w:val="22"/>
          <w:lang w:val="es-ES"/>
        </w:rPr>
      </w:pPr>
      <w:r>
        <w:rPr>
          <w:rStyle w:val="Refdenotaalpie"/>
        </w:rPr>
        <w:footnoteRef/>
      </w:r>
      <w:r>
        <w:t xml:space="preserve"> </w:t>
      </w:r>
      <w:r>
        <w:rPr>
          <w:rFonts w:ascii="Arial" w:hAnsi="Arial" w:cs="Arial"/>
          <w:smallCaps/>
          <w:lang w:val="es-ES"/>
        </w:rPr>
        <w:t xml:space="preserve">Diaz Villasuso, </w:t>
      </w:r>
      <w:r>
        <w:rPr>
          <w:rFonts w:ascii="Arial" w:hAnsi="Arial" w:cs="Arial"/>
          <w:color w:val="000000" w:themeColor="text1"/>
          <w:lang w:val="es-ES"/>
        </w:rPr>
        <w:t>Mariano A., “</w:t>
      </w:r>
      <w:r w:rsidRPr="00471EE2">
        <w:rPr>
          <w:rFonts w:ascii="Arial" w:hAnsi="Arial" w:cs="Arial"/>
          <w:i/>
          <w:iCs/>
          <w:color w:val="000000" w:themeColor="text1"/>
          <w:lang w:val="es-ES"/>
        </w:rPr>
        <w:t>Código Procesal Civil y Comercial de la Provincia de Córdoba</w:t>
      </w:r>
      <w:r>
        <w:rPr>
          <w:rFonts w:ascii="Arial" w:hAnsi="Arial" w:cs="Arial"/>
          <w:color w:val="000000" w:themeColor="text1"/>
          <w:lang w:val="es-ES"/>
        </w:rPr>
        <w:t>”, Tomo I, Advocatus, Córdoba, 2013, pp. 186, 187.</w:t>
      </w:r>
    </w:p>
  </w:footnote>
  <w:footnote w:id="42">
    <w:p w14:paraId="134A7563" w14:textId="296AE406" w:rsidR="00181874" w:rsidRPr="00181874" w:rsidRDefault="00181874" w:rsidP="00181874">
      <w:pPr>
        <w:pStyle w:val="Textonotapie"/>
        <w:jc w:val="both"/>
        <w:rPr>
          <w:sz w:val="22"/>
          <w:szCs w:val="22"/>
          <w:lang w:val="es-ES"/>
        </w:rPr>
      </w:pPr>
      <w:r>
        <w:rPr>
          <w:rStyle w:val="Refdenotaalpie"/>
        </w:rPr>
        <w:footnoteRef/>
      </w:r>
      <w:r>
        <w:t xml:space="preserve"> </w:t>
      </w:r>
      <w:r>
        <w:rPr>
          <w:rFonts w:ascii="Arial" w:hAnsi="Arial" w:cs="Arial"/>
          <w:smallCaps/>
          <w:lang w:val="es-ES"/>
        </w:rPr>
        <w:t xml:space="preserve">Venica, </w:t>
      </w:r>
      <w:r>
        <w:rPr>
          <w:rFonts w:ascii="Arial" w:hAnsi="Arial" w:cs="Arial"/>
          <w:color w:val="000000" w:themeColor="text1"/>
          <w:lang w:val="es-ES"/>
        </w:rPr>
        <w:t>Oscar Hugo., “</w:t>
      </w:r>
      <w:r w:rsidRPr="00471EE2">
        <w:rPr>
          <w:rFonts w:ascii="Arial" w:hAnsi="Arial" w:cs="Arial"/>
          <w:i/>
          <w:iCs/>
          <w:color w:val="000000" w:themeColor="text1"/>
          <w:lang w:val="es-ES"/>
        </w:rPr>
        <w:t>Código Procesal Civil y Comercial de la Provincia de Córdoba</w:t>
      </w:r>
      <w:r>
        <w:rPr>
          <w:rFonts w:ascii="Arial" w:hAnsi="Arial" w:cs="Arial"/>
          <w:color w:val="000000" w:themeColor="text1"/>
          <w:lang w:val="es-ES"/>
        </w:rPr>
        <w:t>”, Tomo II, Lerner, Córdoba, 1998, p. 335.</w:t>
      </w:r>
    </w:p>
  </w:footnote>
  <w:footnote w:id="43">
    <w:p w14:paraId="1D8E8437" w14:textId="096EE3AF" w:rsidR="000111A8" w:rsidRPr="000111A8" w:rsidRDefault="000111A8" w:rsidP="000111A8">
      <w:pPr>
        <w:pStyle w:val="Textonotapie"/>
        <w:jc w:val="both"/>
        <w:rPr>
          <w:sz w:val="22"/>
          <w:szCs w:val="22"/>
          <w:lang w:val="es-ES"/>
        </w:rPr>
      </w:pPr>
      <w:r>
        <w:rPr>
          <w:rStyle w:val="Refdenotaalpie"/>
        </w:rPr>
        <w:footnoteRef/>
      </w:r>
      <w:r>
        <w:t xml:space="preserve"> </w:t>
      </w:r>
      <w:r>
        <w:rPr>
          <w:lang w:val="es-ES"/>
        </w:rPr>
        <w:t xml:space="preserve">Dice </w:t>
      </w:r>
      <w:r w:rsidRPr="000111A8">
        <w:rPr>
          <w:rFonts w:ascii="Arial" w:hAnsi="Arial" w:cs="Arial"/>
          <w:smallCaps/>
          <w:lang w:val="es-ES"/>
        </w:rPr>
        <w:t>González Castro</w:t>
      </w:r>
      <w:r>
        <w:rPr>
          <w:lang w:val="es-ES"/>
        </w:rPr>
        <w:t xml:space="preserve"> que “el control se da en la casación interpuesta por los incs. 3 y4 del art. 383 CPCC, es decir, el denominado control nomofiláctico mediante la unificación de jurisprudencia a los fines del logro se la da la seguridad jurídica y una correcta conjetura del funcionamiento del ordenamiento jurídico”</w:t>
      </w:r>
      <w:r w:rsidRPr="000111A8">
        <w:rPr>
          <w:rFonts w:ascii="Arial" w:hAnsi="Arial" w:cs="Arial"/>
          <w:smallCaps/>
          <w:lang w:val="es-ES"/>
        </w:rPr>
        <w:t xml:space="preserve"> </w:t>
      </w:r>
      <w:r w:rsidRPr="00100710">
        <w:rPr>
          <w:rFonts w:ascii="Arial" w:hAnsi="Arial" w:cs="Arial"/>
          <w:smallCaps/>
          <w:lang w:val="es-ES"/>
        </w:rPr>
        <w:t>González Castro</w:t>
      </w:r>
      <w:r>
        <w:rPr>
          <w:rFonts w:ascii="Arial" w:hAnsi="Arial" w:cs="Arial"/>
          <w:smallCaps/>
          <w:lang w:val="es-ES"/>
        </w:rPr>
        <w:t xml:space="preserve">, </w:t>
      </w:r>
      <w:r>
        <w:rPr>
          <w:rFonts w:ascii="Arial" w:hAnsi="Arial" w:cs="Arial"/>
          <w:color w:val="000000" w:themeColor="text1"/>
          <w:lang w:val="es-ES"/>
        </w:rPr>
        <w:t>Manuel A., “</w:t>
      </w:r>
      <w:r>
        <w:rPr>
          <w:rFonts w:ascii="Arial" w:hAnsi="Arial" w:cs="Arial"/>
          <w:i/>
          <w:iCs/>
          <w:color w:val="000000" w:themeColor="text1"/>
          <w:lang w:val="es-ES"/>
        </w:rPr>
        <w:t>Teoría General de las Impugnaciones</w:t>
      </w:r>
      <w:r>
        <w:rPr>
          <w:rFonts w:ascii="Arial" w:hAnsi="Arial" w:cs="Arial"/>
          <w:color w:val="000000" w:themeColor="text1"/>
          <w:lang w:val="es-ES"/>
        </w:rPr>
        <w:t>”, Advocatus, Córdoba, 2024, p. 47.</w:t>
      </w:r>
    </w:p>
  </w:footnote>
  <w:footnote w:id="44">
    <w:p w14:paraId="6FF49905" w14:textId="77777777" w:rsidR="00FB6826" w:rsidRPr="003161B1" w:rsidRDefault="00FB6826" w:rsidP="00FB6826">
      <w:pPr>
        <w:pStyle w:val="Textonotapie"/>
        <w:rPr>
          <w:rFonts w:ascii="Arial" w:hAnsi="Arial" w:cs="Arial"/>
          <w:sz w:val="22"/>
          <w:szCs w:val="22"/>
          <w:lang w:val="es-ES"/>
        </w:rPr>
      </w:pPr>
      <w:r w:rsidRPr="003161B1">
        <w:rPr>
          <w:rStyle w:val="Refdenotaalpie"/>
          <w:rFonts w:ascii="Arial" w:hAnsi="Arial" w:cs="Arial"/>
        </w:rPr>
        <w:footnoteRef/>
      </w:r>
      <w:r w:rsidRPr="003161B1">
        <w:rPr>
          <w:rFonts w:ascii="Arial" w:hAnsi="Arial" w:cs="Arial"/>
        </w:rPr>
        <w:t xml:space="preserve"> </w:t>
      </w:r>
      <w:r w:rsidRPr="003161B1">
        <w:rPr>
          <w:rFonts w:ascii="Arial" w:hAnsi="Arial" w:cs="Arial"/>
          <w:smallCaps/>
          <w:lang w:val="es-ES"/>
        </w:rPr>
        <w:t xml:space="preserve">Venica, </w:t>
      </w:r>
      <w:r w:rsidRPr="003161B1">
        <w:rPr>
          <w:rFonts w:ascii="Arial" w:hAnsi="Arial" w:cs="Arial"/>
          <w:color w:val="000000" w:themeColor="text1"/>
          <w:lang w:val="es-ES"/>
        </w:rPr>
        <w:t>Oscar Hugo., “</w:t>
      </w:r>
      <w:r w:rsidRPr="003161B1">
        <w:rPr>
          <w:rFonts w:ascii="Arial" w:hAnsi="Arial" w:cs="Arial"/>
          <w:i/>
          <w:iCs/>
          <w:color w:val="000000" w:themeColor="text1"/>
          <w:lang w:val="es-ES"/>
        </w:rPr>
        <w:t>Código Procesal Civil y Comercial de la Provincia de Córdoba</w:t>
      </w:r>
      <w:r w:rsidRPr="003161B1">
        <w:rPr>
          <w:rFonts w:ascii="Arial" w:hAnsi="Arial" w:cs="Arial"/>
          <w:color w:val="000000" w:themeColor="text1"/>
          <w:lang w:val="es-ES"/>
        </w:rPr>
        <w:t>”, Lerner, Córdoba, 1997, p. 158.</w:t>
      </w:r>
    </w:p>
  </w:footnote>
  <w:footnote w:id="45">
    <w:p w14:paraId="159F4B6E" w14:textId="77777777" w:rsidR="00FB6826" w:rsidRPr="003161B1" w:rsidRDefault="00FB6826" w:rsidP="00FB6826">
      <w:pPr>
        <w:pStyle w:val="Textonotapie"/>
        <w:rPr>
          <w:rFonts w:ascii="Arial" w:hAnsi="Arial" w:cs="Arial"/>
          <w:lang w:val="es-ES"/>
        </w:rPr>
      </w:pPr>
      <w:r w:rsidRPr="003161B1">
        <w:rPr>
          <w:rStyle w:val="Refdenotaalpie"/>
          <w:rFonts w:ascii="Arial" w:hAnsi="Arial" w:cs="Arial"/>
        </w:rPr>
        <w:footnoteRef/>
      </w:r>
      <w:r w:rsidRPr="003161B1">
        <w:rPr>
          <w:rFonts w:ascii="Arial" w:hAnsi="Arial" w:cs="Arial"/>
        </w:rPr>
        <w:t xml:space="preserve">   DIAZ VILLASUSO, Mariano A., “Código Procesal Civil y Comercial de la Provincia de Córdoba”, Tomo I, Advocatus, Córdoba, 2013, p. 733.</w:t>
      </w:r>
    </w:p>
  </w:footnote>
  <w:footnote w:id="46">
    <w:p w14:paraId="637CAF94" w14:textId="77777777" w:rsidR="00465447" w:rsidRPr="003161B1" w:rsidRDefault="00465447" w:rsidP="00465447">
      <w:pPr>
        <w:pStyle w:val="Textonotapie"/>
        <w:rPr>
          <w:rFonts w:ascii="Arial" w:hAnsi="Arial" w:cs="Arial"/>
          <w:lang w:val="es-ES"/>
        </w:rPr>
      </w:pPr>
      <w:r w:rsidRPr="003161B1">
        <w:rPr>
          <w:rStyle w:val="Refdenotaalpie"/>
          <w:rFonts w:ascii="Arial" w:hAnsi="Arial" w:cs="Arial"/>
        </w:rPr>
        <w:footnoteRef/>
      </w:r>
      <w:r w:rsidRPr="003161B1">
        <w:rPr>
          <w:rFonts w:ascii="Arial" w:hAnsi="Arial" w:cs="Arial"/>
        </w:rPr>
        <w:t xml:space="preserve"> </w:t>
      </w:r>
      <w:r w:rsidRPr="003161B1">
        <w:rPr>
          <w:rFonts w:ascii="Arial" w:hAnsi="Arial" w:cs="Arial"/>
          <w:smallCaps/>
          <w:lang w:val="es-ES"/>
        </w:rPr>
        <w:t>Cafferata Nores</w:t>
      </w:r>
      <w:r w:rsidRPr="003161B1">
        <w:rPr>
          <w:rFonts w:ascii="Arial" w:hAnsi="Arial" w:cs="Arial"/>
        </w:rPr>
        <w:t xml:space="preserve"> José I. y otra., “</w:t>
      </w:r>
      <w:r w:rsidRPr="003161B1">
        <w:rPr>
          <w:rFonts w:ascii="Arial" w:hAnsi="Arial" w:cs="Arial"/>
          <w:i/>
          <w:iCs/>
        </w:rPr>
        <w:t>Código Procesal Penal de la Provincia de Córdoba</w:t>
      </w:r>
      <w:r w:rsidRPr="003161B1">
        <w:rPr>
          <w:rFonts w:ascii="Arial" w:hAnsi="Arial" w:cs="Arial"/>
        </w:rPr>
        <w:t>”, Tomo II,  Mediterránea, Córdoba, 2003, Pp. 22-</w:t>
      </w:r>
      <w:r w:rsidRPr="003161B1">
        <w:rPr>
          <w:rFonts w:ascii="Arial" w:hAnsi="Arial" w:cs="Arial"/>
          <w:lang w:val="es-ES"/>
        </w:rPr>
        <w:t>24</w:t>
      </w:r>
    </w:p>
  </w:footnote>
  <w:footnote w:id="47">
    <w:p w14:paraId="4EC9902F" w14:textId="22353152" w:rsidR="005D477F" w:rsidRPr="005D477F" w:rsidRDefault="005D477F">
      <w:pPr>
        <w:pStyle w:val="Textonotapie"/>
        <w:rPr>
          <w:lang w:val="es-ES"/>
        </w:rPr>
      </w:pPr>
      <w:r>
        <w:rPr>
          <w:rStyle w:val="Refdenotaalpie"/>
        </w:rPr>
        <w:footnoteRef/>
      </w:r>
      <w:r>
        <w:t xml:space="preserve"> </w:t>
      </w:r>
      <w:hyperlink r:id="rId5" w:history="1">
        <w:r w:rsidRPr="00E42838">
          <w:rPr>
            <w:rStyle w:val="Hipervnculo"/>
          </w:rPr>
          <w:t>https://www.justiciacordoba.gob.ar/justiciacordoba/inicio/indexDetalle.aspx?codNovedad=43859</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365A" w14:textId="77777777" w:rsidR="003D15DA" w:rsidRDefault="003D15DA">
    <w:pPr>
      <w:pStyle w:val="Encabezado"/>
    </w:pPr>
    <w:r>
      <w:fldChar w:fldCharType="begin"/>
    </w:r>
    <w:r>
      <w:instrText>PAGE   \* MERGEFORMAT</w:instrText>
    </w:r>
    <w:r>
      <w:fldChar w:fldCharType="separate"/>
    </w:r>
    <w:r w:rsidRPr="002D37C3">
      <w:rPr>
        <w:noProof/>
        <w:lang w:val="es-ES"/>
      </w:rPr>
      <w:t>23</w:t>
    </w:r>
    <w:r>
      <w:rPr>
        <w:noProof/>
        <w:lang w:val="es-ES"/>
      </w:rPr>
      <w:fldChar w:fldCharType="end"/>
    </w:r>
  </w:p>
  <w:p w14:paraId="5653F44F" w14:textId="77777777" w:rsidR="003D15DA" w:rsidRDefault="003D15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9C8"/>
    <w:multiLevelType w:val="hybridMultilevel"/>
    <w:tmpl w:val="1974BCB2"/>
    <w:lvl w:ilvl="0" w:tplc="5B86AA6A">
      <w:start w:val="3"/>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A051E3B"/>
    <w:multiLevelType w:val="multilevel"/>
    <w:tmpl w:val="E576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75A1A"/>
    <w:multiLevelType w:val="multilevel"/>
    <w:tmpl w:val="10700470"/>
    <w:lvl w:ilvl="0">
      <w:start w:val="3"/>
      <w:numFmt w:val="bullet"/>
      <w:lvlText w:val="-"/>
      <w:lvlJc w:val="left"/>
      <w:pPr>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8455C"/>
    <w:multiLevelType w:val="multilevel"/>
    <w:tmpl w:val="48207F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C37DE5"/>
    <w:multiLevelType w:val="hybridMultilevel"/>
    <w:tmpl w:val="867832D0"/>
    <w:lvl w:ilvl="0" w:tplc="2C0A000F">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5" w15:restartNumberingAfterBreak="0">
    <w:nsid w:val="21630205"/>
    <w:multiLevelType w:val="hybridMultilevel"/>
    <w:tmpl w:val="F13C18A4"/>
    <w:lvl w:ilvl="0" w:tplc="2C0A000F">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6" w15:restartNumberingAfterBreak="0">
    <w:nsid w:val="23B456AB"/>
    <w:multiLevelType w:val="multilevel"/>
    <w:tmpl w:val="366AC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4D1625"/>
    <w:multiLevelType w:val="hybridMultilevel"/>
    <w:tmpl w:val="38DEEF9C"/>
    <w:lvl w:ilvl="0" w:tplc="581E038A">
      <w:start w:val="3"/>
      <w:numFmt w:val="bullet"/>
      <w:lvlText w:val="-"/>
      <w:lvlJc w:val="left"/>
      <w:pPr>
        <w:ind w:left="1494" w:hanging="360"/>
      </w:pPr>
      <w:rPr>
        <w:rFonts w:ascii="Arial" w:eastAsia="Times New Roman" w:hAnsi="Arial" w:cs="Arial" w:hint="default"/>
      </w:rPr>
    </w:lvl>
    <w:lvl w:ilvl="1" w:tplc="040A0003" w:tentative="1">
      <w:start w:val="1"/>
      <w:numFmt w:val="bullet"/>
      <w:lvlText w:val="o"/>
      <w:lvlJc w:val="left"/>
      <w:pPr>
        <w:ind w:left="2214" w:hanging="360"/>
      </w:pPr>
      <w:rPr>
        <w:rFonts w:ascii="Courier New" w:hAnsi="Courier New" w:cs="Courier New" w:hint="default"/>
      </w:rPr>
    </w:lvl>
    <w:lvl w:ilvl="2" w:tplc="040A0005" w:tentative="1">
      <w:start w:val="1"/>
      <w:numFmt w:val="bullet"/>
      <w:lvlText w:val=""/>
      <w:lvlJc w:val="left"/>
      <w:pPr>
        <w:ind w:left="2934" w:hanging="360"/>
      </w:pPr>
      <w:rPr>
        <w:rFonts w:ascii="Wingdings" w:hAnsi="Wingdings" w:hint="default"/>
      </w:rPr>
    </w:lvl>
    <w:lvl w:ilvl="3" w:tplc="040A0001" w:tentative="1">
      <w:start w:val="1"/>
      <w:numFmt w:val="bullet"/>
      <w:lvlText w:val=""/>
      <w:lvlJc w:val="left"/>
      <w:pPr>
        <w:ind w:left="3654" w:hanging="360"/>
      </w:pPr>
      <w:rPr>
        <w:rFonts w:ascii="Symbol" w:hAnsi="Symbol" w:hint="default"/>
      </w:rPr>
    </w:lvl>
    <w:lvl w:ilvl="4" w:tplc="040A0003" w:tentative="1">
      <w:start w:val="1"/>
      <w:numFmt w:val="bullet"/>
      <w:lvlText w:val="o"/>
      <w:lvlJc w:val="left"/>
      <w:pPr>
        <w:ind w:left="4374" w:hanging="360"/>
      </w:pPr>
      <w:rPr>
        <w:rFonts w:ascii="Courier New" w:hAnsi="Courier New" w:cs="Courier New" w:hint="default"/>
      </w:rPr>
    </w:lvl>
    <w:lvl w:ilvl="5" w:tplc="040A0005" w:tentative="1">
      <w:start w:val="1"/>
      <w:numFmt w:val="bullet"/>
      <w:lvlText w:val=""/>
      <w:lvlJc w:val="left"/>
      <w:pPr>
        <w:ind w:left="5094" w:hanging="360"/>
      </w:pPr>
      <w:rPr>
        <w:rFonts w:ascii="Wingdings" w:hAnsi="Wingdings" w:hint="default"/>
      </w:rPr>
    </w:lvl>
    <w:lvl w:ilvl="6" w:tplc="040A0001" w:tentative="1">
      <w:start w:val="1"/>
      <w:numFmt w:val="bullet"/>
      <w:lvlText w:val=""/>
      <w:lvlJc w:val="left"/>
      <w:pPr>
        <w:ind w:left="5814" w:hanging="360"/>
      </w:pPr>
      <w:rPr>
        <w:rFonts w:ascii="Symbol" w:hAnsi="Symbol" w:hint="default"/>
      </w:rPr>
    </w:lvl>
    <w:lvl w:ilvl="7" w:tplc="040A0003" w:tentative="1">
      <w:start w:val="1"/>
      <w:numFmt w:val="bullet"/>
      <w:lvlText w:val="o"/>
      <w:lvlJc w:val="left"/>
      <w:pPr>
        <w:ind w:left="6534" w:hanging="360"/>
      </w:pPr>
      <w:rPr>
        <w:rFonts w:ascii="Courier New" w:hAnsi="Courier New" w:cs="Courier New" w:hint="default"/>
      </w:rPr>
    </w:lvl>
    <w:lvl w:ilvl="8" w:tplc="040A0005" w:tentative="1">
      <w:start w:val="1"/>
      <w:numFmt w:val="bullet"/>
      <w:lvlText w:val=""/>
      <w:lvlJc w:val="left"/>
      <w:pPr>
        <w:ind w:left="7254" w:hanging="360"/>
      </w:pPr>
      <w:rPr>
        <w:rFonts w:ascii="Wingdings" w:hAnsi="Wingdings" w:hint="default"/>
      </w:rPr>
    </w:lvl>
  </w:abstractNum>
  <w:abstractNum w:abstractNumId="8" w15:restartNumberingAfterBreak="0">
    <w:nsid w:val="3D6F7964"/>
    <w:multiLevelType w:val="multilevel"/>
    <w:tmpl w:val="9872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067B9B"/>
    <w:multiLevelType w:val="hybridMultilevel"/>
    <w:tmpl w:val="73FAB0FE"/>
    <w:lvl w:ilvl="0" w:tplc="53820036">
      <w:start w:val="265"/>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0AD4C4A"/>
    <w:multiLevelType w:val="hybridMultilevel"/>
    <w:tmpl w:val="FF3ADCE8"/>
    <w:lvl w:ilvl="0" w:tplc="815E5F40">
      <w:start w:val="6"/>
      <w:numFmt w:val="bullet"/>
      <w:lvlText w:val="-"/>
      <w:lvlJc w:val="left"/>
      <w:pPr>
        <w:ind w:left="1854" w:hanging="360"/>
      </w:pPr>
      <w:rPr>
        <w:rFonts w:ascii="Calibri" w:eastAsiaTheme="minorHAnsi" w:hAnsi="Calibri" w:cs="Calibri" w:hint="default"/>
      </w:rPr>
    </w:lvl>
    <w:lvl w:ilvl="1" w:tplc="040A0003" w:tentative="1">
      <w:start w:val="1"/>
      <w:numFmt w:val="bullet"/>
      <w:lvlText w:val="o"/>
      <w:lvlJc w:val="left"/>
      <w:pPr>
        <w:ind w:left="2574" w:hanging="360"/>
      </w:pPr>
      <w:rPr>
        <w:rFonts w:ascii="Courier New" w:hAnsi="Courier New" w:cs="Courier New" w:hint="default"/>
      </w:rPr>
    </w:lvl>
    <w:lvl w:ilvl="2" w:tplc="040A0005" w:tentative="1">
      <w:start w:val="1"/>
      <w:numFmt w:val="bullet"/>
      <w:lvlText w:val=""/>
      <w:lvlJc w:val="left"/>
      <w:pPr>
        <w:ind w:left="3294" w:hanging="360"/>
      </w:pPr>
      <w:rPr>
        <w:rFonts w:ascii="Wingdings" w:hAnsi="Wingdings" w:hint="default"/>
      </w:rPr>
    </w:lvl>
    <w:lvl w:ilvl="3" w:tplc="040A0001" w:tentative="1">
      <w:start w:val="1"/>
      <w:numFmt w:val="bullet"/>
      <w:lvlText w:val=""/>
      <w:lvlJc w:val="left"/>
      <w:pPr>
        <w:ind w:left="4014" w:hanging="360"/>
      </w:pPr>
      <w:rPr>
        <w:rFonts w:ascii="Symbol" w:hAnsi="Symbol" w:hint="default"/>
      </w:rPr>
    </w:lvl>
    <w:lvl w:ilvl="4" w:tplc="040A0003" w:tentative="1">
      <w:start w:val="1"/>
      <w:numFmt w:val="bullet"/>
      <w:lvlText w:val="o"/>
      <w:lvlJc w:val="left"/>
      <w:pPr>
        <w:ind w:left="4734" w:hanging="360"/>
      </w:pPr>
      <w:rPr>
        <w:rFonts w:ascii="Courier New" w:hAnsi="Courier New" w:cs="Courier New" w:hint="default"/>
      </w:rPr>
    </w:lvl>
    <w:lvl w:ilvl="5" w:tplc="040A0005" w:tentative="1">
      <w:start w:val="1"/>
      <w:numFmt w:val="bullet"/>
      <w:lvlText w:val=""/>
      <w:lvlJc w:val="left"/>
      <w:pPr>
        <w:ind w:left="5454" w:hanging="360"/>
      </w:pPr>
      <w:rPr>
        <w:rFonts w:ascii="Wingdings" w:hAnsi="Wingdings" w:hint="default"/>
      </w:rPr>
    </w:lvl>
    <w:lvl w:ilvl="6" w:tplc="040A0001" w:tentative="1">
      <w:start w:val="1"/>
      <w:numFmt w:val="bullet"/>
      <w:lvlText w:val=""/>
      <w:lvlJc w:val="left"/>
      <w:pPr>
        <w:ind w:left="6174" w:hanging="360"/>
      </w:pPr>
      <w:rPr>
        <w:rFonts w:ascii="Symbol" w:hAnsi="Symbol" w:hint="default"/>
      </w:rPr>
    </w:lvl>
    <w:lvl w:ilvl="7" w:tplc="040A0003" w:tentative="1">
      <w:start w:val="1"/>
      <w:numFmt w:val="bullet"/>
      <w:lvlText w:val="o"/>
      <w:lvlJc w:val="left"/>
      <w:pPr>
        <w:ind w:left="6894" w:hanging="360"/>
      </w:pPr>
      <w:rPr>
        <w:rFonts w:ascii="Courier New" w:hAnsi="Courier New" w:cs="Courier New" w:hint="default"/>
      </w:rPr>
    </w:lvl>
    <w:lvl w:ilvl="8" w:tplc="040A0005" w:tentative="1">
      <w:start w:val="1"/>
      <w:numFmt w:val="bullet"/>
      <w:lvlText w:val=""/>
      <w:lvlJc w:val="left"/>
      <w:pPr>
        <w:ind w:left="7614" w:hanging="360"/>
      </w:pPr>
      <w:rPr>
        <w:rFonts w:ascii="Wingdings" w:hAnsi="Wingdings" w:hint="default"/>
      </w:rPr>
    </w:lvl>
  </w:abstractNum>
  <w:abstractNum w:abstractNumId="11" w15:restartNumberingAfterBreak="0">
    <w:nsid w:val="52DE6112"/>
    <w:multiLevelType w:val="hybridMultilevel"/>
    <w:tmpl w:val="2DB6E3F0"/>
    <w:lvl w:ilvl="0" w:tplc="2A426CBE">
      <w:start w:val="1"/>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3D37D6D"/>
    <w:multiLevelType w:val="multilevel"/>
    <w:tmpl w:val="E72AFCEA"/>
    <w:lvl w:ilvl="0">
      <w:start w:val="6"/>
      <w:numFmt w:val="bullet"/>
      <w:lvlText w:val="-"/>
      <w:lvlJc w:val="left"/>
      <w:pPr>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2B0BAE"/>
    <w:multiLevelType w:val="hybridMultilevel"/>
    <w:tmpl w:val="417C888A"/>
    <w:lvl w:ilvl="0" w:tplc="E214C034">
      <w:numFmt w:val="bullet"/>
      <w:lvlText w:val="-"/>
      <w:lvlJc w:val="left"/>
      <w:pPr>
        <w:ind w:left="1494" w:hanging="360"/>
      </w:pPr>
      <w:rPr>
        <w:rFonts w:ascii="Arial" w:eastAsiaTheme="minorHAnsi" w:hAnsi="Arial" w:cs="Arial"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14" w15:restartNumberingAfterBreak="0">
    <w:nsid w:val="5F3D7EAE"/>
    <w:multiLevelType w:val="multilevel"/>
    <w:tmpl w:val="6F9AE3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6106AA"/>
    <w:multiLevelType w:val="hybridMultilevel"/>
    <w:tmpl w:val="CE8C8F14"/>
    <w:lvl w:ilvl="0" w:tplc="040A000F">
      <w:start w:val="4"/>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9052296"/>
    <w:multiLevelType w:val="hybridMultilevel"/>
    <w:tmpl w:val="0D6E81FE"/>
    <w:lvl w:ilvl="0" w:tplc="815E5F40">
      <w:start w:val="6"/>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A1B697F"/>
    <w:multiLevelType w:val="hybridMultilevel"/>
    <w:tmpl w:val="432430F2"/>
    <w:lvl w:ilvl="0" w:tplc="815E5F40">
      <w:start w:val="6"/>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2C13599"/>
    <w:multiLevelType w:val="multilevel"/>
    <w:tmpl w:val="ACD60F60"/>
    <w:lvl w:ilvl="0">
      <w:start w:val="1"/>
      <w:numFmt w:val="decimal"/>
      <w:lvlText w:val="%1."/>
      <w:lvlJc w:val="left"/>
      <w:pPr>
        <w:ind w:left="720" w:hanging="360"/>
      </w:pPr>
      <w:rPr>
        <w:rFonts w:hint="default"/>
        <w:b/>
        <w:bCs/>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5296C13"/>
    <w:multiLevelType w:val="hybridMultilevel"/>
    <w:tmpl w:val="F4A03C74"/>
    <w:lvl w:ilvl="0" w:tplc="D6BEBFC8">
      <w:start w:val="1"/>
      <w:numFmt w:val="lowerRoman"/>
      <w:lvlText w:val="%1)"/>
      <w:lvlJc w:val="left"/>
      <w:pPr>
        <w:ind w:left="1854" w:hanging="720"/>
      </w:pPr>
      <w:rPr>
        <w:rFonts w:hint="default"/>
      </w:rPr>
    </w:lvl>
    <w:lvl w:ilvl="1" w:tplc="040A0019" w:tentative="1">
      <w:start w:val="1"/>
      <w:numFmt w:val="lowerLetter"/>
      <w:lvlText w:val="%2."/>
      <w:lvlJc w:val="left"/>
      <w:pPr>
        <w:ind w:left="2214" w:hanging="360"/>
      </w:pPr>
    </w:lvl>
    <w:lvl w:ilvl="2" w:tplc="040A001B" w:tentative="1">
      <w:start w:val="1"/>
      <w:numFmt w:val="lowerRoman"/>
      <w:lvlText w:val="%3."/>
      <w:lvlJc w:val="right"/>
      <w:pPr>
        <w:ind w:left="2934" w:hanging="180"/>
      </w:pPr>
    </w:lvl>
    <w:lvl w:ilvl="3" w:tplc="040A000F" w:tentative="1">
      <w:start w:val="1"/>
      <w:numFmt w:val="decimal"/>
      <w:lvlText w:val="%4."/>
      <w:lvlJc w:val="left"/>
      <w:pPr>
        <w:ind w:left="3654" w:hanging="360"/>
      </w:pPr>
    </w:lvl>
    <w:lvl w:ilvl="4" w:tplc="040A0019" w:tentative="1">
      <w:start w:val="1"/>
      <w:numFmt w:val="lowerLetter"/>
      <w:lvlText w:val="%5."/>
      <w:lvlJc w:val="left"/>
      <w:pPr>
        <w:ind w:left="4374" w:hanging="360"/>
      </w:pPr>
    </w:lvl>
    <w:lvl w:ilvl="5" w:tplc="040A001B" w:tentative="1">
      <w:start w:val="1"/>
      <w:numFmt w:val="lowerRoman"/>
      <w:lvlText w:val="%6."/>
      <w:lvlJc w:val="right"/>
      <w:pPr>
        <w:ind w:left="5094" w:hanging="180"/>
      </w:pPr>
    </w:lvl>
    <w:lvl w:ilvl="6" w:tplc="040A000F" w:tentative="1">
      <w:start w:val="1"/>
      <w:numFmt w:val="decimal"/>
      <w:lvlText w:val="%7."/>
      <w:lvlJc w:val="left"/>
      <w:pPr>
        <w:ind w:left="5814" w:hanging="360"/>
      </w:pPr>
    </w:lvl>
    <w:lvl w:ilvl="7" w:tplc="040A0019" w:tentative="1">
      <w:start w:val="1"/>
      <w:numFmt w:val="lowerLetter"/>
      <w:lvlText w:val="%8."/>
      <w:lvlJc w:val="left"/>
      <w:pPr>
        <w:ind w:left="6534" w:hanging="360"/>
      </w:pPr>
    </w:lvl>
    <w:lvl w:ilvl="8" w:tplc="040A001B" w:tentative="1">
      <w:start w:val="1"/>
      <w:numFmt w:val="lowerRoman"/>
      <w:lvlText w:val="%9."/>
      <w:lvlJc w:val="right"/>
      <w:pPr>
        <w:ind w:left="7254" w:hanging="180"/>
      </w:pPr>
    </w:lvl>
  </w:abstractNum>
  <w:abstractNum w:abstractNumId="20" w15:restartNumberingAfterBreak="0">
    <w:nsid w:val="789F49CC"/>
    <w:multiLevelType w:val="hybridMultilevel"/>
    <w:tmpl w:val="B094A200"/>
    <w:lvl w:ilvl="0" w:tplc="422267AC">
      <w:start w:val="5"/>
      <w:numFmt w:val="bullet"/>
      <w:lvlText w:val="-"/>
      <w:lvlJc w:val="left"/>
      <w:pPr>
        <w:ind w:left="1494" w:hanging="360"/>
      </w:pPr>
      <w:rPr>
        <w:rFonts w:ascii="Arial" w:eastAsia="Times New Roman" w:hAnsi="Arial" w:cs="Arial"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num w:numId="1" w16cid:durableId="2137522406">
    <w:abstractNumId w:val="5"/>
  </w:num>
  <w:num w:numId="2" w16cid:durableId="260916278">
    <w:abstractNumId w:val="4"/>
  </w:num>
  <w:num w:numId="3" w16cid:durableId="1535267721">
    <w:abstractNumId w:val="3"/>
  </w:num>
  <w:num w:numId="4" w16cid:durableId="1077626947">
    <w:abstractNumId w:val="15"/>
  </w:num>
  <w:num w:numId="5" w16cid:durableId="1357543716">
    <w:abstractNumId w:val="0"/>
  </w:num>
  <w:num w:numId="6" w16cid:durableId="953246110">
    <w:abstractNumId w:val="7"/>
  </w:num>
  <w:num w:numId="7" w16cid:durableId="1366829132">
    <w:abstractNumId w:val="9"/>
  </w:num>
  <w:num w:numId="8" w16cid:durableId="664943613">
    <w:abstractNumId w:val="8"/>
  </w:num>
  <w:num w:numId="9" w16cid:durableId="1456607529">
    <w:abstractNumId w:val="2"/>
  </w:num>
  <w:num w:numId="10" w16cid:durableId="1369986786">
    <w:abstractNumId w:val="13"/>
  </w:num>
  <w:num w:numId="11" w16cid:durableId="985890519">
    <w:abstractNumId w:val="18"/>
  </w:num>
  <w:num w:numId="12" w16cid:durableId="1264344634">
    <w:abstractNumId w:val="11"/>
  </w:num>
  <w:num w:numId="13" w16cid:durableId="1028607196">
    <w:abstractNumId w:val="19"/>
  </w:num>
  <w:num w:numId="14" w16cid:durableId="1401561925">
    <w:abstractNumId w:val="6"/>
  </w:num>
  <w:num w:numId="15" w16cid:durableId="99765876">
    <w:abstractNumId w:val="14"/>
  </w:num>
  <w:num w:numId="16" w16cid:durableId="1651446388">
    <w:abstractNumId w:val="1"/>
  </w:num>
  <w:num w:numId="17" w16cid:durableId="240330233">
    <w:abstractNumId w:val="12"/>
  </w:num>
  <w:num w:numId="18" w16cid:durableId="2071534459">
    <w:abstractNumId w:val="17"/>
  </w:num>
  <w:num w:numId="19" w16cid:durableId="255870358">
    <w:abstractNumId w:val="10"/>
  </w:num>
  <w:num w:numId="20" w16cid:durableId="455487640">
    <w:abstractNumId w:val="16"/>
  </w:num>
  <w:num w:numId="21" w16cid:durableId="19452612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E4"/>
    <w:rsid w:val="00007E16"/>
    <w:rsid w:val="000111A8"/>
    <w:rsid w:val="00011801"/>
    <w:rsid w:val="00017407"/>
    <w:rsid w:val="00020767"/>
    <w:rsid w:val="0002451A"/>
    <w:rsid w:val="00032159"/>
    <w:rsid w:val="000332E8"/>
    <w:rsid w:val="00036971"/>
    <w:rsid w:val="00043079"/>
    <w:rsid w:val="000551C9"/>
    <w:rsid w:val="00060049"/>
    <w:rsid w:val="00061F27"/>
    <w:rsid w:val="000648CF"/>
    <w:rsid w:val="00066320"/>
    <w:rsid w:val="000676FC"/>
    <w:rsid w:val="0007135B"/>
    <w:rsid w:val="000713C9"/>
    <w:rsid w:val="00075841"/>
    <w:rsid w:val="000763ED"/>
    <w:rsid w:val="00080EE5"/>
    <w:rsid w:val="00083E6D"/>
    <w:rsid w:val="0008658D"/>
    <w:rsid w:val="00087A71"/>
    <w:rsid w:val="00095680"/>
    <w:rsid w:val="00097A50"/>
    <w:rsid w:val="000C5AFE"/>
    <w:rsid w:val="000C7D39"/>
    <w:rsid w:val="000D3DB1"/>
    <w:rsid w:val="000E4F71"/>
    <w:rsid w:val="000F3BDF"/>
    <w:rsid w:val="000F4F0A"/>
    <w:rsid w:val="000F64E5"/>
    <w:rsid w:val="000F65E3"/>
    <w:rsid w:val="00100710"/>
    <w:rsid w:val="0011009A"/>
    <w:rsid w:val="00112633"/>
    <w:rsid w:val="0011615E"/>
    <w:rsid w:val="00121EC9"/>
    <w:rsid w:val="001239D5"/>
    <w:rsid w:val="00134CA7"/>
    <w:rsid w:val="001439C2"/>
    <w:rsid w:val="00147925"/>
    <w:rsid w:val="00151984"/>
    <w:rsid w:val="00153D47"/>
    <w:rsid w:val="00160DE4"/>
    <w:rsid w:val="00164A41"/>
    <w:rsid w:val="00164A9B"/>
    <w:rsid w:val="00172966"/>
    <w:rsid w:val="00177AD4"/>
    <w:rsid w:val="00180C47"/>
    <w:rsid w:val="00181874"/>
    <w:rsid w:val="0018254F"/>
    <w:rsid w:val="0018720C"/>
    <w:rsid w:val="001B03DE"/>
    <w:rsid w:val="001B2182"/>
    <w:rsid w:val="001C0960"/>
    <w:rsid w:val="001C1C55"/>
    <w:rsid w:val="001C3B3D"/>
    <w:rsid w:val="001C600F"/>
    <w:rsid w:val="001D4BA5"/>
    <w:rsid w:val="001D5843"/>
    <w:rsid w:val="001E1716"/>
    <w:rsid w:val="001E1EA1"/>
    <w:rsid w:val="001E48A7"/>
    <w:rsid w:val="00202BA7"/>
    <w:rsid w:val="00203C13"/>
    <w:rsid w:val="0020434E"/>
    <w:rsid w:val="00206FD2"/>
    <w:rsid w:val="00210704"/>
    <w:rsid w:val="002117D8"/>
    <w:rsid w:val="0021367A"/>
    <w:rsid w:val="002207BC"/>
    <w:rsid w:val="00222674"/>
    <w:rsid w:val="002303A2"/>
    <w:rsid w:val="002431B5"/>
    <w:rsid w:val="00246174"/>
    <w:rsid w:val="00251BBF"/>
    <w:rsid w:val="0025521F"/>
    <w:rsid w:val="002626C8"/>
    <w:rsid w:val="0026270D"/>
    <w:rsid w:val="00271C80"/>
    <w:rsid w:val="00276E76"/>
    <w:rsid w:val="00280DE9"/>
    <w:rsid w:val="00283A60"/>
    <w:rsid w:val="00286EC9"/>
    <w:rsid w:val="00293083"/>
    <w:rsid w:val="002967F9"/>
    <w:rsid w:val="00296FD5"/>
    <w:rsid w:val="002A10EF"/>
    <w:rsid w:val="002A4086"/>
    <w:rsid w:val="002B0857"/>
    <w:rsid w:val="002B1476"/>
    <w:rsid w:val="002B549B"/>
    <w:rsid w:val="002B74B3"/>
    <w:rsid w:val="002C5C52"/>
    <w:rsid w:val="002D1A42"/>
    <w:rsid w:val="002D37C3"/>
    <w:rsid w:val="002D5B0D"/>
    <w:rsid w:val="002E1F9F"/>
    <w:rsid w:val="002E7574"/>
    <w:rsid w:val="002F02C3"/>
    <w:rsid w:val="002F0FB0"/>
    <w:rsid w:val="0031145E"/>
    <w:rsid w:val="0031305C"/>
    <w:rsid w:val="00315ABD"/>
    <w:rsid w:val="00315DAF"/>
    <w:rsid w:val="003161B1"/>
    <w:rsid w:val="00323182"/>
    <w:rsid w:val="0032704B"/>
    <w:rsid w:val="00341FD7"/>
    <w:rsid w:val="00344706"/>
    <w:rsid w:val="00351B44"/>
    <w:rsid w:val="00352786"/>
    <w:rsid w:val="00354D04"/>
    <w:rsid w:val="0035510B"/>
    <w:rsid w:val="00356A8D"/>
    <w:rsid w:val="003575C0"/>
    <w:rsid w:val="003661A4"/>
    <w:rsid w:val="00366512"/>
    <w:rsid w:val="00371C70"/>
    <w:rsid w:val="0037455D"/>
    <w:rsid w:val="00374807"/>
    <w:rsid w:val="00375C8E"/>
    <w:rsid w:val="003761FA"/>
    <w:rsid w:val="00381529"/>
    <w:rsid w:val="00383E4F"/>
    <w:rsid w:val="00390B30"/>
    <w:rsid w:val="0039684F"/>
    <w:rsid w:val="003971B1"/>
    <w:rsid w:val="003977BA"/>
    <w:rsid w:val="003A1F07"/>
    <w:rsid w:val="003A2D4A"/>
    <w:rsid w:val="003B036E"/>
    <w:rsid w:val="003B12FB"/>
    <w:rsid w:val="003B26F8"/>
    <w:rsid w:val="003B2AE6"/>
    <w:rsid w:val="003C0794"/>
    <w:rsid w:val="003C41DF"/>
    <w:rsid w:val="003C63FE"/>
    <w:rsid w:val="003C6911"/>
    <w:rsid w:val="003C794D"/>
    <w:rsid w:val="003D15DA"/>
    <w:rsid w:val="003D30AC"/>
    <w:rsid w:val="003E0784"/>
    <w:rsid w:val="003E58DB"/>
    <w:rsid w:val="0040172B"/>
    <w:rsid w:val="00412913"/>
    <w:rsid w:val="00412A3B"/>
    <w:rsid w:val="004136E8"/>
    <w:rsid w:val="00414511"/>
    <w:rsid w:val="004146E8"/>
    <w:rsid w:val="0043170F"/>
    <w:rsid w:val="0044321F"/>
    <w:rsid w:val="00444489"/>
    <w:rsid w:val="00445436"/>
    <w:rsid w:val="00447225"/>
    <w:rsid w:val="004506A3"/>
    <w:rsid w:val="00452D58"/>
    <w:rsid w:val="00457976"/>
    <w:rsid w:val="00464C4C"/>
    <w:rsid w:val="00465447"/>
    <w:rsid w:val="00467642"/>
    <w:rsid w:val="004676EB"/>
    <w:rsid w:val="00471EE2"/>
    <w:rsid w:val="004729C8"/>
    <w:rsid w:val="004777CD"/>
    <w:rsid w:val="00480AD1"/>
    <w:rsid w:val="00481976"/>
    <w:rsid w:val="00486521"/>
    <w:rsid w:val="004A1875"/>
    <w:rsid w:val="004B09BD"/>
    <w:rsid w:val="004B521B"/>
    <w:rsid w:val="004B7399"/>
    <w:rsid w:val="004B7486"/>
    <w:rsid w:val="004C4C46"/>
    <w:rsid w:val="004D5FE5"/>
    <w:rsid w:val="004E53C0"/>
    <w:rsid w:val="004F05FF"/>
    <w:rsid w:val="004F2757"/>
    <w:rsid w:val="004F31F0"/>
    <w:rsid w:val="004F7781"/>
    <w:rsid w:val="005007B0"/>
    <w:rsid w:val="00501B79"/>
    <w:rsid w:val="00513F32"/>
    <w:rsid w:val="00514359"/>
    <w:rsid w:val="00525918"/>
    <w:rsid w:val="00527340"/>
    <w:rsid w:val="00533BD1"/>
    <w:rsid w:val="0053440A"/>
    <w:rsid w:val="00547CA8"/>
    <w:rsid w:val="00547E2A"/>
    <w:rsid w:val="00563BD5"/>
    <w:rsid w:val="00572094"/>
    <w:rsid w:val="0057333B"/>
    <w:rsid w:val="005736D9"/>
    <w:rsid w:val="00583A6C"/>
    <w:rsid w:val="00586096"/>
    <w:rsid w:val="00586EA7"/>
    <w:rsid w:val="005912EA"/>
    <w:rsid w:val="00595EA8"/>
    <w:rsid w:val="005963D6"/>
    <w:rsid w:val="005A400A"/>
    <w:rsid w:val="005B0C16"/>
    <w:rsid w:val="005D2F0D"/>
    <w:rsid w:val="005D477F"/>
    <w:rsid w:val="005D695D"/>
    <w:rsid w:val="005E0F50"/>
    <w:rsid w:val="005E4B01"/>
    <w:rsid w:val="00602067"/>
    <w:rsid w:val="00612C67"/>
    <w:rsid w:val="00616445"/>
    <w:rsid w:val="00621448"/>
    <w:rsid w:val="00621863"/>
    <w:rsid w:val="006220F2"/>
    <w:rsid w:val="006223D3"/>
    <w:rsid w:val="0062354F"/>
    <w:rsid w:val="00625634"/>
    <w:rsid w:val="00626013"/>
    <w:rsid w:val="006279DD"/>
    <w:rsid w:val="00627AD8"/>
    <w:rsid w:val="00627D01"/>
    <w:rsid w:val="00630596"/>
    <w:rsid w:val="00632291"/>
    <w:rsid w:val="00635F10"/>
    <w:rsid w:val="0064477E"/>
    <w:rsid w:val="0065197E"/>
    <w:rsid w:val="00657228"/>
    <w:rsid w:val="00662828"/>
    <w:rsid w:val="00662EE9"/>
    <w:rsid w:val="0068559F"/>
    <w:rsid w:val="006951E1"/>
    <w:rsid w:val="00696D34"/>
    <w:rsid w:val="006A5B47"/>
    <w:rsid w:val="006A5EA6"/>
    <w:rsid w:val="006B1D88"/>
    <w:rsid w:val="006B37FA"/>
    <w:rsid w:val="006B5559"/>
    <w:rsid w:val="006B6706"/>
    <w:rsid w:val="006C4609"/>
    <w:rsid w:val="006C4764"/>
    <w:rsid w:val="006C6B97"/>
    <w:rsid w:val="006D0E15"/>
    <w:rsid w:val="006E20FB"/>
    <w:rsid w:val="006E4A2B"/>
    <w:rsid w:val="006F4BE5"/>
    <w:rsid w:val="006F4C47"/>
    <w:rsid w:val="006F6D84"/>
    <w:rsid w:val="007038D1"/>
    <w:rsid w:val="00706259"/>
    <w:rsid w:val="007137CD"/>
    <w:rsid w:val="007148F5"/>
    <w:rsid w:val="00716AA8"/>
    <w:rsid w:val="00724D7E"/>
    <w:rsid w:val="007263E4"/>
    <w:rsid w:val="00727213"/>
    <w:rsid w:val="00731EF8"/>
    <w:rsid w:val="0073225D"/>
    <w:rsid w:val="00735BDB"/>
    <w:rsid w:val="007361BF"/>
    <w:rsid w:val="007365AD"/>
    <w:rsid w:val="00737092"/>
    <w:rsid w:val="0075182E"/>
    <w:rsid w:val="00752FFE"/>
    <w:rsid w:val="00761941"/>
    <w:rsid w:val="007724B5"/>
    <w:rsid w:val="00772D09"/>
    <w:rsid w:val="007740DC"/>
    <w:rsid w:val="00786340"/>
    <w:rsid w:val="007952F3"/>
    <w:rsid w:val="007A539B"/>
    <w:rsid w:val="007B490E"/>
    <w:rsid w:val="007B69D8"/>
    <w:rsid w:val="007C4334"/>
    <w:rsid w:val="007C4D73"/>
    <w:rsid w:val="007C5A4A"/>
    <w:rsid w:val="007C5B04"/>
    <w:rsid w:val="007E2C6C"/>
    <w:rsid w:val="007E3FA0"/>
    <w:rsid w:val="007E4681"/>
    <w:rsid w:val="007E6051"/>
    <w:rsid w:val="007F649B"/>
    <w:rsid w:val="0080239F"/>
    <w:rsid w:val="0082018E"/>
    <w:rsid w:val="008237A1"/>
    <w:rsid w:val="00824C0E"/>
    <w:rsid w:val="008265AB"/>
    <w:rsid w:val="00830EFD"/>
    <w:rsid w:val="0083250B"/>
    <w:rsid w:val="00833C6B"/>
    <w:rsid w:val="00841F43"/>
    <w:rsid w:val="008424C6"/>
    <w:rsid w:val="0084487E"/>
    <w:rsid w:val="00847296"/>
    <w:rsid w:val="00850236"/>
    <w:rsid w:val="0085685C"/>
    <w:rsid w:val="00862CA9"/>
    <w:rsid w:val="008637D8"/>
    <w:rsid w:val="0087065D"/>
    <w:rsid w:val="0087137F"/>
    <w:rsid w:val="00882EA2"/>
    <w:rsid w:val="00887B9B"/>
    <w:rsid w:val="0089347F"/>
    <w:rsid w:val="00896E3C"/>
    <w:rsid w:val="008A1738"/>
    <w:rsid w:val="008A4EF4"/>
    <w:rsid w:val="008B2F43"/>
    <w:rsid w:val="008B5759"/>
    <w:rsid w:val="008C34AC"/>
    <w:rsid w:val="008D1DDC"/>
    <w:rsid w:val="008E0CD0"/>
    <w:rsid w:val="008F05C4"/>
    <w:rsid w:val="008F2892"/>
    <w:rsid w:val="008F2BED"/>
    <w:rsid w:val="008F3E2E"/>
    <w:rsid w:val="008F5A1C"/>
    <w:rsid w:val="00901A04"/>
    <w:rsid w:val="00904D62"/>
    <w:rsid w:val="00914EA7"/>
    <w:rsid w:val="00915541"/>
    <w:rsid w:val="009202CC"/>
    <w:rsid w:val="0092154E"/>
    <w:rsid w:val="00925106"/>
    <w:rsid w:val="00927B0A"/>
    <w:rsid w:val="009315C0"/>
    <w:rsid w:val="009368AA"/>
    <w:rsid w:val="0094139A"/>
    <w:rsid w:val="00942C04"/>
    <w:rsid w:val="00952A69"/>
    <w:rsid w:val="00953B1B"/>
    <w:rsid w:val="00953EB6"/>
    <w:rsid w:val="00955080"/>
    <w:rsid w:val="009703B5"/>
    <w:rsid w:val="00985832"/>
    <w:rsid w:val="00994BE6"/>
    <w:rsid w:val="00995E6A"/>
    <w:rsid w:val="009A2455"/>
    <w:rsid w:val="009A408D"/>
    <w:rsid w:val="009A533F"/>
    <w:rsid w:val="009A689B"/>
    <w:rsid w:val="009B1FEE"/>
    <w:rsid w:val="009B246F"/>
    <w:rsid w:val="009B402B"/>
    <w:rsid w:val="009B444A"/>
    <w:rsid w:val="009B6379"/>
    <w:rsid w:val="009B6386"/>
    <w:rsid w:val="009D0D9C"/>
    <w:rsid w:val="009D4A4A"/>
    <w:rsid w:val="009D51E0"/>
    <w:rsid w:val="009D7429"/>
    <w:rsid w:val="009E193D"/>
    <w:rsid w:val="009E351A"/>
    <w:rsid w:val="009E361A"/>
    <w:rsid w:val="009E56B5"/>
    <w:rsid w:val="009F015F"/>
    <w:rsid w:val="009F0D99"/>
    <w:rsid w:val="00A070FA"/>
    <w:rsid w:val="00A113ED"/>
    <w:rsid w:val="00A16FA2"/>
    <w:rsid w:val="00A2151F"/>
    <w:rsid w:val="00A27B9A"/>
    <w:rsid w:val="00A358F4"/>
    <w:rsid w:val="00A4489D"/>
    <w:rsid w:val="00A55CB6"/>
    <w:rsid w:val="00A56371"/>
    <w:rsid w:val="00A56B3D"/>
    <w:rsid w:val="00A5770C"/>
    <w:rsid w:val="00A745A2"/>
    <w:rsid w:val="00A85D71"/>
    <w:rsid w:val="00A85DAE"/>
    <w:rsid w:val="00A915A3"/>
    <w:rsid w:val="00A94071"/>
    <w:rsid w:val="00AA191B"/>
    <w:rsid w:val="00AA6A54"/>
    <w:rsid w:val="00AA6F66"/>
    <w:rsid w:val="00AB2FF4"/>
    <w:rsid w:val="00AB6F47"/>
    <w:rsid w:val="00AB7B08"/>
    <w:rsid w:val="00AC2D85"/>
    <w:rsid w:val="00AC302F"/>
    <w:rsid w:val="00AC4835"/>
    <w:rsid w:val="00AC4F0D"/>
    <w:rsid w:val="00AD0812"/>
    <w:rsid w:val="00AD3BB3"/>
    <w:rsid w:val="00AD78BF"/>
    <w:rsid w:val="00AE2EA6"/>
    <w:rsid w:val="00AE4C40"/>
    <w:rsid w:val="00AE79C3"/>
    <w:rsid w:val="00B036D4"/>
    <w:rsid w:val="00B05F80"/>
    <w:rsid w:val="00B12603"/>
    <w:rsid w:val="00B13B38"/>
    <w:rsid w:val="00B15791"/>
    <w:rsid w:val="00B15E16"/>
    <w:rsid w:val="00B21EF2"/>
    <w:rsid w:val="00B22AD4"/>
    <w:rsid w:val="00B3531C"/>
    <w:rsid w:val="00B35439"/>
    <w:rsid w:val="00B50E38"/>
    <w:rsid w:val="00B52005"/>
    <w:rsid w:val="00B5415E"/>
    <w:rsid w:val="00B5661D"/>
    <w:rsid w:val="00B605C3"/>
    <w:rsid w:val="00B619E8"/>
    <w:rsid w:val="00B61DE1"/>
    <w:rsid w:val="00B625A0"/>
    <w:rsid w:val="00B62FE8"/>
    <w:rsid w:val="00B64998"/>
    <w:rsid w:val="00B7428D"/>
    <w:rsid w:val="00B84E55"/>
    <w:rsid w:val="00B86990"/>
    <w:rsid w:val="00B9058C"/>
    <w:rsid w:val="00B91968"/>
    <w:rsid w:val="00B95682"/>
    <w:rsid w:val="00BA1739"/>
    <w:rsid w:val="00BB00A5"/>
    <w:rsid w:val="00BB326C"/>
    <w:rsid w:val="00BB3E33"/>
    <w:rsid w:val="00BB7762"/>
    <w:rsid w:val="00BC36E4"/>
    <w:rsid w:val="00BD043B"/>
    <w:rsid w:val="00BD0FC4"/>
    <w:rsid w:val="00BD4256"/>
    <w:rsid w:val="00BE0845"/>
    <w:rsid w:val="00BF06A0"/>
    <w:rsid w:val="00BF2973"/>
    <w:rsid w:val="00BF6611"/>
    <w:rsid w:val="00BF6C1B"/>
    <w:rsid w:val="00C00EE3"/>
    <w:rsid w:val="00C013DE"/>
    <w:rsid w:val="00C06FA4"/>
    <w:rsid w:val="00C142A5"/>
    <w:rsid w:val="00C1486B"/>
    <w:rsid w:val="00C22473"/>
    <w:rsid w:val="00C30430"/>
    <w:rsid w:val="00C35BBE"/>
    <w:rsid w:val="00C3783B"/>
    <w:rsid w:val="00C430D5"/>
    <w:rsid w:val="00C538C2"/>
    <w:rsid w:val="00C55A63"/>
    <w:rsid w:val="00C60535"/>
    <w:rsid w:val="00C615FA"/>
    <w:rsid w:val="00C62BA1"/>
    <w:rsid w:val="00C654AC"/>
    <w:rsid w:val="00C67706"/>
    <w:rsid w:val="00C73669"/>
    <w:rsid w:val="00C7392B"/>
    <w:rsid w:val="00C73D3A"/>
    <w:rsid w:val="00C82962"/>
    <w:rsid w:val="00C92222"/>
    <w:rsid w:val="00C963F8"/>
    <w:rsid w:val="00CA3AFE"/>
    <w:rsid w:val="00CB584E"/>
    <w:rsid w:val="00CB5B4D"/>
    <w:rsid w:val="00CC0537"/>
    <w:rsid w:val="00CC19D4"/>
    <w:rsid w:val="00CC284A"/>
    <w:rsid w:val="00CC5A57"/>
    <w:rsid w:val="00CC6504"/>
    <w:rsid w:val="00CC67C7"/>
    <w:rsid w:val="00CD0B62"/>
    <w:rsid w:val="00CE0F87"/>
    <w:rsid w:val="00CE3F03"/>
    <w:rsid w:val="00CF1800"/>
    <w:rsid w:val="00D004A8"/>
    <w:rsid w:val="00D0156E"/>
    <w:rsid w:val="00D04609"/>
    <w:rsid w:val="00D1289D"/>
    <w:rsid w:val="00D24C51"/>
    <w:rsid w:val="00D26600"/>
    <w:rsid w:val="00D33629"/>
    <w:rsid w:val="00D33D20"/>
    <w:rsid w:val="00D348D3"/>
    <w:rsid w:val="00D426A0"/>
    <w:rsid w:val="00D43B26"/>
    <w:rsid w:val="00D44650"/>
    <w:rsid w:val="00D51532"/>
    <w:rsid w:val="00D5721B"/>
    <w:rsid w:val="00D572DE"/>
    <w:rsid w:val="00D651D9"/>
    <w:rsid w:val="00D665AA"/>
    <w:rsid w:val="00D70258"/>
    <w:rsid w:val="00D8068A"/>
    <w:rsid w:val="00D80C19"/>
    <w:rsid w:val="00D91AA5"/>
    <w:rsid w:val="00DA0ADF"/>
    <w:rsid w:val="00DA200E"/>
    <w:rsid w:val="00DB08D2"/>
    <w:rsid w:val="00DB393C"/>
    <w:rsid w:val="00DB3EF6"/>
    <w:rsid w:val="00DC048E"/>
    <w:rsid w:val="00DC2922"/>
    <w:rsid w:val="00DC5A4D"/>
    <w:rsid w:val="00DD3C8D"/>
    <w:rsid w:val="00DD5BE1"/>
    <w:rsid w:val="00DD7ED3"/>
    <w:rsid w:val="00DF1711"/>
    <w:rsid w:val="00DF1980"/>
    <w:rsid w:val="00DF260D"/>
    <w:rsid w:val="00DF2D15"/>
    <w:rsid w:val="00DF4E97"/>
    <w:rsid w:val="00E11676"/>
    <w:rsid w:val="00E13426"/>
    <w:rsid w:val="00E1466E"/>
    <w:rsid w:val="00E14B83"/>
    <w:rsid w:val="00E172B9"/>
    <w:rsid w:val="00E20A48"/>
    <w:rsid w:val="00E21149"/>
    <w:rsid w:val="00E320B3"/>
    <w:rsid w:val="00E340DD"/>
    <w:rsid w:val="00E34E8C"/>
    <w:rsid w:val="00E36D5C"/>
    <w:rsid w:val="00E40930"/>
    <w:rsid w:val="00E41DB0"/>
    <w:rsid w:val="00E42C8A"/>
    <w:rsid w:val="00E44AD8"/>
    <w:rsid w:val="00E44D91"/>
    <w:rsid w:val="00E45B76"/>
    <w:rsid w:val="00E62672"/>
    <w:rsid w:val="00E66415"/>
    <w:rsid w:val="00E666CE"/>
    <w:rsid w:val="00E70983"/>
    <w:rsid w:val="00E737F2"/>
    <w:rsid w:val="00E84BE3"/>
    <w:rsid w:val="00E93146"/>
    <w:rsid w:val="00EA1A8F"/>
    <w:rsid w:val="00EA5426"/>
    <w:rsid w:val="00EA64D8"/>
    <w:rsid w:val="00EA6A65"/>
    <w:rsid w:val="00EB0471"/>
    <w:rsid w:val="00EB5CC0"/>
    <w:rsid w:val="00EC578D"/>
    <w:rsid w:val="00ED2AC9"/>
    <w:rsid w:val="00ED48BD"/>
    <w:rsid w:val="00EE167C"/>
    <w:rsid w:val="00EE40D0"/>
    <w:rsid w:val="00EF6F79"/>
    <w:rsid w:val="00F051A8"/>
    <w:rsid w:val="00F05E15"/>
    <w:rsid w:val="00F07F27"/>
    <w:rsid w:val="00F156CF"/>
    <w:rsid w:val="00F209BB"/>
    <w:rsid w:val="00F27288"/>
    <w:rsid w:val="00F32F68"/>
    <w:rsid w:val="00F36B66"/>
    <w:rsid w:val="00F378AF"/>
    <w:rsid w:val="00F411B4"/>
    <w:rsid w:val="00F41EEB"/>
    <w:rsid w:val="00F420FE"/>
    <w:rsid w:val="00F42CBC"/>
    <w:rsid w:val="00F45FC8"/>
    <w:rsid w:val="00F46CAC"/>
    <w:rsid w:val="00F51485"/>
    <w:rsid w:val="00F52819"/>
    <w:rsid w:val="00F86A02"/>
    <w:rsid w:val="00F87C62"/>
    <w:rsid w:val="00F928A3"/>
    <w:rsid w:val="00FA13FD"/>
    <w:rsid w:val="00FA179A"/>
    <w:rsid w:val="00FA3E24"/>
    <w:rsid w:val="00FB2892"/>
    <w:rsid w:val="00FB6826"/>
    <w:rsid w:val="00FB7744"/>
    <w:rsid w:val="00FC1178"/>
    <w:rsid w:val="00FC153D"/>
    <w:rsid w:val="00FC268F"/>
    <w:rsid w:val="00FC31A4"/>
    <w:rsid w:val="00FC3FB0"/>
    <w:rsid w:val="00FC411C"/>
    <w:rsid w:val="00FD201B"/>
    <w:rsid w:val="00FD3364"/>
    <w:rsid w:val="00FD43F9"/>
    <w:rsid w:val="00FE1EC9"/>
    <w:rsid w:val="00FF4996"/>
    <w:rsid w:val="00FF52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D5B232"/>
  <w15:docId w15:val="{363D7817-E952-425B-8483-CF0C1856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6C8"/>
    <w:rPr>
      <w:rFonts w:ascii="Times New Roman" w:eastAsia="Times New Roman" w:hAnsi="Times New Roman"/>
      <w:sz w:val="24"/>
      <w:szCs w:val="24"/>
      <w:lang w:val="es-AR" w:eastAsia="es-MX"/>
    </w:rPr>
  </w:style>
  <w:style w:type="paragraph" w:styleId="Ttulo1">
    <w:name w:val="heading 1"/>
    <w:basedOn w:val="Normal"/>
    <w:next w:val="Normal"/>
    <w:link w:val="Ttulo1Car"/>
    <w:qFormat/>
    <w:locked/>
    <w:rsid w:val="003745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locked/>
    <w:rsid w:val="0075182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45FC8"/>
    <w:pPr>
      <w:tabs>
        <w:tab w:val="center" w:pos="4513"/>
        <w:tab w:val="right" w:pos="9026"/>
      </w:tabs>
    </w:pPr>
    <w:rPr>
      <w:rFonts w:ascii="Calibri" w:eastAsia="Calibri" w:hAnsi="Calibri"/>
      <w:kern w:val="2"/>
      <w:sz w:val="22"/>
      <w:szCs w:val="22"/>
      <w:lang w:eastAsia="en-US"/>
    </w:rPr>
  </w:style>
  <w:style w:type="character" w:customStyle="1" w:styleId="EncabezadoCar">
    <w:name w:val="Encabezado Car"/>
    <w:basedOn w:val="Fuentedeprrafopredeter"/>
    <w:link w:val="Encabezado"/>
    <w:uiPriority w:val="99"/>
    <w:locked/>
    <w:rsid w:val="00F45FC8"/>
    <w:rPr>
      <w:rFonts w:cs="Times New Roman"/>
    </w:rPr>
  </w:style>
  <w:style w:type="paragraph" w:styleId="Piedepgina">
    <w:name w:val="footer"/>
    <w:basedOn w:val="Normal"/>
    <w:link w:val="PiedepginaCar"/>
    <w:uiPriority w:val="99"/>
    <w:rsid w:val="00F45FC8"/>
    <w:pPr>
      <w:tabs>
        <w:tab w:val="center" w:pos="4513"/>
        <w:tab w:val="right" w:pos="9026"/>
      </w:tabs>
    </w:pPr>
    <w:rPr>
      <w:rFonts w:ascii="Calibri" w:eastAsia="Calibri" w:hAnsi="Calibri"/>
      <w:kern w:val="2"/>
      <w:sz w:val="22"/>
      <w:szCs w:val="22"/>
      <w:lang w:eastAsia="en-US"/>
    </w:rPr>
  </w:style>
  <w:style w:type="character" w:customStyle="1" w:styleId="PiedepginaCar">
    <w:name w:val="Pie de página Car"/>
    <w:basedOn w:val="Fuentedeprrafopredeter"/>
    <w:link w:val="Piedepgina"/>
    <w:uiPriority w:val="99"/>
    <w:locked/>
    <w:rsid w:val="00F45FC8"/>
    <w:rPr>
      <w:rFonts w:cs="Times New Roman"/>
    </w:rPr>
  </w:style>
  <w:style w:type="paragraph" w:styleId="Prrafodelista">
    <w:name w:val="List Paragraph"/>
    <w:basedOn w:val="Normal"/>
    <w:uiPriority w:val="34"/>
    <w:qFormat/>
    <w:rsid w:val="007C4334"/>
    <w:pPr>
      <w:spacing w:after="160" w:line="259" w:lineRule="auto"/>
      <w:ind w:left="720"/>
      <w:contextualSpacing/>
    </w:pPr>
    <w:rPr>
      <w:rFonts w:ascii="Calibri" w:eastAsia="Calibri" w:hAnsi="Calibri"/>
      <w:kern w:val="2"/>
      <w:sz w:val="22"/>
      <w:szCs w:val="22"/>
      <w:lang w:eastAsia="en-US"/>
    </w:rPr>
  </w:style>
  <w:style w:type="paragraph" w:styleId="Textonotapie">
    <w:name w:val="footnote text"/>
    <w:basedOn w:val="Normal"/>
    <w:link w:val="TextonotapieCar"/>
    <w:uiPriority w:val="99"/>
    <w:semiHidden/>
    <w:rsid w:val="00C60535"/>
    <w:rPr>
      <w:rFonts w:ascii="Calibri" w:eastAsia="Calibri" w:hAnsi="Calibri"/>
      <w:kern w:val="2"/>
      <w:sz w:val="20"/>
      <w:szCs w:val="20"/>
      <w:lang w:eastAsia="en-US"/>
    </w:rPr>
  </w:style>
  <w:style w:type="character" w:customStyle="1" w:styleId="TextonotapieCar">
    <w:name w:val="Texto nota pie Car"/>
    <w:basedOn w:val="Fuentedeprrafopredeter"/>
    <w:link w:val="Textonotapie"/>
    <w:uiPriority w:val="99"/>
    <w:semiHidden/>
    <w:locked/>
    <w:rsid w:val="00C60535"/>
    <w:rPr>
      <w:rFonts w:cs="Times New Roman"/>
      <w:sz w:val="20"/>
      <w:szCs w:val="20"/>
    </w:rPr>
  </w:style>
  <w:style w:type="character" w:styleId="Refdenotaalpie">
    <w:name w:val="footnote reference"/>
    <w:basedOn w:val="Fuentedeprrafopredeter"/>
    <w:uiPriority w:val="99"/>
    <w:semiHidden/>
    <w:rsid w:val="00C60535"/>
    <w:rPr>
      <w:rFonts w:cs="Times New Roman"/>
      <w:vertAlign w:val="superscript"/>
    </w:rPr>
  </w:style>
  <w:style w:type="character" w:styleId="Hipervnculo">
    <w:name w:val="Hyperlink"/>
    <w:basedOn w:val="Fuentedeprrafopredeter"/>
    <w:uiPriority w:val="99"/>
    <w:unhideWhenUsed/>
    <w:rsid w:val="002F0FB0"/>
    <w:rPr>
      <w:color w:val="0000FF" w:themeColor="hyperlink"/>
      <w:u w:val="single"/>
    </w:rPr>
  </w:style>
  <w:style w:type="character" w:styleId="Mencinsinresolver">
    <w:name w:val="Unresolved Mention"/>
    <w:basedOn w:val="Fuentedeprrafopredeter"/>
    <w:uiPriority w:val="99"/>
    <w:semiHidden/>
    <w:unhideWhenUsed/>
    <w:rsid w:val="002F0FB0"/>
    <w:rPr>
      <w:color w:val="605E5C"/>
      <w:shd w:val="clear" w:color="auto" w:fill="E1DFDD"/>
    </w:rPr>
  </w:style>
  <w:style w:type="character" w:styleId="Hipervnculovisitado">
    <w:name w:val="FollowedHyperlink"/>
    <w:basedOn w:val="Fuentedeprrafopredeter"/>
    <w:uiPriority w:val="99"/>
    <w:semiHidden/>
    <w:unhideWhenUsed/>
    <w:rsid w:val="00706259"/>
    <w:rPr>
      <w:color w:val="800080" w:themeColor="followedHyperlink"/>
      <w:u w:val="single"/>
    </w:rPr>
  </w:style>
  <w:style w:type="paragraph" w:styleId="NormalWeb">
    <w:name w:val="Normal (Web)"/>
    <w:basedOn w:val="Normal"/>
    <w:uiPriority w:val="99"/>
    <w:semiHidden/>
    <w:unhideWhenUsed/>
    <w:rsid w:val="00011801"/>
  </w:style>
  <w:style w:type="character" w:customStyle="1" w:styleId="Ttulo1Car">
    <w:name w:val="Título 1 Car"/>
    <w:basedOn w:val="Fuentedeprrafopredeter"/>
    <w:link w:val="Ttulo1"/>
    <w:rsid w:val="0037455D"/>
    <w:rPr>
      <w:rFonts w:asciiTheme="majorHAnsi" w:eastAsiaTheme="majorEastAsia" w:hAnsiTheme="majorHAnsi" w:cstheme="majorBidi"/>
      <w:color w:val="365F91" w:themeColor="accent1" w:themeShade="BF"/>
      <w:sz w:val="32"/>
      <w:szCs w:val="32"/>
      <w:lang w:val="es-AR" w:eastAsia="es-MX"/>
    </w:rPr>
  </w:style>
  <w:style w:type="character" w:customStyle="1" w:styleId="Ttulo2Car">
    <w:name w:val="Título 2 Car"/>
    <w:basedOn w:val="Fuentedeprrafopredeter"/>
    <w:link w:val="Ttulo2"/>
    <w:uiPriority w:val="9"/>
    <w:rsid w:val="0075182E"/>
    <w:rPr>
      <w:rFonts w:asciiTheme="majorHAnsi" w:eastAsiaTheme="majorEastAsia" w:hAnsiTheme="majorHAnsi" w:cstheme="majorBidi"/>
      <w:color w:val="365F91" w:themeColor="accent1" w:themeShade="BF"/>
      <w:sz w:val="26"/>
      <w:szCs w:val="26"/>
      <w:lang w:val="es-AR"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5128">
      <w:bodyDiv w:val="1"/>
      <w:marLeft w:val="0"/>
      <w:marRight w:val="0"/>
      <w:marTop w:val="0"/>
      <w:marBottom w:val="0"/>
      <w:divBdr>
        <w:top w:val="none" w:sz="0" w:space="0" w:color="auto"/>
        <w:left w:val="none" w:sz="0" w:space="0" w:color="auto"/>
        <w:bottom w:val="none" w:sz="0" w:space="0" w:color="auto"/>
        <w:right w:val="none" w:sz="0" w:space="0" w:color="auto"/>
      </w:divBdr>
    </w:div>
    <w:div w:id="14814257">
      <w:bodyDiv w:val="1"/>
      <w:marLeft w:val="0"/>
      <w:marRight w:val="0"/>
      <w:marTop w:val="0"/>
      <w:marBottom w:val="0"/>
      <w:divBdr>
        <w:top w:val="none" w:sz="0" w:space="0" w:color="auto"/>
        <w:left w:val="none" w:sz="0" w:space="0" w:color="auto"/>
        <w:bottom w:val="none" w:sz="0" w:space="0" w:color="auto"/>
        <w:right w:val="none" w:sz="0" w:space="0" w:color="auto"/>
      </w:divBdr>
    </w:div>
    <w:div w:id="39868105">
      <w:bodyDiv w:val="1"/>
      <w:marLeft w:val="0"/>
      <w:marRight w:val="0"/>
      <w:marTop w:val="0"/>
      <w:marBottom w:val="0"/>
      <w:divBdr>
        <w:top w:val="none" w:sz="0" w:space="0" w:color="auto"/>
        <w:left w:val="none" w:sz="0" w:space="0" w:color="auto"/>
        <w:bottom w:val="none" w:sz="0" w:space="0" w:color="auto"/>
        <w:right w:val="none" w:sz="0" w:space="0" w:color="auto"/>
      </w:divBdr>
    </w:div>
    <w:div w:id="52852921">
      <w:bodyDiv w:val="1"/>
      <w:marLeft w:val="0"/>
      <w:marRight w:val="0"/>
      <w:marTop w:val="0"/>
      <w:marBottom w:val="0"/>
      <w:divBdr>
        <w:top w:val="none" w:sz="0" w:space="0" w:color="auto"/>
        <w:left w:val="none" w:sz="0" w:space="0" w:color="auto"/>
        <w:bottom w:val="none" w:sz="0" w:space="0" w:color="auto"/>
        <w:right w:val="none" w:sz="0" w:space="0" w:color="auto"/>
      </w:divBdr>
      <w:divsChild>
        <w:div w:id="1010255760">
          <w:marLeft w:val="0"/>
          <w:marRight w:val="0"/>
          <w:marTop w:val="0"/>
          <w:marBottom w:val="0"/>
          <w:divBdr>
            <w:top w:val="none" w:sz="0" w:space="0" w:color="auto"/>
            <w:left w:val="none" w:sz="0" w:space="0" w:color="auto"/>
            <w:bottom w:val="none" w:sz="0" w:space="0" w:color="auto"/>
            <w:right w:val="none" w:sz="0" w:space="0" w:color="auto"/>
          </w:divBdr>
          <w:divsChild>
            <w:div w:id="619452806">
              <w:marLeft w:val="0"/>
              <w:marRight w:val="0"/>
              <w:marTop w:val="0"/>
              <w:marBottom w:val="0"/>
              <w:divBdr>
                <w:top w:val="none" w:sz="0" w:space="0" w:color="auto"/>
                <w:left w:val="none" w:sz="0" w:space="0" w:color="auto"/>
                <w:bottom w:val="none" w:sz="0" w:space="0" w:color="auto"/>
                <w:right w:val="none" w:sz="0" w:space="0" w:color="auto"/>
              </w:divBdr>
              <w:divsChild>
                <w:div w:id="2120879393">
                  <w:marLeft w:val="0"/>
                  <w:marRight w:val="0"/>
                  <w:marTop w:val="0"/>
                  <w:marBottom w:val="0"/>
                  <w:divBdr>
                    <w:top w:val="none" w:sz="0" w:space="0" w:color="auto"/>
                    <w:left w:val="none" w:sz="0" w:space="0" w:color="auto"/>
                    <w:bottom w:val="none" w:sz="0" w:space="0" w:color="auto"/>
                    <w:right w:val="none" w:sz="0" w:space="0" w:color="auto"/>
                  </w:divBdr>
                  <w:divsChild>
                    <w:div w:id="850337467">
                      <w:marLeft w:val="0"/>
                      <w:marRight w:val="0"/>
                      <w:marTop w:val="0"/>
                      <w:marBottom w:val="0"/>
                      <w:divBdr>
                        <w:top w:val="none" w:sz="0" w:space="0" w:color="auto"/>
                        <w:left w:val="none" w:sz="0" w:space="0" w:color="auto"/>
                        <w:bottom w:val="none" w:sz="0" w:space="0" w:color="auto"/>
                        <w:right w:val="none" w:sz="0" w:space="0" w:color="auto"/>
                      </w:divBdr>
                      <w:divsChild>
                        <w:div w:id="1583488547">
                          <w:marLeft w:val="0"/>
                          <w:marRight w:val="0"/>
                          <w:marTop w:val="0"/>
                          <w:marBottom w:val="0"/>
                          <w:divBdr>
                            <w:top w:val="none" w:sz="0" w:space="0" w:color="auto"/>
                            <w:left w:val="none" w:sz="0" w:space="0" w:color="auto"/>
                            <w:bottom w:val="none" w:sz="0" w:space="0" w:color="auto"/>
                            <w:right w:val="none" w:sz="0" w:space="0" w:color="auto"/>
                          </w:divBdr>
                          <w:divsChild>
                            <w:div w:id="20077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55845">
      <w:bodyDiv w:val="1"/>
      <w:marLeft w:val="0"/>
      <w:marRight w:val="0"/>
      <w:marTop w:val="0"/>
      <w:marBottom w:val="0"/>
      <w:divBdr>
        <w:top w:val="none" w:sz="0" w:space="0" w:color="auto"/>
        <w:left w:val="none" w:sz="0" w:space="0" w:color="auto"/>
        <w:bottom w:val="none" w:sz="0" w:space="0" w:color="auto"/>
        <w:right w:val="none" w:sz="0" w:space="0" w:color="auto"/>
      </w:divBdr>
    </w:div>
    <w:div w:id="70547623">
      <w:bodyDiv w:val="1"/>
      <w:marLeft w:val="0"/>
      <w:marRight w:val="0"/>
      <w:marTop w:val="0"/>
      <w:marBottom w:val="0"/>
      <w:divBdr>
        <w:top w:val="none" w:sz="0" w:space="0" w:color="auto"/>
        <w:left w:val="none" w:sz="0" w:space="0" w:color="auto"/>
        <w:bottom w:val="none" w:sz="0" w:space="0" w:color="auto"/>
        <w:right w:val="none" w:sz="0" w:space="0" w:color="auto"/>
      </w:divBdr>
    </w:div>
    <w:div w:id="87047727">
      <w:bodyDiv w:val="1"/>
      <w:marLeft w:val="0"/>
      <w:marRight w:val="0"/>
      <w:marTop w:val="0"/>
      <w:marBottom w:val="0"/>
      <w:divBdr>
        <w:top w:val="none" w:sz="0" w:space="0" w:color="auto"/>
        <w:left w:val="none" w:sz="0" w:space="0" w:color="auto"/>
        <w:bottom w:val="none" w:sz="0" w:space="0" w:color="auto"/>
        <w:right w:val="none" w:sz="0" w:space="0" w:color="auto"/>
      </w:divBdr>
    </w:div>
    <w:div w:id="90392367">
      <w:bodyDiv w:val="1"/>
      <w:marLeft w:val="0"/>
      <w:marRight w:val="0"/>
      <w:marTop w:val="0"/>
      <w:marBottom w:val="0"/>
      <w:divBdr>
        <w:top w:val="none" w:sz="0" w:space="0" w:color="auto"/>
        <w:left w:val="none" w:sz="0" w:space="0" w:color="auto"/>
        <w:bottom w:val="none" w:sz="0" w:space="0" w:color="auto"/>
        <w:right w:val="none" w:sz="0" w:space="0" w:color="auto"/>
      </w:divBdr>
      <w:divsChild>
        <w:div w:id="2114551343">
          <w:marLeft w:val="0"/>
          <w:marRight w:val="0"/>
          <w:marTop w:val="0"/>
          <w:marBottom w:val="0"/>
          <w:divBdr>
            <w:top w:val="none" w:sz="0" w:space="0" w:color="auto"/>
            <w:left w:val="none" w:sz="0" w:space="0" w:color="auto"/>
            <w:bottom w:val="none" w:sz="0" w:space="0" w:color="auto"/>
            <w:right w:val="none" w:sz="0" w:space="0" w:color="auto"/>
          </w:divBdr>
          <w:divsChild>
            <w:div w:id="1512182568">
              <w:marLeft w:val="0"/>
              <w:marRight w:val="0"/>
              <w:marTop w:val="0"/>
              <w:marBottom w:val="0"/>
              <w:divBdr>
                <w:top w:val="none" w:sz="0" w:space="0" w:color="auto"/>
                <w:left w:val="none" w:sz="0" w:space="0" w:color="auto"/>
                <w:bottom w:val="none" w:sz="0" w:space="0" w:color="auto"/>
                <w:right w:val="none" w:sz="0" w:space="0" w:color="auto"/>
              </w:divBdr>
              <w:divsChild>
                <w:div w:id="2068382829">
                  <w:marLeft w:val="0"/>
                  <w:marRight w:val="0"/>
                  <w:marTop w:val="0"/>
                  <w:marBottom w:val="0"/>
                  <w:divBdr>
                    <w:top w:val="none" w:sz="0" w:space="0" w:color="auto"/>
                    <w:left w:val="none" w:sz="0" w:space="0" w:color="auto"/>
                    <w:bottom w:val="none" w:sz="0" w:space="0" w:color="auto"/>
                    <w:right w:val="none" w:sz="0" w:space="0" w:color="auto"/>
                  </w:divBdr>
                  <w:divsChild>
                    <w:div w:id="13682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55311">
      <w:bodyDiv w:val="1"/>
      <w:marLeft w:val="0"/>
      <w:marRight w:val="0"/>
      <w:marTop w:val="0"/>
      <w:marBottom w:val="0"/>
      <w:divBdr>
        <w:top w:val="none" w:sz="0" w:space="0" w:color="auto"/>
        <w:left w:val="none" w:sz="0" w:space="0" w:color="auto"/>
        <w:bottom w:val="none" w:sz="0" w:space="0" w:color="auto"/>
        <w:right w:val="none" w:sz="0" w:space="0" w:color="auto"/>
      </w:divBdr>
    </w:div>
    <w:div w:id="104666136">
      <w:bodyDiv w:val="1"/>
      <w:marLeft w:val="0"/>
      <w:marRight w:val="0"/>
      <w:marTop w:val="0"/>
      <w:marBottom w:val="0"/>
      <w:divBdr>
        <w:top w:val="none" w:sz="0" w:space="0" w:color="auto"/>
        <w:left w:val="none" w:sz="0" w:space="0" w:color="auto"/>
        <w:bottom w:val="none" w:sz="0" w:space="0" w:color="auto"/>
        <w:right w:val="none" w:sz="0" w:space="0" w:color="auto"/>
      </w:divBdr>
      <w:divsChild>
        <w:div w:id="1201625204">
          <w:marLeft w:val="0"/>
          <w:marRight w:val="0"/>
          <w:marTop w:val="0"/>
          <w:marBottom w:val="0"/>
          <w:divBdr>
            <w:top w:val="none" w:sz="0" w:space="0" w:color="auto"/>
            <w:left w:val="none" w:sz="0" w:space="0" w:color="auto"/>
            <w:bottom w:val="none" w:sz="0" w:space="0" w:color="auto"/>
            <w:right w:val="none" w:sz="0" w:space="0" w:color="auto"/>
          </w:divBdr>
          <w:divsChild>
            <w:div w:id="999045913">
              <w:marLeft w:val="0"/>
              <w:marRight w:val="0"/>
              <w:marTop w:val="0"/>
              <w:marBottom w:val="0"/>
              <w:divBdr>
                <w:top w:val="none" w:sz="0" w:space="0" w:color="auto"/>
                <w:left w:val="none" w:sz="0" w:space="0" w:color="auto"/>
                <w:bottom w:val="none" w:sz="0" w:space="0" w:color="auto"/>
                <w:right w:val="none" w:sz="0" w:space="0" w:color="auto"/>
              </w:divBdr>
              <w:divsChild>
                <w:div w:id="1948467536">
                  <w:marLeft w:val="0"/>
                  <w:marRight w:val="0"/>
                  <w:marTop w:val="0"/>
                  <w:marBottom w:val="0"/>
                  <w:divBdr>
                    <w:top w:val="none" w:sz="0" w:space="0" w:color="auto"/>
                    <w:left w:val="none" w:sz="0" w:space="0" w:color="auto"/>
                    <w:bottom w:val="none" w:sz="0" w:space="0" w:color="auto"/>
                    <w:right w:val="none" w:sz="0" w:space="0" w:color="auto"/>
                  </w:divBdr>
                  <w:divsChild>
                    <w:div w:id="1020427929">
                      <w:marLeft w:val="0"/>
                      <w:marRight w:val="0"/>
                      <w:marTop w:val="0"/>
                      <w:marBottom w:val="0"/>
                      <w:divBdr>
                        <w:top w:val="none" w:sz="0" w:space="0" w:color="auto"/>
                        <w:left w:val="none" w:sz="0" w:space="0" w:color="auto"/>
                        <w:bottom w:val="none" w:sz="0" w:space="0" w:color="auto"/>
                        <w:right w:val="none" w:sz="0" w:space="0" w:color="auto"/>
                      </w:divBdr>
                      <w:divsChild>
                        <w:div w:id="639112709">
                          <w:marLeft w:val="0"/>
                          <w:marRight w:val="0"/>
                          <w:marTop w:val="0"/>
                          <w:marBottom w:val="0"/>
                          <w:divBdr>
                            <w:top w:val="none" w:sz="0" w:space="0" w:color="auto"/>
                            <w:left w:val="none" w:sz="0" w:space="0" w:color="auto"/>
                            <w:bottom w:val="none" w:sz="0" w:space="0" w:color="auto"/>
                            <w:right w:val="none" w:sz="0" w:space="0" w:color="auto"/>
                          </w:divBdr>
                          <w:divsChild>
                            <w:div w:id="9927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11991">
      <w:bodyDiv w:val="1"/>
      <w:marLeft w:val="0"/>
      <w:marRight w:val="0"/>
      <w:marTop w:val="0"/>
      <w:marBottom w:val="0"/>
      <w:divBdr>
        <w:top w:val="none" w:sz="0" w:space="0" w:color="auto"/>
        <w:left w:val="none" w:sz="0" w:space="0" w:color="auto"/>
        <w:bottom w:val="none" w:sz="0" w:space="0" w:color="auto"/>
        <w:right w:val="none" w:sz="0" w:space="0" w:color="auto"/>
      </w:divBdr>
    </w:div>
    <w:div w:id="183791116">
      <w:bodyDiv w:val="1"/>
      <w:marLeft w:val="0"/>
      <w:marRight w:val="0"/>
      <w:marTop w:val="0"/>
      <w:marBottom w:val="0"/>
      <w:divBdr>
        <w:top w:val="none" w:sz="0" w:space="0" w:color="auto"/>
        <w:left w:val="none" w:sz="0" w:space="0" w:color="auto"/>
        <w:bottom w:val="none" w:sz="0" w:space="0" w:color="auto"/>
        <w:right w:val="none" w:sz="0" w:space="0" w:color="auto"/>
      </w:divBdr>
      <w:divsChild>
        <w:div w:id="1550534571">
          <w:marLeft w:val="0"/>
          <w:marRight w:val="0"/>
          <w:marTop w:val="0"/>
          <w:marBottom w:val="0"/>
          <w:divBdr>
            <w:top w:val="none" w:sz="0" w:space="0" w:color="auto"/>
            <w:left w:val="none" w:sz="0" w:space="0" w:color="auto"/>
            <w:bottom w:val="none" w:sz="0" w:space="0" w:color="auto"/>
            <w:right w:val="none" w:sz="0" w:space="0" w:color="auto"/>
          </w:divBdr>
          <w:divsChild>
            <w:div w:id="492067332">
              <w:marLeft w:val="0"/>
              <w:marRight w:val="0"/>
              <w:marTop w:val="0"/>
              <w:marBottom w:val="0"/>
              <w:divBdr>
                <w:top w:val="none" w:sz="0" w:space="0" w:color="auto"/>
                <w:left w:val="none" w:sz="0" w:space="0" w:color="auto"/>
                <w:bottom w:val="none" w:sz="0" w:space="0" w:color="auto"/>
                <w:right w:val="none" w:sz="0" w:space="0" w:color="auto"/>
              </w:divBdr>
              <w:divsChild>
                <w:div w:id="2137796305">
                  <w:marLeft w:val="0"/>
                  <w:marRight w:val="0"/>
                  <w:marTop w:val="0"/>
                  <w:marBottom w:val="0"/>
                  <w:divBdr>
                    <w:top w:val="none" w:sz="0" w:space="0" w:color="auto"/>
                    <w:left w:val="none" w:sz="0" w:space="0" w:color="auto"/>
                    <w:bottom w:val="none" w:sz="0" w:space="0" w:color="auto"/>
                    <w:right w:val="none" w:sz="0" w:space="0" w:color="auto"/>
                  </w:divBdr>
                  <w:divsChild>
                    <w:div w:id="51582867">
                      <w:marLeft w:val="0"/>
                      <w:marRight w:val="0"/>
                      <w:marTop w:val="0"/>
                      <w:marBottom w:val="0"/>
                      <w:divBdr>
                        <w:top w:val="none" w:sz="0" w:space="0" w:color="auto"/>
                        <w:left w:val="none" w:sz="0" w:space="0" w:color="auto"/>
                        <w:bottom w:val="none" w:sz="0" w:space="0" w:color="auto"/>
                        <w:right w:val="none" w:sz="0" w:space="0" w:color="auto"/>
                      </w:divBdr>
                      <w:divsChild>
                        <w:div w:id="183246837">
                          <w:marLeft w:val="0"/>
                          <w:marRight w:val="0"/>
                          <w:marTop w:val="0"/>
                          <w:marBottom w:val="0"/>
                          <w:divBdr>
                            <w:top w:val="none" w:sz="0" w:space="0" w:color="auto"/>
                            <w:left w:val="none" w:sz="0" w:space="0" w:color="auto"/>
                            <w:bottom w:val="none" w:sz="0" w:space="0" w:color="auto"/>
                            <w:right w:val="none" w:sz="0" w:space="0" w:color="auto"/>
                          </w:divBdr>
                          <w:divsChild>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5017">
      <w:bodyDiv w:val="1"/>
      <w:marLeft w:val="0"/>
      <w:marRight w:val="0"/>
      <w:marTop w:val="0"/>
      <w:marBottom w:val="0"/>
      <w:divBdr>
        <w:top w:val="none" w:sz="0" w:space="0" w:color="auto"/>
        <w:left w:val="none" w:sz="0" w:space="0" w:color="auto"/>
        <w:bottom w:val="none" w:sz="0" w:space="0" w:color="auto"/>
        <w:right w:val="none" w:sz="0" w:space="0" w:color="auto"/>
      </w:divBdr>
      <w:divsChild>
        <w:div w:id="709302044">
          <w:marLeft w:val="0"/>
          <w:marRight w:val="0"/>
          <w:marTop w:val="0"/>
          <w:marBottom w:val="0"/>
          <w:divBdr>
            <w:top w:val="none" w:sz="0" w:space="0" w:color="auto"/>
            <w:left w:val="none" w:sz="0" w:space="0" w:color="auto"/>
            <w:bottom w:val="none" w:sz="0" w:space="0" w:color="auto"/>
            <w:right w:val="none" w:sz="0" w:space="0" w:color="auto"/>
          </w:divBdr>
          <w:divsChild>
            <w:div w:id="1501389281">
              <w:marLeft w:val="0"/>
              <w:marRight w:val="0"/>
              <w:marTop w:val="0"/>
              <w:marBottom w:val="0"/>
              <w:divBdr>
                <w:top w:val="none" w:sz="0" w:space="0" w:color="auto"/>
                <w:left w:val="none" w:sz="0" w:space="0" w:color="auto"/>
                <w:bottom w:val="none" w:sz="0" w:space="0" w:color="auto"/>
                <w:right w:val="none" w:sz="0" w:space="0" w:color="auto"/>
              </w:divBdr>
              <w:divsChild>
                <w:div w:id="1100032709">
                  <w:marLeft w:val="0"/>
                  <w:marRight w:val="0"/>
                  <w:marTop w:val="0"/>
                  <w:marBottom w:val="0"/>
                  <w:divBdr>
                    <w:top w:val="none" w:sz="0" w:space="0" w:color="auto"/>
                    <w:left w:val="none" w:sz="0" w:space="0" w:color="auto"/>
                    <w:bottom w:val="none" w:sz="0" w:space="0" w:color="auto"/>
                    <w:right w:val="none" w:sz="0" w:space="0" w:color="auto"/>
                  </w:divBdr>
                  <w:divsChild>
                    <w:div w:id="1871870292">
                      <w:marLeft w:val="0"/>
                      <w:marRight w:val="0"/>
                      <w:marTop w:val="0"/>
                      <w:marBottom w:val="0"/>
                      <w:divBdr>
                        <w:top w:val="none" w:sz="0" w:space="0" w:color="auto"/>
                        <w:left w:val="none" w:sz="0" w:space="0" w:color="auto"/>
                        <w:bottom w:val="none" w:sz="0" w:space="0" w:color="auto"/>
                        <w:right w:val="none" w:sz="0" w:space="0" w:color="auto"/>
                      </w:divBdr>
                      <w:divsChild>
                        <w:div w:id="154421563">
                          <w:marLeft w:val="0"/>
                          <w:marRight w:val="0"/>
                          <w:marTop w:val="0"/>
                          <w:marBottom w:val="0"/>
                          <w:divBdr>
                            <w:top w:val="none" w:sz="0" w:space="0" w:color="auto"/>
                            <w:left w:val="none" w:sz="0" w:space="0" w:color="auto"/>
                            <w:bottom w:val="none" w:sz="0" w:space="0" w:color="auto"/>
                            <w:right w:val="none" w:sz="0" w:space="0" w:color="auto"/>
                          </w:divBdr>
                          <w:divsChild>
                            <w:div w:id="6219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53906">
      <w:bodyDiv w:val="1"/>
      <w:marLeft w:val="0"/>
      <w:marRight w:val="0"/>
      <w:marTop w:val="0"/>
      <w:marBottom w:val="0"/>
      <w:divBdr>
        <w:top w:val="none" w:sz="0" w:space="0" w:color="auto"/>
        <w:left w:val="none" w:sz="0" w:space="0" w:color="auto"/>
        <w:bottom w:val="none" w:sz="0" w:space="0" w:color="auto"/>
        <w:right w:val="none" w:sz="0" w:space="0" w:color="auto"/>
      </w:divBdr>
    </w:div>
    <w:div w:id="251090152">
      <w:bodyDiv w:val="1"/>
      <w:marLeft w:val="0"/>
      <w:marRight w:val="0"/>
      <w:marTop w:val="0"/>
      <w:marBottom w:val="0"/>
      <w:divBdr>
        <w:top w:val="none" w:sz="0" w:space="0" w:color="auto"/>
        <w:left w:val="none" w:sz="0" w:space="0" w:color="auto"/>
        <w:bottom w:val="none" w:sz="0" w:space="0" w:color="auto"/>
        <w:right w:val="none" w:sz="0" w:space="0" w:color="auto"/>
      </w:divBdr>
    </w:div>
    <w:div w:id="252864750">
      <w:bodyDiv w:val="1"/>
      <w:marLeft w:val="0"/>
      <w:marRight w:val="0"/>
      <w:marTop w:val="0"/>
      <w:marBottom w:val="0"/>
      <w:divBdr>
        <w:top w:val="none" w:sz="0" w:space="0" w:color="auto"/>
        <w:left w:val="none" w:sz="0" w:space="0" w:color="auto"/>
        <w:bottom w:val="none" w:sz="0" w:space="0" w:color="auto"/>
        <w:right w:val="none" w:sz="0" w:space="0" w:color="auto"/>
      </w:divBdr>
      <w:divsChild>
        <w:div w:id="1912155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4435999">
      <w:bodyDiv w:val="1"/>
      <w:marLeft w:val="0"/>
      <w:marRight w:val="0"/>
      <w:marTop w:val="0"/>
      <w:marBottom w:val="0"/>
      <w:divBdr>
        <w:top w:val="none" w:sz="0" w:space="0" w:color="auto"/>
        <w:left w:val="none" w:sz="0" w:space="0" w:color="auto"/>
        <w:bottom w:val="none" w:sz="0" w:space="0" w:color="auto"/>
        <w:right w:val="none" w:sz="0" w:space="0" w:color="auto"/>
      </w:divBdr>
      <w:divsChild>
        <w:div w:id="1297562118">
          <w:marLeft w:val="0"/>
          <w:marRight w:val="0"/>
          <w:marTop w:val="0"/>
          <w:marBottom w:val="0"/>
          <w:divBdr>
            <w:top w:val="none" w:sz="0" w:space="0" w:color="auto"/>
            <w:left w:val="none" w:sz="0" w:space="0" w:color="auto"/>
            <w:bottom w:val="none" w:sz="0" w:space="0" w:color="auto"/>
            <w:right w:val="none" w:sz="0" w:space="0" w:color="auto"/>
          </w:divBdr>
          <w:divsChild>
            <w:div w:id="1838036808">
              <w:marLeft w:val="0"/>
              <w:marRight w:val="0"/>
              <w:marTop w:val="0"/>
              <w:marBottom w:val="0"/>
              <w:divBdr>
                <w:top w:val="none" w:sz="0" w:space="0" w:color="auto"/>
                <w:left w:val="none" w:sz="0" w:space="0" w:color="auto"/>
                <w:bottom w:val="none" w:sz="0" w:space="0" w:color="auto"/>
                <w:right w:val="none" w:sz="0" w:space="0" w:color="auto"/>
              </w:divBdr>
              <w:divsChild>
                <w:div w:id="483814524">
                  <w:marLeft w:val="0"/>
                  <w:marRight w:val="0"/>
                  <w:marTop w:val="0"/>
                  <w:marBottom w:val="0"/>
                  <w:divBdr>
                    <w:top w:val="none" w:sz="0" w:space="0" w:color="auto"/>
                    <w:left w:val="none" w:sz="0" w:space="0" w:color="auto"/>
                    <w:bottom w:val="none" w:sz="0" w:space="0" w:color="auto"/>
                    <w:right w:val="none" w:sz="0" w:space="0" w:color="auto"/>
                  </w:divBdr>
                  <w:divsChild>
                    <w:div w:id="1704793744">
                      <w:marLeft w:val="0"/>
                      <w:marRight w:val="0"/>
                      <w:marTop w:val="0"/>
                      <w:marBottom w:val="0"/>
                      <w:divBdr>
                        <w:top w:val="none" w:sz="0" w:space="0" w:color="auto"/>
                        <w:left w:val="none" w:sz="0" w:space="0" w:color="auto"/>
                        <w:bottom w:val="none" w:sz="0" w:space="0" w:color="auto"/>
                        <w:right w:val="none" w:sz="0" w:space="0" w:color="auto"/>
                      </w:divBdr>
                      <w:divsChild>
                        <w:div w:id="279648200">
                          <w:marLeft w:val="0"/>
                          <w:marRight w:val="0"/>
                          <w:marTop w:val="0"/>
                          <w:marBottom w:val="0"/>
                          <w:divBdr>
                            <w:top w:val="none" w:sz="0" w:space="0" w:color="auto"/>
                            <w:left w:val="none" w:sz="0" w:space="0" w:color="auto"/>
                            <w:bottom w:val="none" w:sz="0" w:space="0" w:color="auto"/>
                            <w:right w:val="none" w:sz="0" w:space="0" w:color="auto"/>
                          </w:divBdr>
                          <w:divsChild>
                            <w:div w:id="64320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469753">
      <w:bodyDiv w:val="1"/>
      <w:marLeft w:val="0"/>
      <w:marRight w:val="0"/>
      <w:marTop w:val="0"/>
      <w:marBottom w:val="0"/>
      <w:divBdr>
        <w:top w:val="none" w:sz="0" w:space="0" w:color="auto"/>
        <w:left w:val="none" w:sz="0" w:space="0" w:color="auto"/>
        <w:bottom w:val="none" w:sz="0" w:space="0" w:color="auto"/>
        <w:right w:val="none" w:sz="0" w:space="0" w:color="auto"/>
      </w:divBdr>
      <w:divsChild>
        <w:div w:id="258955908">
          <w:marLeft w:val="0"/>
          <w:marRight w:val="0"/>
          <w:marTop w:val="0"/>
          <w:marBottom w:val="0"/>
          <w:divBdr>
            <w:top w:val="none" w:sz="0" w:space="0" w:color="auto"/>
            <w:left w:val="none" w:sz="0" w:space="0" w:color="auto"/>
            <w:bottom w:val="none" w:sz="0" w:space="0" w:color="auto"/>
            <w:right w:val="none" w:sz="0" w:space="0" w:color="auto"/>
          </w:divBdr>
          <w:divsChild>
            <w:div w:id="1545672255">
              <w:marLeft w:val="0"/>
              <w:marRight w:val="0"/>
              <w:marTop w:val="0"/>
              <w:marBottom w:val="0"/>
              <w:divBdr>
                <w:top w:val="none" w:sz="0" w:space="0" w:color="auto"/>
                <w:left w:val="none" w:sz="0" w:space="0" w:color="auto"/>
                <w:bottom w:val="none" w:sz="0" w:space="0" w:color="auto"/>
                <w:right w:val="none" w:sz="0" w:space="0" w:color="auto"/>
              </w:divBdr>
              <w:divsChild>
                <w:div w:id="582565257">
                  <w:marLeft w:val="0"/>
                  <w:marRight w:val="0"/>
                  <w:marTop w:val="0"/>
                  <w:marBottom w:val="0"/>
                  <w:divBdr>
                    <w:top w:val="none" w:sz="0" w:space="0" w:color="auto"/>
                    <w:left w:val="none" w:sz="0" w:space="0" w:color="auto"/>
                    <w:bottom w:val="none" w:sz="0" w:space="0" w:color="auto"/>
                    <w:right w:val="none" w:sz="0" w:space="0" w:color="auto"/>
                  </w:divBdr>
                  <w:divsChild>
                    <w:div w:id="585727579">
                      <w:marLeft w:val="0"/>
                      <w:marRight w:val="0"/>
                      <w:marTop w:val="0"/>
                      <w:marBottom w:val="0"/>
                      <w:divBdr>
                        <w:top w:val="none" w:sz="0" w:space="0" w:color="auto"/>
                        <w:left w:val="none" w:sz="0" w:space="0" w:color="auto"/>
                        <w:bottom w:val="none" w:sz="0" w:space="0" w:color="auto"/>
                        <w:right w:val="none" w:sz="0" w:space="0" w:color="auto"/>
                      </w:divBdr>
                      <w:divsChild>
                        <w:div w:id="712730772">
                          <w:marLeft w:val="0"/>
                          <w:marRight w:val="0"/>
                          <w:marTop w:val="0"/>
                          <w:marBottom w:val="0"/>
                          <w:divBdr>
                            <w:top w:val="none" w:sz="0" w:space="0" w:color="auto"/>
                            <w:left w:val="none" w:sz="0" w:space="0" w:color="auto"/>
                            <w:bottom w:val="none" w:sz="0" w:space="0" w:color="auto"/>
                            <w:right w:val="none" w:sz="0" w:space="0" w:color="auto"/>
                          </w:divBdr>
                          <w:divsChild>
                            <w:div w:id="15460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57051">
      <w:bodyDiv w:val="1"/>
      <w:marLeft w:val="0"/>
      <w:marRight w:val="0"/>
      <w:marTop w:val="0"/>
      <w:marBottom w:val="0"/>
      <w:divBdr>
        <w:top w:val="none" w:sz="0" w:space="0" w:color="auto"/>
        <w:left w:val="none" w:sz="0" w:space="0" w:color="auto"/>
        <w:bottom w:val="none" w:sz="0" w:space="0" w:color="auto"/>
        <w:right w:val="none" w:sz="0" w:space="0" w:color="auto"/>
      </w:divBdr>
    </w:div>
    <w:div w:id="281616795">
      <w:bodyDiv w:val="1"/>
      <w:marLeft w:val="0"/>
      <w:marRight w:val="0"/>
      <w:marTop w:val="0"/>
      <w:marBottom w:val="0"/>
      <w:divBdr>
        <w:top w:val="none" w:sz="0" w:space="0" w:color="auto"/>
        <w:left w:val="none" w:sz="0" w:space="0" w:color="auto"/>
        <w:bottom w:val="none" w:sz="0" w:space="0" w:color="auto"/>
        <w:right w:val="none" w:sz="0" w:space="0" w:color="auto"/>
      </w:divBdr>
    </w:div>
    <w:div w:id="288822903">
      <w:bodyDiv w:val="1"/>
      <w:marLeft w:val="0"/>
      <w:marRight w:val="0"/>
      <w:marTop w:val="0"/>
      <w:marBottom w:val="0"/>
      <w:divBdr>
        <w:top w:val="none" w:sz="0" w:space="0" w:color="auto"/>
        <w:left w:val="none" w:sz="0" w:space="0" w:color="auto"/>
        <w:bottom w:val="none" w:sz="0" w:space="0" w:color="auto"/>
        <w:right w:val="none" w:sz="0" w:space="0" w:color="auto"/>
      </w:divBdr>
      <w:divsChild>
        <w:div w:id="1262373146">
          <w:marLeft w:val="0"/>
          <w:marRight w:val="0"/>
          <w:marTop w:val="0"/>
          <w:marBottom w:val="0"/>
          <w:divBdr>
            <w:top w:val="none" w:sz="0" w:space="0" w:color="auto"/>
            <w:left w:val="none" w:sz="0" w:space="0" w:color="auto"/>
            <w:bottom w:val="none" w:sz="0" w:space="0" w:color="auto"/>
            <w:right w:val="none" w:sz="0" w:space="0" w:color="auto"/>
          </w:divBdr>
          <w:divsChild>
            <w:div w:id="788013450">
              <w:marLeft w:val="0"/>
              <w:marRight w:val="0"/>
              <w:marTop w:val="0"/>
              <w:marBottom w:val="0"/>
              <w:divBdr>
                <w:top w:val="none" w:sz="0" w:space="0" w:color="auto"/>
                <w:left w:val="none" w:sz="0" w:space="0" w:color="auto"/>
                <w:bottom w:val="none" w:sz="0" w:space="0" w:color="auto"/>
                <w:right w:val="none" w:sz="0" w:space="0" w:color="auto"/>
              </w:divBdr>
              <w:divsChild>
                <w:div w:id="73598504">
                  <w:marLeft w:val="0"/>
                  <w:marRight w:val="0"/>
                  <w:marTop w:val="0"/>
                  <w:marBottom w:val="0"/>
                  <w:divBdr>
                    <w:top w:val="none" w:sz="0" w:space="0" w:color="auto"/>
                    <w:left w:val="none" w:sz="0" w:space="0" w:color="auto"/>
                    <w:bottom w:val="none" w:sz="0" w:space="0" w:color="auto"/>
                    <w:right w:val="none" w:sz="0" w:space="0" w:color="auto"/>
                  </w:divBdr>
                  <w:divsChild>
                    <w:div w:id="1239244073">
                      <w:marLeft w:val="0"/>
                      <w:marRight w:val="0"/>
                      <w:marTop w:val="0"/>
                      <w:marBottom w:val="0"/>
                      <w:divBdr>
                        <w:top w:val="none" w:sz="0" w:space="0" w:color="auto"/>
                        <w:left w:val="none" w:sz="0" w:space="0" w:color="auto"/>
                        <w:bottom w:val="none" w:sz="0" w:space="0" w:color="auto"/>
                        <w:right w:val="none" w:sz="0" w:space="0" w:color="auto"/>
                      </w:divBdr>
                      <w:divsChild>
                        <w:div w:id="1955671926">
                          <w:marLeft w:val="0"/>
                          <w:marRight w:val="0"/>
                          <w:marTop w:val="0"/>
                          <w:marBottom w:val="0"/>
                          <w:divBdr>
                            <w:top w:val="none" w:sz="0" w:space="0" w:color="auto"/>
                            <w:left w:val="none" w:sz="0" w:space="0" w:color="auto"/>
                            <w:bottom w:val="none" w:sz="0" w:space="0" w:color="auto"/>
                            <w:right w:val="none" w:sz="0" w:space="0" w:color="auto"/>
                          </w:divBdr>
                          <w:divsChild>
                            <w:div w:id="10244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864254">
      <w:bodyDiv w:val="1"/>
      <w:marLeft w:val="0"/>
      <w:marRight w:val="0"/>
      <w:marTop w:val="0"/>
      <w:marBottom w:val="0"/>
      <w:divBdr>
        <w:top w:val="none" w:sz="0" w:space="0" w:color="auto"/>
        <w:left w:val="none" w:sz="0" w:space="0" w:color="auto"/>
        <w:bottom w:val="none" w:sz="0" w:space="0" w:color="auto"/>
        <w:right w:val="none" w:sz="0" w:space="0" w:color="auto"/>
      </w:divBdr>
    </w:div>
    <w:div w:id="300428959">
      <w:bodyDiv w:val="1"/>
      <w:marLeft w:val="0"/>
      <w:marRight w:val="0"/>
      <w:marTop w:val="0"/>
      <w:marBottom w:val="0"/>
      <w:divBdr>
        <w:top w:val="none" w:sz="0" w:space="0" w:color="auto"/>
        <w:left w:val="none" w:sz="0" w:space="0" w:color="auto"/>
        <w:bottom w:val="none" w:sz="0" w:space="0" w:color="auto"/>
        <w:right w:val="none" w:sz="0" w:space="0" w:color="auto"/>
      </w:divBdr>
    </w:div>
    <w:div w:id="306473371">
      <w:bodyDiv w:val="1"/>
      <w:marLeft w:val="0"/>
      <w:marRight w:val="0"/>
      <w:marTop w:val="0"/>
      <w:marBottom w:val="0"/>
      <w:divBdr>
        <w:top w:val="none" w:sz="0" w:space="0" w:color="auto"/>
        <w:left w:val="none" w:sz="0" w:space="0" w:color="auto"/>
        <w:bottom w:val="none" w:sz="0" w:space="0" w:color="auto"/>
        <w:right w:val="none" w:sz="0" w:space="0" w:color="auto"/>
      </w:divBdr>
      <w:divsChild>
        <w:div w:id="540169412">
          <w:marLeft w:val="0"/>
          <w:marRight w:val="0"/>
          <w:marTop w:val="0"/>
          <w:marBottom w:val="0"/>
          <w:divBdr>
            <w:top w:val="none" w:sz="0" w:space="0" w:color="auto"/>
            <w:left w:val="none" w:sz="0" w:space="0" w:color="auto"/>
            <w:bottom w:val="none" w:sz="0" w:space="0" w:color="auto"/>
            <w:right w:val="none" w:sz="0" w:space="0" w:color="auto"/>
          </w:divBdr>
          <w:divsChild>
            <w:div w:id="851801687">
              <w:marLeft w:val="0"/>
              <w:marRight w:val="0"/>
              <w:marTop w:val="0"/>
              <w:marBottom w:val="0"/>
              <w:divBdr>
                <w:top w:val="none" w:sz="0" w:space="0" w:color="auto"/>
                <w:left w:val="none" w:sz="0" w:space="0" w:color="auto"/>
                <w:bottom w:val="none" w:sz="0" w:space="0" w:color="auto"/>
                <w:right w:val="none" w:sz="0" w:space="0" w:color="auto"/>
              </w:divBdr>
              <w:divsChild>
                <w:div w:id="1380742420">
                  <w:marLeft w:val="0"/>
                  <w:marRight w:val="0"/>
                  <w:marTop w:val="0"/>
                  <w:marBottom w:val="0"/>
                  <w:divBdr>
                    <w:top w:val="none" w:sz="0" w:space="0" w:color="auto"/>
                    <w:left w:val="none" w:sz="0" w:space="0" w:color="auto"/>
                    <w:bottom w:val="none" w:sz="0" w:space="0" w:color="auto"/>
                    <w:right w:val="none" w:sz="0" w:space="0" w:color="auto"/>
                  </w:divBdr>
                  <w:divsChild>
                    <w:div w:id="2086879555">
                      <w:marLeft w:val="0"/>
                      <w:marRight w:val="0"/>
                      <w:marTop w:val="0"/>
                      <w:marBottom w:val="0"/>
                      <w:divBdr>
                        <w:top w:val="none" w:sz="0" w:space="0" w:color="auto"/>
                        <w:left w:val="none" w:sz="0" w:space="0" w:color="auto"/>
                        <w:bottom w:val="none" w:sz="0" w:space="0" w:color="auto"/>
                        <w:right w:val="none" w:sz="0" w:space="0" w:color="auto"/>
                      </w:divBdr>
                      <w:divsChild>
                        <w:div w:id="1431973477">
                          <w:marLeft w:val="0"/>
                          <w:marRight w:val="0"/>
                          <w:marTop w:val="0"/>
                          <w:marBottom w:val="0"/>
                          <w:divBdr>
                            <w:top w:val="none" w:sz="0" w:space="0" w:color="auto"/>
                            <w:left w:val="none" w:sz="0" w:space="0" w:color="auto"/>
                            <w:bottom w:val="none" w:sz="0" w:space="0" w:color="auto"/>
                            <w:right w:val="none" w:sz="0" w:space="0" w:color="auto"/>
                          </w:divBdr>
                          <w:divsChild>
                            <w:div w:id="17693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404238">
      <w:bodyDiv w:val="1"/>
      <w:marLeft w:val="0"/>
      <w:marRight w:val="0"/>
      <w:marTop w:val="0"/>
      <w:marBottom w:val="0"/>
      <w:divBdr>
        <w:top w:val="none" w:sz="0" w:space="0" w:color="auto"/>
        <w:left w:val="none" w:sz="0" w:space="0" w:color="auto"/>
        <w:bottom w:val="none" w:sz="0" w:space="0" w:color="auto"/>
        <w:right w:val="none" w:sz="0" w:space="0" w:color="auto"/>
      </w:divBdr>
    </w:div>
    <w:div w:id="332953562">
      <w:bodyDiv w:val="1"/>
      <w:marLeft w:val="0"/>
      <w:marRight w:val="0"/>
      <w:marTop w:val="0"/>
      <w:marBottom w:val="0"/>
      <w:divBdr>
        <w:top w:val="none" w:sz="0" w:space="0" w:color="auto"/>
        <w:left w:val="none" w:sz="0" w:space="0" w:color="auto"/>
        <w:bottom w:val="none" w:sz="0" w:space="0" w:color="auto"/>
        <w:right w:val="none" w:sz="0" w:space="0" w:color="auto"/>
      </w:divBdr>
      <w:divsChild>
        <w:div w:id="1304307355">
          <w:marLeft w:val="0"/>
          <w:marRight w:val="0"/>
          <w:marTop w:val="0"/>
          <w:marBottom w:val="0"/>
          <w:divBdr>
            <w:top w:val="none" w:sz="0" w:space="0" w:color="auto"/>
            <w:left w:val="none" w:sz="0" w:space="0" w:color="auto"/>
            <w:bottom w:val="none" w:sz="0" w:space="0" w:color="auto"/>
            <w:right w:val="none" w:sz="0" w:space="0" w:color="auto"/>
          </w:divBdr>
        </w:div>
        <w:div w:id="1922441772">
          <w:marLeft w:val="0"/>
          <w:marRight w:val="0"/>
          <w:marTop w:val="0"/>
          <w:marBottom w:val="0"/>
          <w:divBdr>
            <w:top w:val="none" w:sz="0" w:space="0" w:color="auto"/>
            <w:left w:val="none" w:sz="0" w:space="0" w:color="auto"/>
            <w:bottom w:val="none" w:sz="0" w:space="0" w:color="auto"/>
            <w:right w:val="none" w:sz="0" w:space="0" w:color="auto"/>
          </w:divBdr>
          <w:divsChild>
            <w:div w:id="25732489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368799642">
      <w:bodyDiv w:val="1"/>
      <w:marLeft w:val="0"/>
      <w:marRight w:val="0"/>
      <w:marTop w:val="0"/>
      <w:marBottom w:val="0"/>
      <w:divBdr>
        <w:top w:val="none" w:sz="0" w:space="0" w:color="auto"/>
        <w:left w:val="none" w:sz="0" w:space="0" w:color="auto"/>
        <w:bottom w:val="none" w:sz="0" w:space="0" w:color="auto"/>
        <w:right w:val="none" w:sz="0" w:space="0" w:color="auto"/>
      </w:divBdr>
      <w:divsChild>
        <w:div w:id="455413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747438">
      <w:bodyDiv w:val="1"/>
      <w:marLeft w:val="0"/>
      <w:marRight w:val="0"/>
      <w:marTop w:val="0"/>
      <w:marBottom w:val="0"/>
      <w:divBdr>
        <w:top w:val="none" w:sz="0" w:space="0" w:color="auto"/>
        <w:left w:val="none" w:sz="0" w:space="0" w:color="auto"/>
        <w:bottom w:val="none" w:sz="0" w:space="0" w:color="auto"/>
        <w:right w:val="none" w:sz="0" w:space="0" w:color="auto"/>
      </w:divBdr>
      <w:divsChild>
        <w:div w:id="495809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665711">
      <w:bodyDiv w:val="1"/>
      <w:marLeft w:val="0"/>
      <w:marRight w:val="0"/>
      <w:marTop w:val="0"/>
      <w:marBottom w:val="0"/>
      <w:divBdr>
        <w:top w:val="none" w:sz="0" w:space="0" w:color="auto"/>
        <w:left w:val="none" w:sz="0" w:space="0" w:color="auto"/>
        <w:bottom w:val="none" w:sz="0" w:space="0" w:color="auto"/>
        <w:right w:val="none" w:sz="0" w:space="0" w:color="auto"/>
      </w:divBdr>
    </w:div>
    <w:div w:id="410202349">
      <w:bodyDiv w:val="1"/>
      <w:marLeft w:val="0"/>
      <w:marRight w:val="0"/>
      <w:marTop w:val="0"/>
      <w:marBottom w:val="0"/>
      <w:divBdr>
        <w:top w:val="none" w:sz="0" w:space="0" w:color="auto"/>
        <w:left w:val="none" w:sz="0" w:space="0" w:color="auto"/>
        <w:bottom w:val="none" w:sz="0" w:space="0" w:color="auto"/>
        <w:right w:val="none" w:sz="0" w:space="0" w:color="auto"/>
      </w:divBdr>
    </w:div>
    <w:div w:id="429159464">
      <w:bodyDiv w:val="1"/>
      <w:marLeft w:val="0"/>
      <w:marRight w:val="0"/>
      <w:marTop w:val="0"/>
      <w:marBottom w:val="0"/>
      <w:divBdr>
        <w:top w:val="none" w:sz="0" w:space="0" w:color="auto"/>
        <w:left w:val="none" w:sz="0" w:space="0" w:color="auto"/>
        <w:bottom w:val="none" w:sz="0" w:space="0" w:color="auto"/>
        <w:right w:val="none" w:sz="0" w:space="0" w:color="auto"/>
      </w:divBdr>
    </w:div>
    <w:div w:id="436407026">
      <w:bodyDiv w:val="1"/>
      <w:marLeft w:val="0"/>
      <w:marRight w:val="0"/>
      <w:marTop w:val="0"/>
      <w:marBottom w:val="0"/>
      <w:divBdr>
        <w:top w:val="none" w:sz="0" w:space="0" w:color="auto"/>
        <w:left w:val="none" w:sz="0" w:space="0" w:color="auto"/>
        <w:bottom w:val="none" w:sz="0" w:space="0" w:color="auto"/>
        <w:right w:val="none" w:sz="0" w:space="0" w:color="auto"/>
      </w:divBdr>
      <w:divsChild>
        <w:div w:id="1953780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552840">
      <w:bodyDiv w:val="1"/>
      <w:marLeft w:val="0"/>
      <w:marRight w:val="0"/>
      <w:marTop w:val="0"/>
      <w:marBottom w:val="0"/>
      <w:divBdr>
        <w:top w:val="none" w:sz="0" w:space="0" w:color="auto"/>
        <w:left w:val="none" w:sz="0" w:space="0" w:color="auto"/>
        <w:bottom w:val="none" w:sz="0" w:space="0" w:color="auto"/>
        <w:right w:val="none" w:sz="0" w:space="0" w:color="auto"/>
      </w:divBdr>
    </w:div>
    <w:div w:id="494418015">
      <w:bodyDiv w:val="1"/>
      <w:marLeft w:val="0"/>
      <w:marRight w:val="0"/>
      <w:marTop w:val="0"/>
      <w:marBottom w:val="0"/>
      <w:divBdr>
        <w:top w:val="none" w:sz="0" w:space="0" w:color="auto"/>
        <w:left w:val="none" w:sz="0" w:space="0" w:color="auto"/>
        <w:bottom w:val="none" w:sz="0" w:space="0" w:color="auto"/>
        <w:right w:val="none" w:sz="0" w:space="0" w:color="auto"/>
      </w:divBdr>
      <w:divsChild>
        <w:div w:id="1442720678">
          <w:marLeft w:val="0"/>
          <w:marRight w:val="0"/>
          <w:marTop w:val="0"/>
          <w:marBottom w:val="0"/>
          <w:divBdr>
            <w:top w:val="none" w:sz="0" w:space="0" w:color="auto"/>
            <w:left w:val="none" w:sz="0" w:space="0" w:color="auto"/>
            <w:bottom w:val="none" w:sz="0" w:space="0" w:color="auto"/>
            <w:right w:val="none" w:sz="0" w:space="0" w:color="auto"/>
          </w:divBdr>
          <w:divsChild>
            <w:div w:id="931594249">
              <w:marLeft w:val="0"/>
              <w:marRight w:val="0"/>
              <w:marTop w:val="0"/>
              <w:marBottom w:val="0"/>
              <w:divBdr>
                <w:top w:val="none" w:sz="0" w:space="0" w:color="auto"/>
                <w:left w:val="none" w:sz="0" w:space="0" w:color="auto"/>
                <w:bottom w:val="none" w:sz="0" w:space="0" w:color="auto"/>
                <w:right w:val="none" w:sz="0" w:space="0" w:color="auto"/>
              </w:divBdr>
              <w:divsChild>
                <w:div w:id="2129811927">
                  <w:marLeft w:val="0"/>
                  <w:marRight w:val="0"/>
                  <w:marTop w:val="0"/>
                  <w:marBottom w:val="0"/>
                  <w:divBdr>
                    <w:top w:val="none" w:sz="0" w:space="0" w:color="auto"/>
                    <w:left w:val="none" w:sz="0" w:space="0" w:color="auto"/>
                    <w:bottom w:val="none" w:sz="0" w:space="0" w:color="auto"/>
                    <w:right w:val="none" w:sz="0" w:space="0" w:color="auto"/>
                  </w:divBdr>
                  <w:divsChild>
                    <w:div w:id="2094013468">
                      <w:marLeft w:val="0"/>
                      <w:marRight w:val="0"/>
                      <w:marTop w:val="0"/>
                      <w:marBottom w:val="0"/>
                      <w:divBdr>
                        <w:top w:val="none" w:sz="0" w:space="0" w:color="auto"/>
                        <w:left w:val="none" w:sz="0" w:space="0" w:color="auto"/>
                        <w:bottom w:val="none" w:sz="0" w:space="0" w:color="auto"/>
                        <w:right w:val="none" w:sz="0" w:space="0" w:color="auto"/>
                      </w:divBdr>
                      <w:divsChild>
                        <w:div w:id="504176602">
                          <w:marLeft w:val="0"/>
                          <w:marRight w:val="0"/>
                          <w:marTop w:val="0"/>
                          <w:marBottom w:val="0"/>
                          <w:divBdr>
                            <w:top w:val="none" w:sz="0" w:space="0" w:color="auto"/>
                            <w:left w:val="none" w:sz="0" w:space="0" w:color="auto"/>
                            <w:bottom w:val="none" w:sz="0" w:space="0" w:color="auto"/>
                            <w:right w:val="none" w:sz="0" w:space="0" w:color="auto"/>
                          </w:divBdr>
                          <w:divsChild>
                            <w:div w:id="18984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584817">
      <w:bodyDiv w:val="1"/>
      <w:marLeft w:val="0"/>
      <w:marRight w:val="0"/>
      <w:marTop w:val="0"/>
      <w:marBottom w:val="0"/>
      <w:divBdr>
        <w:top w:val="none" w:sz="0" w:space="0" w:color="auto"/>
        <w:left w:val="none" w:sz="0" w:space="0" w:color="auto"/>
        <w:bottom w:val="none" w:sz="0" w:space="0" w:color="auto"/>
        <w:right w:val="none" w:sz="0" w:space="0" w:color="auto"/>
      </w:divBdr>
    </w:div>
    <w:div w:id="530186855">
      <w:bodyDiv w:val="1"/>
      <w:marLeft w:val="0"/>
      <w:marRight w:val="0"/>
      <w:marTop w:val="0"/>
      <w:marBottom w:val="0"/>
      <w:divBdr>
        <w:top w:val="none" w:sz="0" w:space="0" w:color="auto"/>
        <w:left w:val="none" w:sz="0" w:space="0" w:color="auto"/>
        <w:bottom w:val="none" w:sz="0" w:space="0" w:color="auto"/>
        <w:right w:val="none" w:sz="0" w:space="0" w:color="auto"/>
      </w:divBdr>
      <w:divsChild>
        <w:div w:id="773017980">
          <w:marLeft w:val="0"/>
          <w:marRight w:val="0"/>
          <w:marTop w:val="0"/>
          <w:marBottom w:val="0"/>
          <w:divBdr>
            <w:top w:val="none" w:sz="0" w:space="0" w:color="auto"/>
            <w:left w:val="none" w:sz="0" w:space="0" w:color="auto"/>
            <w:bottom w:val="none" w:sz="0" w:space="0" w:color="auto"/>
            <w:right w:val="none" w:sz="0" w:space="0" w:color="auto"/>
          </w:divBdr>
          <w:divsChild>
            <w:div w:id="894858519">
              <w:marLeft w:val="0"/>
              <w:marRight w:val="0"/>
              <w:marTop w:val="0"/>
              <w:marBottom w:val="0"/>
              <w:divBdr>
                <w:top w:val="none" w:sz="0" w:space="0" w:color="auto"/>
                <w:left w:val="none" w:sz="0" w:space="0" w:color="auto"/>
                <w:bottom w:val="none" w:sz="0" w:space="0" w:color="auto"/>
                <w:right w:val="none" w:sz="0" w:space="0" w:color="auto"/>
              </w:divBdr>
              <w:divsChild>
                <w:div w:id="1159273398">
                  <w:marLeft w:val="0"/>
                  <w:marRight w:val="0"/>
                  <w:marTop w:val="0"/>
                  <w:marBottom w:val="0"/>
                  <w:divBdr>
                    <w:top w:val="none" w:sz="0" w:space="0" w:color="auto"/>
                    <w:left w:val="none" w:sz="0" w:space="0" w:color="auto"/>
                    <w:bottom w:val="none" w:sz="0" w:space="0" w:color="auto"/>
                    <w:right w:val="none" w:sz="0" w:space="0" w:color="auto"/>
                  </w:divBdr>
                  <w:divsChild>
                    <w:div w:id="567231741">
                      <w:marLeft w:val="0"/>
                      <w:marRight w:val="0"/>
                      <w:marTop w:val="0"/>
                      <w:marBottom w:val="0"/>
                      <w:divBdr>
                        <w:top w:val="none" w:sz="0" w:space="0" w:color="auto"/>
                        <w:left w:val="none" w:sz="0" w:space="0" w:color="auto"/>
                        <w:bottom w:val="none" w:sz="0" w:space="0" w:color="auto"/>
                        <w:right w:val="none" w:sz="0" w:space="0" w:color="auto"/>
                      </w:divBdr>
                      <w:divsChild>
                        <w:div w:id="1220626788">
                          <w:marLeft w:val="0"/>
                          <w:marRight w:val="0"/>
                          <w:marTop w:val="0"/>
                          <w:marBottom w:val="0"/>
                          <w:divBdr>
                            <w:top w:val="none" w:sz="0" w:space="0" w:color="auto"/>
                            <w:left w:val="none" w:sz="0" w:space="0" w:color="auto"/>
                            <w:bottom w:val="none" w:sz="0" w:space="0" w:color="auto"/>
                            <w:right w:val="none" w:sz="0" w:space="0" w:color="auto"/>
                          </w:divBdr>
                          <w:divsChild>
                            <w:div w:id="1091123209">
                              <w:marLeft w:val="0"/>
                              <w:marRight w:val="0"/>
                              <w:marTop w:val="0"/>
                              <w:marBottom w:val="0"/>
                              <w:divBdr>
                                <w:top w:val="none" w:sz="0" w:space="0" w:color="auto"/>
                                <w:left w:val="none" w:sz="0" w:space="0" w:color="auto"/>
                                <w:bottom w:val="none" w:sz="0" w:space="0" w:color="auto"/>
                                <w:right w:val="none" w:sz="0" w:space="0" w:color="auto"/>
                              </w:divBdr>
                              <w:divsChild>
                                <w:div w:id="59771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117561">
      <w:bodyDiv w:val="1"/>
      <w:marLeft w:val="0"/>
      <w:marRight w:val="0"/>
      <w:marTop w:val="0"/>
      <w:marBottom w:val="0"/>
      <w:divBdr>
        <w:top w:val="none" w:sz="0" w:space="0" w:color="auto"/>
        <w:left w:val="none" w:sz="0" w:space="0" w:color="auto"/>
        <w:bottom w:val="none" w:sz="0" w:space="0" w:color="auto"/>
        <w:right w:val="none" w:sz="0" w:space="0" w:color="auto"/>
      </w:divBdr>
    </w:div>
    <w:div w:id="553001721">
      <w:bodyDiv w:val="1"/>
      <w:marLeft w:val="0"/>
      <w:marRight w:val="0"/>
      <w:marTop w:val="0"/>
      <w:marBottom w:val="0"/>
      <w:divBdr>
        <w:top w:val="none" w:sz="0" w:space="0" w:color="auto"/>
        <w:left w:val="none" w:sz="0" w:space="0" w:color="auto"/>
        <w:bottom w:val="none" w:sz="0" w:space="0" w:color="auto"/>
        <w:right w:val="none" w:sz="0" w:space="0" w:color="auto"/>
      </w:divBdr>
    </w:div>
    <w:div w:id="577061725">
      <w:bodyDiv w:val="1"/>
      <w:marLeft w:val="0"/>
      <w:marRight w:val="0"/>
      <w:marTop w:val="0"/>
      <w:marBottom w:val="0"/>
      <w:divBdr>
        <w:top w:val="none" w:sz="0" w:space="0" w:color="auto"/>
        <w:left w:val="none" w:sz="0" w:space="0" w:color="auto"/>
        <w:bottom w:val="none" w:sz="0" w:space="0" w:color="auto"/>
        <w:right w:val="none" w:sz="0" w:space="0" w:color="auto"/>
      </w:divBdr>
      <w:divsChild>
        <w:div w:id="1367099708">
          <w:marLeft w:val="0"/>
          <w:marRight w:val="0"/>
          <w:marTop w:val="0"/>
          <w:marBottom w:val="0"/>
          <w:divBdr>
            <w:top w:val="none" w:sz="0" w:space="0" w:color="auto"/>
            <w:left w:val="none" w:sz="0" w:space="0" w:color="auto"/>
            <w:bottom w:val="none" w:sz="0" w:space="0" w:color="auto"/>
            <w:right w:val="none" w:sz="0" w:space="0" w:color="auto"/>
          </w:divBdr>
          <w:divsChild>
            <w:div w:id="894896975">
              <w:marLeft w:val="0"/>
              <w:marRight w:val="0"/>
              <w:marTop w:val="0"/>
              <w:marBottom w:val="0"/>
              <w:divBdr>
                <w:top w:val="none" w:sz="0" w:space="0" w:color="auto"/>
                <w:left w:val="none" w:sz="0" w:space="0" w:color="auto"/>
                <w:bottom w:val="none" w:sz="0" w:space="0" w:color="auto"/>
                <w:right w:val="none" w:sz="0" w:space="0" w:color="auto"/>
              </w:divBdr>
              <w:divsChild>
                <w:div w:id="537284732">
                  <w:marLeft w:val="0"/>
                  <w:marRight w:val="0"/>
                  <w:marTop w:val="0"/>
                  <w:marBottom w:val="0"/>
                  <w:divBdr>
                    <w:top w:val="none" w:sz="0" w:space="0" w:color="auto"/>
                    <w:left w:val="none" w:sz="0" w:space="0" w:color="auto"/>
                    <w:bottom w:val="none" w:sz="0" w:space="0" w:color="auto"/>
                    <w:right w:val="none" w:sz="0" w:space="0" w:color="auto"/>
                  </w:divBdr>
                  <w:divsChild>
                    <w:div w:id="936862971">
                      <w:marLeft w:val="0"/>
                      <w:marRight w:val="0"/>
                      <w:marTop w:val="0"/>
                      <w:marBottom w:val="0"/>
                      <w:divBdr>
                        <w:top w:val="none" w:sz="0" w:space="0" w:color="auto"/>
                        <w:left w:val="none" w:sz="0" w:space="0" w:color="auto"/>
                        <w:bottom w:val="none" w:sz="0" w:space="0" w:color="auto"/>
                        <w:right w:val="none" w:sz="0" w:space="0" w:color="auto"/>
                      </w:divBdr>
                      <w:divsChild>
                        <w:div w:id="534119656">
                          <w:marLeft w:val="0"/>
                          <w:marRight w:val="0"/>
                          <w:marTop w:val="0"/>
                          <w:marBottom w:val="0"/>
                          <w:divBdr>
                            <w:top w:val="none" w:sz="0" w:space="0" w:color="auto"/>
                            <w:left w:val="none" w:sz="0" w:space="0" w:color="auto"/>
                            <w:bottom w:val="none" w:sz="0" w:space="0" w:color="auto"/>
                            <w:right w:val="none" w:sz="0" w:space="0" w:color="auto"/>
                          </w:divBdr>
                          <w:divsChild>
                            <w:div w:id="13122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258339">
      <w:bodyDiv w:val="1"/>
      <w:marLeft w:val="0"/>
      <w:marRight w:val="0"/>
      <w:marTop w:val="0"/>
      <w:marBottom w:val="0"/>
      <w:divBdr>
        <w:top w:val="none" w:sz="0" w:space="0" w:color="auto"/>
        <w:left w:val="none" w:sz="0" w:space="0" w:color="auto"/>
        <w:bottom w:val="none" w:sz="0" w:space="0" w:color="auto"/>
        <w:right w:val="none" w:sz="0" w:space="0" w:color="auto"/>
      </w:divBdr>
      <w:divsChild>
        <w:div w:id="663437421">
          <w:marLeft w:val="0"/>
          <w:marRight w:val="0"/>
          <w:marTop w:val="0"/>
          <w:marBottom w:val="0"/>
          <w:divBdr>
            <w:top w:val="none" w:sz="0" w:space="0" w:color="auto"/>
            <w:left w:val="none" w:sz="0" w:space="0" w:color="auto"/>
            <w:bottom w:val="none" w:sz="0" w:space="0" w:color="auto"/>
            <w:right w:val="none" w:sz="0" w:space="0" w:color="auto"/>
          </w:divBdr>
          <w:divsChild>
            <w:div w:id="1164249503">
              <w:marLeft w:val="0"/>
              <w:marRight w:val="0"/>
              <w:marTop w:val="0"/>
              <w:marBottom w:val="0"/>
              <w:divBdr>
                <w:top w:val="none" w:sz="0" w:space="0" w:color="auto"/>
                <w:left w:val="none" w:sz="0" w:space="0" w:color="auto"/>
                <w:bottom w:val="none" w:sz="0" w:space="0" w:color="auto"/>
                <w:right w:val="none" w:sz="0" w:space="0" w:color="auto"/>
              </w:divBdr>
              <w:divsChild>
                <w:div w:id="216206188">
                  <w:marLeft w:val="0"/>
                  <w:marRight w:val="0"/>
                  <w:marTop w:val="0"/>
                  <w:marBottom w:val="0"/>
                  <w:divBdr>
                    <w:top w:val="none" w:sz="0" w:space="0" w:color="auto"/>
                    <w:left w:val="none" w:sz="0" w:space="0" w:color="auto"/>
                    <w:bottom w:val="none" w:sz="0" w:space="0" w:color="auto"/>
                    <w:right w:val="none" w:sz="0" w:space="0" w:color="auto"/>
                  </w:divBdr>
                  <w:divsChild>
                    <w:div w:id="2074963596">
                      <w:marLeft w:val="0"/>
                      <w:marRight w:val="0"/>
                      <w:marTop w:val="0"/>
                      <w:marBottom w:val="0"/>
                      <w:divBdr>
                        <w:top w:val="none" w:sz="0" w:space="0" w:color="auto"/>
                        <w:left w:val="none" w:sz="0" w:space="0" w:color="auto"/>
                        <w:bottom w:val="none" w:sz="0" w:space="0" w:color="auto"/>
                        <w:right w:val="none" w:sz="0" w:space="0" w:color="auto"/>
                      </w:divBdr>
                      <w:divsChild>
                        <w:div w:id="129904353">
                          <w:marLeft w:val="0"/>
                          <w:marRight w:val="0"/>
                          <w:marTop w:val="0"/>
                          <w:marBottom w:val="0"/>
                          <w:divBdr>
                            <w:top w:val="none" w:sz="0" w:space="0" w:color="auto"/>
                            <w:left w:val="none" w:sz="0" w:space="0" w:color="auto"/>
                            <w:bottom w:val="none" w:sz="0" w:space="0" w:color="auto"/>
                            <w:right w:val="none" w:sz="0" w:space="0" w:color="auto"/>
                          </w:divBdr>
                          <w:divsChild>
                            <w:div w:id="1636832568">
                              <w:marLeft w:val="0"/>
                              <w:marRight w:val="0"/>
                              <w:marTop w:val="0"/>
                              <w:marBottom w:val="0"/>
                              <w:divBdr>
                                <w:top w:val="none" w:sz="0" w:space="0" w:color="auto"/>
                                <w:left w:val="none" w:sz="0" w:space="0" w:color="auto"/>
                                <w:bottom w:val="none" w:sz="0" w:space="0" w:color="auto"/>
                                <w:right w:val="none" w:sz="0" w:space="0" w:color="auto"/>
                              </w:divBdr>
                              <w:divsChild>
                                <w:div w:id="457840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731389">
      <w:bodyDiv w:val="1"/>
      <w:marLeft w:val="0"/>
      <w:marRight w:val="0"/>
      <w:marTop w:val="0"/>
      <w:marBottom w:val="0"/>
      <w:divBdr>
        <w:top w:val="none" w:sz="0" w:space="0" w:color="auto"/>
        <w:left w:val="none" w:sz="0" w:space="0" w:color="auto"/>
        <w:bottom w:val="none" w:sz="0" w:space="0" w:color="auto"/>
        <w:right w:val="none" w:sz="0" w:space="0" w:color="auto"/>
      </w:divBdr>
    </w:div>
    <w:div w:id="596253317">
      <w:bodyDiv w:val="1"/>
      <w:marLeft w:val="0"/>
      <w:marRight w:val="0"/>
      <w:marTop w:val="0"/>
      <w:marBottom w:val="0"/>
      <w:divBdr>
        <w:top w:val="none" w:sz="0" w:space="0" w:color="auto"/>
        <w:left w:val="none" w:sz="0" w:space="0" w:color="auto"/>
        <w:bottom w:val="none" w:sz="0" w:space="0" w:color="auto"/>
        <w:right w:val="none" w:sz="0" w:space="0" w:color="auto"/>
      </w:divBdr>
    </w:div>
    <w:div w:id="609701789">
      <w:bodyDiv w:val="1"/>
      <w:marLeft w:val="0"/>
      <w:marRight w:val="0"/>
      <w:marTop w:val="0"/>
      <w:marBottom w:val="0"/>
      <w:divBdr>
        <w:top w:val="none" w:sz="0" w:space="0" w:color="auto"/>
        <w:left w:val="none" w:sz="0" w:space="0" w:color="auto"/>
        <w:bottom w:val="none" w:sz="0" w:space="0" w:color="auto"/>
        <w:right w:val="none" w:sz="0" w:space="0" w:color="auto"/>
      </w:divBdr>
    </w:div>
    <w:div w:id="615872096">
      <w:bodyDiv w:val="1"/>
      <w:marLeft w:val="0"/>
      <w:marRight w:val="0"/>
      <w:marTop w:val="0"/>
      <w:marBottom w:val="0"/>
      <w:divBdr>
        <w:top w:val="none" w:sz="0" w:space="0" w:color="auto"/>
        <w:left w:val="none" w:sz="0" w:space="0" w:color="auto"/>
        <w:bottom w:val="none" w:sz="0" w:space="0" w:color="auto"/>
        <w:right w:val="none" w:sz="0" w:space="0" w:color="auto"/>
      </w:divBdr>
    </w:div>
    <w:div w:id="627585630">
      <w:bodyDiv w:val="1"/>
      <w:marLeft w:val="0"/>
      <w:marRight w:val="0"/>
      <w:marTop w:val="0"/>
      <w:marBottom w:val="0"/>
      <w:divBdr>
        <w:top w:val="none" w:sz="0" w:space="0" w:color="auto"/>
        <w:left w:val="none" w:sz="0" w:space="0" w:color="auto"/>
        <w:bottom w:val="none" w:sz="0" w:space="0" w:color="auto"/>
        <w:right w:val="none" w:sz="0" w:space="0" w:color="auto"/>
      </w:divBdr>
      <w:divsChild>
        <w:div w:id="1246920600">
          <w:marLeft w:val="0"/>
          <w:marRight w:val="0"/>
          <w:marTop w:val="0"/>
          <w:marBottom w:val="0"/>
          <w:divBdr>
            <w:top w:val="none" w:sz="0" w:space="0" w:color="auto"/>
            <w:left w:val="none" w:sz="0" w:space="0" w:color="auto"/>
            <w:bottom w:val="none" w:sz="0" w:space="0" w:color="auto"/>
            <w:right w:val="none" w:sz="0" w:space="0" w:color="auto"/>
          </w:divBdr>
          <w:divsChild>
            <w:div w:id="596209367">
              <w:marLeft w:val="0"/>
              <w:marRight w:val="0"/>
              <w:marTop w:val="0"/>
              <w:marBottom w:val="0"/>
              <w:divBdr>
                <w:top w:val="none" w:sz="0" w:space="0" w:color="auto"/>
                <w:left w:val="none" w:sz="0" w:space="0" w:color="auto"/>
                <w:bottom w:val="none" w:sz="0" w:space="0" w:color="auto"/>
                <w:right w:val="none" w:sz="0" w:space="0" w:color="auto"/>
              </w:divBdr>
              <w:divsChild>
                <w:div w:id="1393845189">
                  <w:marLeft w:val="0"/>
                  <w:marRight w:val="0"/>
                  <w:marTop w:val="0"/>
                  <w:marBottom w:val="0"/>
                  <w:divBdr>
                    <w:top w:val="none" w:sz="0" w:space="0" w:color="auto"/>
                    <w:left w:val="none" w:sz="0" w:space="0" w:color="auto"/>
                    <w:bottom w:val="none" w:sz="0" w:space="0" w:color="auto"/>
                    <w:right w:val="none" w:sz="0" w:space="0" w:color="auto"/>
                  </w:divBdr>
                  <w:divsChild>
                    <w:div w:id="1052341392">
                      <w:marLeft w:val="0"/>
                      <w:marRight w:val="0"/>
                      <w:marTop w:val="0"/>
                      <w:marBottom w:val="0"/>
                      <w:divBdr>
                        <w:top w:val="none" w:sz="0" w:space="0" w:color="auto"/>
                        <w:left w:val="none" w:sz="0" w:space="0" w:color="auto"/>
                        <w:bottom w:val="none" w:sz="0" w:space="0" w:color="auto"/>
                        <w:right w:val="none" w:sz="0" w:space="0" w:color="auto"/>
                      </w:divBdr>
                      <w:divsChild>
                        <w:div w:id="303319807">
                          <w:marLeft w:val="0"/>
                          <w:marRight w:val="0"/>
                          <w:marTop w:val="0"/>
                          <w:marBottom w:val="0"/>
                          <w:divBdr>
                            <w:top w:val="none" w:sz="0" w:space="0" w:color="auto"/>
                            <w:left w:val="none" w:sz="0" w:space="0" w:color="auto"/>
                            <w:bottom w:val="none" w:sz="0" w:space="0" w:color="auto"/>
                            <w:right w:val="none" w:sz="0" w:space="0" w:color="auto"/>
                          </w:divBdr>
                          <w:divsChild>
                            <w:div w:id="199649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972406">
      <w:bodyDiv w:val="1"/>
      <w:marLeft w:val="0"/>
      <w:marRight w:val="0"/>
      <w:marTop w:val="0"/>
      <w:marBottom w:val="0"/>
      <w:divBdr>
        <w:top w:val="none" w:sz="0" w:space="0" w:color="auto"/>
        <w:left w:val="none" w:sz="0" w:space="0" w:color="auto"/>
        <w:bottom w:val="none" w:sz="0" w:space="0" w:color="auto"/>
        <w:right w:val="none" w:sz="0" w:space="0" w:color="auto"/>
      </w:divBdr>
      <w:divsChild>
        <w:div w:id="1169976712">
          <w:marLeft w:val="0"/>
          <w:marRight w:val="0"/>
          <w:marTop w:val="0"/>
          <w:marBottom w:val="0"/>
          <w:divBdr>
            <w:top w:val="none" w:sz="0" w:space="0" w:color="auto"/>
            <w:left w:val="none" w:sz="0" w:space="0" w:color="auto"/>
            <w:bottom w:val="none" w:sz="0" w:space="0" w:color="auto"/>
            <w:right w:val="none" w:sz="0" w:space="0" w:color="auto"/>
          </w:divBdr>
          <w:divsChild>
            <w:div w:id="265699304">
              <w:marLeft w:val="0"/>
              <w:marRight w:val="0"/>
              <w:marTop w:val="0"/>
              <w:marBottom w:val="0"/>
              <w:divBdr>
                <w:top w:val="none" w:sz="0" w:space="0" w:color="auto"/>
                <w:left w:val="none" w:sz="0" w:space="0" w:color="auto"/>
                <w:bottom w:val="none" w:sz="0" w:space="0" w:color="auto"/>
                <w:right w:val="none" w:sz="0" w:space="0" w:color="auto"/>
              </w:divBdr>
              <w:divsChild>
                <w:div w:id="1636789906">
                  <w:marLeft w:val="0"/>
                  <w:marRight w:val="0"/>
                  <w:marTop w:val="0"/>
                  <w:marBottom w:val="0"/>
                  <w:divBdr>
                    <w:top w:val="none" w:sz="0" w:space="0" w:color="auto"/>
                    <w:left w:val="none" w:sz="0" w:space="0" w:color="auto"/>
                    <w:bottom w:val="none" w:sz="0" w:space="0" w:color="auto"/>
                    <w:right w:val="none" w:sz="0" w:space="0" w:color="auto"/>
                  </w:divBdr>
                  <w:divsChild>
                    <w:div w:id="71585770">
                      <w:marLeft w:val="0"/>
                      <w:marRight w:val="0"/>
                      <w:marTop w:val="0"/>
                      <w:marBottom w:val="0"/>
                      <w:divBdr>
                        <w:top w:val="none" w:sz="0" w:space="0" w:color="auto"/>
                        <w:left w:val="none" w:sz="0" w:space="0" w:color="auto"/>
                        <w:bottom w:val="none" w:sz="0" w:space="0" w:color="auto"/>
                        <w:right w:val="none" w:sz="0" w:space="0" w:color="auto"/>
                      </w:divBdr>
                      <w:divsChild>
                        <w:div w:id="1672098699">
                          <w:marLeft w:val="0"/>
                          <w:marRight w:val="0"/>
                          <w:marTop w:val="0"/>
                          <w:marBottom w:val="0"/>
                          <w:divBdr>
                            <w:top w:val="none" w:sz="0" w:space="0" w:color="auto"/>
                            <w:left w:val="none" w:sz="0" w:space="0" w:color="auto"/>
                            <w:bottom w:val="none" w:sz="0" w:space="0" w:color="auto"/>
                            <w:right w:val="none" w:sz="0" w:space="0" w:color="auto"/>
                          </w:divBdr>
                          <w:divsChild>
                            <w:div w:id="8607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438143">
      <w:bodyDiv w:val="1"/>
      <w:marLeft w:val="0"/>
      <w:marRight w:val="0"/>
      <w:marTop w:val="0"/>
      <w:marBottom w:val="0"/>
      <w:divBdr>
        <w:top w:val="none" w:sz="0" w:space="0" w:color="auto"/>
        <w:left w:val="none" w:sz="0" w:space="0" w:color="auto"/>
        <w:bottom w:val="none" w:sz="0" w:space="0" w:color="auto"/>
        <w:right w:val="none" w:sz="0" w:space="0" w:color="auto"/>
      </w:divBdr>
    </w:div>
    <w:div w:id="667368000">
      <w:bodyDiv w:val="1"/>
      <w:marLeft w:val="0"/>
      <w:marRight w:val="0"/>
      <w:marTop w:val="0"/>
      <w:marBottom w:val="0"/>
      <w:divBdr>
        <w:top w:val="none" w:sz="0" w:space="0" w:color="auto"/>
        <w:left w:val="none" w:sz="0" w:space="0" w:color="auto"/>
        <w:bottom w:val="none" w:sz="0" w:space="0" w:color="auto"/>
        <w:right w:val="none" w:sz="0" w:space="0" w:color="auto"/>
      </w:divBdr>
      <w:divsChild>
        <w:div w:id="768742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5621151">
      <w:bodyDiv w:val="1"/>
      <w:marLeft w:val="0"/>
      <w:marRight w:val="0"/>
      <w:marTop w:val="0"/>
      <w:marBottom w:val="0"/>
      <w:divBdr>
        <w:top w:val="none" w:sz="0" w:space="0" w:color="auto"/>
        <w:left w:val="none" w:sz="0" w:space="0" w:color="auto"/>
        <w:bottom w:val="none" w:sz="0" w:space="0" w:color="auto"/>
        <w:right w:val="none" w:sz="0" w:space="0" w:color="auto"/>
      </w:divBdr>
      <w:divsChild>
        <w:div w:id="810367471">
          <w:marLeft w:val="0"/>
          <w:marRight w:val="0"/>
          <w:marTop w:val="0"/>
          <w:marBottom w:val="300"/>
          <w:divBdr>
            <w:top w:val="single" w:sz="6" w:space="0" w:color="DDDDDD"/>
            <w:left w:val="single" w:sz="6" w:space="0" w:color="DDDDDD"/>
            <w:bottom w:val="single" w:sz="6" w:space="0" w:color="DDDDDD"/>
            <w:right w:val="single" w:sz="6" w:space="0" w:color="DDDDDD"/>
          </w:divBdr>
          <w:divsChild>
            <w:div w:id="1073042022">
              <w:marLeft w:val="0"/>
              <w:marRight w:val="0"/>
              <w:marTop w:val="0"/>
              <w:marBottom w:val="0"/>
              <w:divBdr>
                <w:top w:val="none" w:sz="0" w:space="0" w:color="auto"/>
                <w:left w:val="none" w:sz="0" w:space="0" w:color="auto"/>
                <w:bottom w:val="none" w:sz="0" w:space="0" w:color="auto"/>
                <w:right w:val="none" w:sz="0" w:space="0" w:color="auto"/>
              </w:divBdr>
              <w:divsChild>
                <w:div w:id="502163335">
                  <w:marLeft w:val="-225"/>
                  <w:marRight w:val="-225"/>
                  <w:marTop w:val="0"/>
                  <w:marBottom w:val="0"/>
                  <w:divBdr>
                    <w:top w:val="none" w:sz="0" w:space="0" w:color="auto"/>
                    <w:left w:val="none" w:sz="0" w:space="0" w:color="auto"/>
                    <w:bottom w:val="none" w:sz="0" w:space="0" w:color="auto"/>
                    <w:right w:val="none" w:sz="0" w:space="0" w:color="auto"/>
                  </w:divBdr>
                  <w:divsChild>
                    <w:div w:id="1845315997">
                      <w:marLeft w:val="0"/>
                      <w:marRight w:val="0"/>
                      <w:marTop w:val="0"/>
                      <w:marBottom w:val="0"/>
                      <w:divBdr>
                        <w:top w:val="none" w:sz="0" w:space="0" w:color="auto"/>
                        <w:left w:val="none" w:sz="0" w:space="0" w:color="auto"/>
                        <w:bottom w:val="none" w:sz="0" w:space="0" w:color="auto"/>
                        <w:right w:val="none" w:sz="0" w:space="0" w:color="auto"/>
                      </w:divBdr>
                      <w:divsChild>
                        <w:div w:id="1216698811">
                          <w:marLeft w:val="-225"/>
                          <w:marRight w:val="-225"/>
                          <w:marTop w:val="0"/>
                          <w:marBottom w:val="0"/>
                          <w:divBdr>
                            <w:top w:val="none" w:sz="0" w:space="0" w:color="auto"/>
                            <w:left w:val="none" w:sz="0" w:space="0" w:color="auto"/>
                            <w:bottom w:val="none" w:sz="0" w:space="0" w:color="auto"/>
                            <w:right w:val="none" w:sz="0" w:space="0" w:color="auto"/>
                          </w:divBdr>
                          <w:divsChild>
                            <w:div w:id="1906254565">
                              <w:marLeft w:val="0"/>
                              <w:marRight w:val="0"/>
                              <w:marTop w:val="0"/>
                              <w:marBottom w:val="0"/>
                              <w:divBdr>
                                <w:top w:val="none" w:sz="0" w:space="0" w:color="auto"/>
                                <w:left w:val="none" w:sz="0" w:space="0" w:color="auto"/>
                                <w:bottom w:val="none" w:sz="0" w:space="0" w:color="auto"/>
                                <w:right w:val="none" w:sz="0" w:space="0" w:color="auto"/>
                              </w:divBdr>
                              <w:divsChild>
                                <w:div w:id="962149503">
                                  <w:marLeft w:val="-225"/>
                                  <w:marRight w:val="-225"/>
                                  <w:marTop w:val="0"/>
                                  <w:marBottom w:val="0"/>
                                  <w:divBdr>
                                    <w:top w:val="none" w:sz="0" w:space="0" w:color="auto"/>
                                    <w:left w:val="none" w:sz="0" w:space="0" w:color="auto"/>
                                    <w:bottom w:val="none" w:sz="0" w:space="0" w:color="auto"/>
                                    <w:right w:val="none" w:sz="0" w:space="0" w:color="auto"/>
                                  </w:divBdr>
                                  <w:divsChild>
                                    <w:div w:id="419646331">
                                      <w:marLeft w:val="-225"/>
                                      <w:marRight w:val="0"/>
                                      <w:marTop w:val="0"/>
                                      <w:marBottom w:val="0"/>
                                      <w:divBdr>
                                        <w:top w:val="none" w:sz="0" w:space="0" w:color="auto"/>
                                        <w:left w:val="none" w:sz="0" w:space="0" w:color="auto"/>
                                        <w:bottom w:val="none" w:sz="0" w:space="0" w:color="auto"/>
                                        <w:right w:val="none" w:sz="0" w:space="0" w:color="auto"/>
                                      </w:divBdr>
                                      <w:divsChild>
                                        <w:div w:id="1998915644">
                                          <w:marLeft w:val="0"/>
                                          <w:marRight w:val="0"/>
                                          <w:marTop w:val="0"/>
                                          <w:marBottom w:val="0"/>
                                          <w:divBdr>
                                            <w:top w:val="none" w:sz="0" w:space="0" w:color="auto"/>
                                            <w:left w:val="none" w:sz="0" w:space="0" w:color="auto"/>
                                            <w:bottom w:val="none" w:sz="0" w:space="0" w:color="auto"/>
                                            <w:right w:val="none" w:sz="0" w:space="0" w:color="auto"/>
                                          </w:divBdr>
                                        </w:div>
                                        <w:div w:id="1901016348">
                                          <w:marLeft w:val="0"/>
                                          <w:marRight w:val="0"/>
                                          <w:marTop w:val="0"/>
                                          <w:marBottom w:val="0"/>
                                          <w:divBdr>
                                            <w:top w:val="none" w:sz="0" w:space="0" w:color="auto"/>
                                            <w:left w:val="none" w:sz="0" w:space="0" w:color="auto"/>
                                            <w:bottom w:val="none" w:sz="0" w:space="0" w:color="auto"/>
                                            <w:right w:val="none" w:sz="0" w:space="0" w:color="auto"/>
                                          </w:divBdr>
                                          <w:divsChild>
                                            <w:div w:id="2056927859">
                                              <w:marLeft w:val="-225"/>
                                              <w:marRight w:val="-225"/>
                                              <w:marTop w:val="0"/>
                                              <w:marBottom w:val="0"/>
                                              <w:divBdr>
                                                <w:top w:val="none" w:sz="0" w:space="0" w:color="auto"/>
                                                <w:left w:val="none" w:sz="0" w:space="0" w:color="auto"/>
                                                <w:bottom w:val="none" w:sz="0" w:space="0" w:color="auto"/>
                                                <w:right w:val="none" w:sz="0" w:space="0" w:color="auto"/>
                                              </w:divBdr>
                                              <w:divsChild>
                                                <w:div w:id="20914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8851432">
      <w:bodyDiv w:val="1"/>
      <w:marLeft w:val="0"/>
      <w:marRight w:val="0"/>
      <w:marTop w:val="0"/>
      <w:marBottom w:val="0"/>
      <w:divBdr>
        <w:top w:val="none" w:sz="0" w:space="0" w:color="auto"/>
        <w:left w:val="none" w:sz="0" w:space="0" w:color="auto"/>
        <w:bottom w:val="none" w:sz="0" w:space="0" w:color="auto"/>
        <w:right w:val="none" w:sz="0" w:space="0" w:color="auto"/>
      </w:divBdr>
    </w:div>
    <w:div w:id="705107380">
      <w:bodyDiv w:val="1"/>
      <w:marLeft w:val="0"/>
      <w:marRight w:val="0"/>
      <w:marTop w:val="0"/>
      <w:marBottom w:val="0"/>
      <w:divBdr>
        <w:top w:val="none" w:sz="0" w:space="0" w:color="auto"/>
        <w:left w:val="none" w:sz="0" w:space="0" w:color="auto"/>
        <w:bottom w:val="none" w:sz="0" w:space="0" w:color="auto"/>
        <w:right w:val="none" w:sz="0" w:space="0" w:color="auto"/>
      </w:divBdr>
      <w:divsChild>
        <w:div w:id="1620918845">
          <w:marLeft w:val="0"/>
          <w:marRight w:val="0"/>
          <w:marTop w:val="0"/>
          <w:marBottom w:val="0"/>
          <w:divBdr>
            <w:top w:val="none" w:sz="0" w:space="0" w:color="auto"/>
            <w:left w:val="none" w:sz="0" w:space="0" w:color="auto"/>
            <w:bottom w:val="none" w:sz="0" w:space="0" w:color="auto"/>
            <w:right w:val="none" w:sz="0" w:space="0" w:color="auto"/>
          </w:divBdr>
          <w:divsChild>
            <w:div w:id="1260329401">
              <w:marLeft w:val="0"/>
              <w:marRight w:val="0"/>
              <w:marTop w:val="0"/>
              <w:marBottom w:val="0"/>
              <w:divBdr>
                <w:top w:val="none" w:sz="0" w:space="0" w:color="auto"/>
                <w:left w:val="none" w:sz="0" w:space="0" w:color="auto"/>
                <w:bottom w:val="none" w:sz="0" w:space="0" w:color="auto"/>
                <w:right w:val="none" w:sz="0" w:space="0" w:color="auto"/>
              </w:divBdr>
              <w:divsChild>
                <w:div w:id="1981617652">
                  <w:marLeft w:val="0"/>
                  <w:marRight w:val="0"/>
                  <w:marTop w:val="0"/>
                  <w:marBottom w:val="0"/>
                  <w:divBdr>
                    <w:top w:val="none" w:sz="0" w:space="0" w:color="auto"/>
                    <w:left w:val="none" w:sz="0" w:space="0" w:color="auto"/>
                    <w:bottom w:val="none" w:sz="0" w:space="0" w:color="auto"/>
                    <w:right w:val="none" w:sz="0" w:space="0" w:color="auto"/>
                  </w:divBdr>
                  <w:divsChild>
                    <w:div w:id="1824078501">
                      <w:marLeft w:val="0"/>
                      <w:marRight w:val="0"/>
                      <w:marTop w:val="0"/>
                      <w:marBottom w:val="0"/>
                      <w:divBdr>
                        <w:top w:val="none" w:sz="0" w:space="0" w:color="auto"/>
                        <w:left w:val="none" w:sz="0" w:space="0" w:color="auto"/>
                        <w:bottom w:val="none" w:sz="0" w:space="0" w:color="auto"/>
                        <w:right w:val="none" w:sz="0" w:space="0" w:color="auto"/>
                      </w:divBdr>
                      <w:divsChild>
                        <w:div w:id="965235397">
                          <w:marLeft w:val="0"/>
                          <w:marRight w:val="0"/>
                          <w:marTop w:val="0"/>
                          <w:marBottom w:val="0"/>
                          <w:divBdr>
                            <w:top w:val="none" w:sz="0" w:space="0" w:color="auto"/>
                            <w:left w:val="none" w:sz="0" w:space="0" w:color="auto"/>
                            <w:bottom w:val="none" w:sz="0" w:space="0" w:color="auto"/>
                            <w:right w:val="none" w:sz="0" w:space="0" w:color="auto"/>
                          </w:divBdr>
                          <w:divsChild>
                            <w:div w:id="2316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085583">
      <w:bodyDiv w:val="1"/>
      <w:marLeft w:val="0"/>
      <w:marRight w:val="0"/>
      <w:marTop w:val="0"/>
      <w:marBottom w:val="0"/>
      <w:divBdr>
        <w:top w:val="none" w:sz="0" w:space="0" w:color="auto"/>
        <w:left w:val="none" w:sz="0" w:space="0" w:color="auto"/>
        <w:bottom w:val="none" w:sz="0" w:space="0" w:color="auto"/>
        <w:right w:val="none" w:sz="0" w:space="0" w:color="auto"/>
      </w:divBdr>
    </w:div>
    <w:div w:id="715661788">
      <w:bodyDiv w:val="1"/>
      <w:marLeft w:val="0"/>
      <w:marRight w:val="0"/>
      <w:marTop w:val="0"/>
      <w:marBottom w:val="0"/>
      <w:divBdr>
        <w:top w:val="none" w:sz="0" w:space="0" w:color="auto"/>
        <w:left w:val="none" w:sz="0" w:space="0" w:color="auto"/>
        <w:bottom w:val="none" w:sz="0" w:space="0" w:color="auto"/>
        <w:right w:val="none" w:sz="0" w:space="0" w:color="auto"/>
      </w:divBdr>
    </w:div>
    <w:div w:id="718436076">
      <w:bodyDiv w:val="1"/>
      <w:marLeft w:val="0"/>
      <w:marRight w:val="0"/>
      <w:marTop w:val="0"/>
      <w:marBottom w:val="0"/>
      <w:divBdr>
        <w:top w:val="none" w:sz="0" w:space="0" w:color="auto"/>
        <w:left w:val="none" w:sz="0" w:space="0" w:color="auto"/>
        <w:bottom w:val="none" w:sz="0" w:space="0" w:color="auto"/>
        <w:right w:val="none" w:sz="0" w:space="0" w:color="auto"/>
      </w:divBdr>
      <w:divsChild>
        <w:div w:id="136801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1709800">
      <w:bodyDiv w:val="1"/>
      <w:marLeft w:val="0"/>
      <w:marRight w:val="0"/>
      <w:marTop w:val="0"/>
      <w:marBottom w:val="0"/>
      <w:divBdr>
        <w:top w:val="none" w:sz="0" w:space="0" w:color="auto"/>
        <w:left w:val="none" w:sz="0" w:space="0" w:color="auto"/>
        <w:bottom w:val="none" w:sz="0" w:space="0" w:color="auto"/>
        <w:right w:val="none" w:sz="0" w:space="0" w:color="auto"/>
      </w:divBdr>
    </w:div>
    <w:div w:id="726535505">
      <w:bodyDiv w:val="1"/>
      <w:marLeft w:val="0"/>
      <w:marRight w:val="0"/>
      <w:marTop w:val="0"/>
      <w:marBottom w:val="0"/>
      <w:divBdr>
        <w:top w:val="none" w:sz="0" w:space="0" w:color="auto"/>
        <w:left w:val="none" w:sz="0" w:space="0" w:color="auto"/>
        <w:bottom w:val="none" w:sz="0" w:space="0" w:color="auto"/>
        <w:right w:val="none" w:sz="0" w:space="0" w:color="auto"/>
      </w:divBdr>
    </w:div>
    <w:div w:id="729420474">
      <w:bodyDiv w:val="1"/>
      <w:marLeft w:val="0"/>
      <w:marRight w:val="0"/>
      <w:marTop w:val="0"/>
      <w:marBottom w:val="0"/>
      <w:divBdr>
        <w:top w:val="none" w:sz="0" w:space="0" w:color="auto"/>
        <w:left w:val="none" w:sz="0" w:space="0" w:color="auto"/>
        <w:bottom w:val="none" w:sz="0" w:space="0" w:color="auto"/>
        <w:right w:val="none" w:sz="0" w:space="0" w:color="auto"/>
      </w:divBdr>
    </w:div>
    <w:div w:id="729619522">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40173275">
      <w:bodyDiv w:val="1"/>
      <w:marLeft w:val="0"/>
      <w:marRight w:val="0"/>
      <w:marTop w:val="0"/>
      <w:marBottom w:val="0"/>
      <w:divBdr>
        <w:top w:val="none" w:sz="0" w:space="0" w:color="auto"/>
        <w:left w:val="none" w:sz="0" w:space="0" w:color="auto"/>
        <w:bottom w:val="none" w:sz="0" w:space="0" w:color="auto"/>
        <w:right w:val="none" w:sz="0" w:space="0" w:color="auto"/>
      </w:divBdr>
    </w:div>
    <w:div w:id="745372802">
      <w:bodyDiv w:val="1"/>
      <w:marLeft w:val="0"/>
      <w:marRight w:val="0"/>
      <w:marTop w:val="0"/>
      <w:marBottom w:val="0"/>
      <w:divBdr>
        <w:top w:val="none" w:sz="0" w:space="0" w:color="auto"/>
        <w:left w:val="none" w:sz="0" w:space="0" w:color="auto"/>
        <w:bottom w:val="none" w:sz="0" w:space="0" w:color="auto"/>
        <w:right w:val="none" w:sz="0" w:space="0" w:color="auto"/>
      </w:divBdr>
      <w:divsChild>
        <w:div w:id="618220310">
          <w:marLeft w:val="0"/>
          <w:marRight w:val="0"/>
          <w:marTop w:val="0"/>
          <w:marBottom w:val="300"/>
          <w:divBdr>
            <w:top w:val="single" w:sz="6" w:space="0" w:color="DDDDDD"/>
            <w:left w:val="single" w:sz="6" w:space="0" w:color="DDDDDD"/>
            <w:bottom w:val="single" w:sz="6" w:space="0" w:color="DDDDDD"/>
            <w:right w:val="single" w:sz="6" w:space="0" w:color="DDDDDD"/>
          </w:divBdr>
          <w:divsChild>
            <w:div w:id="1122335437">
              <w:marLeft w:val="0"/>
              <w:marRight w:val="0"/>
              <w:marTop w:val="0"/>
              <w:marBottom w:val="0"/>
              <w:divBdr>
                <w:top w:val="none" w:sz="0" w:space="0" w:color="auto"/>
                <w:left w:val="none" w:sz="0" w:space="0" w:color="auto"/>
                <w:bottom w:val="none" w:sz="0" w:space="0" w:color="auto"/>
                <w:right w:val="none" w:sz="0" w:space="0" w:color="auto"/>
              </w:divBdr>
              <w:divsChild>
                <w:div w:id="1114137692">
                  <w:marLeft w:val="-225"/>
                  <w:marRight w:val="-225"/>
                  <w:marTop w:val="0"/>
                  <w:marBottom w:val="0"/>
                  <w:divBdr>
                    <w:top w:val="none" w:sz="0" w:space="0" w:color="auto"/>
                    <w:left w:val="none" w:sz="0" w:space="0" w:color="auto"/>
                    <w:bottom w:val="none" w:sz="0" w:space="0" w:color="auto"/>
                    <w:right w:val="none" w:sz="0" w:space="0" w:color="auto"/>
                  </w:divBdr>
                  <w:divsChild>
                    <w:div w:id="1844516524">
                      <w:marLeft w:val="0"/>
                      <w:marRight w:val="0"/>
                      <w:marTop w:val="0"/>
                      <w:marBottom w:val="0"/>
                      <w:divBdr>
                        <w:top w:val="none" w:sz="0" w:space="0" w:color="auto"/>
                        <w:left w:val="none" w:sz="0" w:space="0" w:color="auto"/>
                        <w:bottom w:val="none" w:sz="0" w:space="0" w:color="auto"/>
                        <w:right w:val="none" w:sz="0" w:space="0" w:color="auto"/>
                      </w:divBdr>
                      <w:divsChild>
                        <w:div w:id="142430100">
                          <w:marLeft w:val="-225"/>
                          <w:marRight w:val="-225"/>
                          <w:marTop w:val="0"/>
                          <w:marBottom w:val="0"/>
                          <w:divBdr>
                            <w:top w:val="none" w:sz="0" w:space="0" w:color="auto"/>
                            <w:left w:val="none" w:sz="0" w:space="0" w:color="auto"/>
                            <w:bottom w:val="none" w:sz="0" w:space="0" w:color="auto"/>
                            <w:right w:val="none" w:sz="0" w:space="0" w:color="auto"/>
                          </w:divBdr>
                          <w:divsChild>
                            <w:div w:id="417945457">
                              <w:marLeft w:val="0"/>
                              <w:marRight w:val="0"/>
                              <w:marTop w:val="0"/>
                              <w:marBottom w:val="0"/>
                              <w:divBdr>
                                <w:top w:val="none" w:sz="0" w:space="0" w:color="auto"/>
                                <w:left w:val="none" w:sz="0" w:space="0" w:color="auto"/>
                                <w:bottom w:val="none" w:sz="0" w:space="0" w:color="auto"/>
                                <w:right w:val="none" w:sz="0" w:space="0" w:color="auto"/>
                              </w:divBdr>
                              <w:divsChild>
                                <w:div w:id="1694459772">
                                  <w:marLeft w:val="-225"/>
                                  <w:marRight w:val="-225"/>
                                  <w:marTop w:val="0"/>
                                  <w:marBottom w:val="0"/>
                                  <w:divBdr>
                                    <w:top w:val="none" w:sz="0" w:space="0" w:color="auto"/>
                                    <w:left w:val="none" w:sz="0" w:space="0" w:color="auto"/>
                                    <w:bottom w:val="none" w:sz="0" w:space="0" w:color="auto"/>
                                    <w:right w:val="none" w:sz="0" w:space="0" w:color="auto"/>
                                  </w:divBdr>
                                  <w:divsChild>
                                    <w:div w:id="1680742421">
                                      <w:marLeft w:val="-225"/>
                                      <w:marRight w:val="0"/>
                                      <w:marTop w:val="0"/>
                                      <w:marBottom w:val="0"/>
                                      <w:divBdr>
                                        <w:top w:val="none" w:sz="0" w:space="0" w:color="auto"/>
                                        <w:left w:val="none" w:sz="0" w:space="0" w:color="auto"/>
                                        <w:bottom w:val="none" w:sz="0" w:space="0" w:color="auto"/>
                                        <w:right w:val="none" w:sz="0" w:space="0" w:color="auto"/>
                                      </w:divBdr>
                                      <w:divsChild>
                                        <w:div w:id="1686707375">
                                          <w:marLeft w:val="0"/>
                                          <w:marRight w:val="0"/>
                                          <w:marTop w:val="0"/>
                                          <w:marBottom w:val="0"/>
                                          <w:divBdr>
                                            <w:top w:val="none" w:sz="0" w:space="0" w:color="auto"/>
                                            <w:left w:val="none" w:sz="0" w:space="0" w:color="auto"/>
                                            <w:bottom w:val="none" w:sz="0" w:space="0" w:color="auto"/>
                                            <w:right w:val="none" w:sz="0" w:space="0" w:color="auto"/>
                                          </w:divBdr>
                                          <w:divsChild>
                                            <w:div w:id="4982176">
                                              <w:marLeft w:val="-225"/>
                                              <w:marRight w:val="-225"/>
                                              <w:marTop w:val="0"/>
                                              <w:marBottom w:val="0"/>
                                              <w:divBdr>
                                                <w:top w:val="none" w:sz="0" w:space="0" w:color="auto"/>
                                                <w:left w:val="none" w:sz="0" w:space="0" w:color="auto"/>
                                                <w:bottom w:val="none" w:sz="0" w:space="0" w:color="auto"/>
                                                <w:right w:val="none" w:sz="0" w:space="0" w:color="auto"/>
                                              </w:divBdr>
                                              <w:divsChild>
                                                <w:div w:id="930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464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989706">
      <w:bodyDiv w:val="1"/>
      <w:marLeft w:val="0"/>
      <w:marRight w:val="0"/>
      <w:marTop w:val="0"/>
      <w:marBottom w:val="0"/>
      <w:divBdr>
        <w:top w:val="none" w:sz="0" w:space="0" w:color="auto"/>
        <w:left w:val="none" w:sz="0" w:space="0" w:color="auto"/>
        <w:bottom w:val="none" w:sz="0" w:space="0" w:color="auto"/>
        <w:right w:val="none" w:sz="0" w:space="0" w:color="auto"/>
      </w:divBdr>
      <w:divsChild>
        <w:div w:id="1365784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545429">
      <w:bodyDiv w:val="1"/>
      <w:marLeft w:val="0"/>
      <w:marRight w:val="0"/>
      <w:marTop w:val="0"/>
      <w:marBottom w:val="0"/>
      <w:divBdr>
        <w:top w:val="none" w:sz="0" w:space="0" w:color="auto"/>
        <w:left w:val="none" w:sz="0" w:space="0" w:color="auto"/>
        <w:bottom w:val="none" w:sz="0" w:space="0" w:color="auto"/>
        <w:right w:val="none" w:sz="0" w:space="0" w:color="auto"/>
      </w:divBdr>
      <w:divsChild>
        <w:div w:id="1092239386">
          <w:marLeft w:val="0"/>
          <w:marRight w:val="0"/>
          <w:marTop w:val="0"/>
          <w:marBottom w:val="0"/>
          <w:divBdr>
            <w:top w:val="none" w:sz="0" w:space="0" w:color="auto"/>
            <w:left w:val="none" w:sz="0" w:space="0" w:color="auto"/>
            <w:bottom w:val="none" w:sz="0" w:space="0" w:color="auto"/>
            <w:right w:val="none" w:sz="0" w:space="0" w:color="auto"/>
          </w:divBdr>
          <w:divsChild>
            <w:div w:id="250550028">
              <w:marLeft w:val="0"/>
              <w:marRight w:val="0"/>
              <w:marTop w:val="0"/>
              <w:marBottom w:val="0"/>
              <w:divBdr>
                <w:top w:val="none" w:sz="0" w:space="0" w:color="auto"/>
                <w:left w:val="none" w:sz="0" w:space="0" w:color="auto"/>
                <w:bottom w:val="none" w:sz="0" w:space="0" w:color="auto"/>
                <w:right w:val="none" w:sz="0" w:space="0" w:color="auto"/>
              </w:divBdr>
              <w:divsChild>
                <w:div w:id="2037851532">
                  <w:marLeft w:val="0"/>
                  <w:marRight w:val="0"/>
                  <w:marTop w:val="0"/>
                  <w:marBottom w:val="0"/>
                  <w:divBdr>
                    <w:top w:val="none" w:sz="0" w:space="0" w:color="auto"/>
                    <w:left w:val="none" w:sz="0" w:space="0" w:color="auto"/>
                    <w:bottom w:val="none" w:sz="0" w:space="0" w:color="auto"/>
                    <w:right w:val="none" w:sz="0" w:space="0" w:color="auto"/>
                  </w:divBdr>
                  <w:divsChild>
                    <w:div w:id="1213342642">
                      <w:marLeft w:val="0"/>
                      <w:marRight w:val="0"/>
                      <w:marTop w:val="0"/>
                      <w:marBottom w:val="0"/>
                      <w:divBdr>
                        <w:top w:val="none" w:sz="0" w:space="0" w:color="auto"/>
                        <w:left w:val="none" w:sz="0" w:space="0" w:color="auto"/>
                        <w:bottom w:val="none" w:sz="0" w:space="0" w:color="auto"/>
                        <w:right w:val="none" w:sz="0" w:space="0" w:color="auto"/>
                      </w:divBdr>
                      <w:divsChild>
                        <w:div w:id="1475680079">
                          <w:marLeft w:val="0"/>
                          <w:marRight w:val="0"/>
                          <w:marTop w:val="0"/>
                          <w:marBottom w:val="0"/>
                          <w:divBdr>
                            <w:top w:val="none" w:sz="0" w:space="0" w:color="auto"/>
                            <w:left w:val="none" w:sz="0" w:space="0" w:color="auto"/>
                            <w:bottom w:val="none" w:sz="0" w:space="0" w:color="auto"/>
                            <w:right w:val="none" w:sz="0" w:space="0" w:color="auto"/>
                          </w:divBdr>
                          <w:divsChild>
                            <w:div w:id="184420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403289">
      <w:bodyDiv w:val="1"/>
      <w:marLeft w:val="0"/>
      <w:marRight w:val="0"/>
      <w:marTop w:val="0"/>
      <w:marBottom w:val="0"/>
      <w:divBdr>
        <w:top w:val="none" w:sz="0" w:space="0" w:color="auto"/>
        <w:left w:val="none" w:sz="0" w:space="0" w:color="auto"/>
        <w:bottom w:val="none" w:sz="0" w:space="0" w:color="auto"/>
        <w:right w:val="none" w:sz="0" w:space="0" w:color="auto"/>
      </w:divBdr>
    </w:div>
    <w:div w:id="810749375">
      <w:bodyDiv w:val="1"/>
      <w:marLeft w:val="0"/>
      <w:marRight w:val="0"/>
      <w:marTop w:val="0"/>
      <w:marBottom w:val="0"/>
      <w:divBdr>
        <w:top w:val="none" w:sz="0" w:space="0" w:color="auto"/>
        <w:left w:val="none" w:sz="0" w:space="0" w:color="auto"/>
        <w:bottom w:val="none" w:sz="0" w:space="0" w:color="auto"/>
        <w:right w:val="none" w:sz="0" w:space="0" w:color="auto"/>
      </w:divBdr>
    </w:div>
    <w:div w:id="83067875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8">
          <w:marLeft w:val="0"/>
          <w:marRight w:val="0"/>
          <w:marTop w:val="0"/>
          <w:marBottom w:val="0"/>
          <w:divBdr>
            <w:top w:val="none" w:sz="0" w:space="0" w:color="auto"/>
            <w:left w:val="none" w:sz="0" w:space="0" w:color="auto"/>
            <w:bottom w:val="none" w:sz="0" w:space="0" w:color="auto"/>
            <w:right w:val="none" w:sz="0" w:space="0" w:color="auto"/>
          </w:divBdr>
          <w:divsChild>
            <w:div w:id="2067989292">
              <w:marLeft w:val="0"/>
              <w:marRight w:val="0"/>
              <w:marTop w:val="0"/>
              <w:marBottom w:val="0"/>
              <w:divBdr>
                <w:top w:val="none" w:sz="0" w:space="0" w:color="auto"/>
                <w:left w:val="none" w:sz="0" w:space="0" w:color="auto"/>
                <w:bottom w:val="none" w:sz="0" w:space="0" w:color="auto"/>
                <w:right w:val="none" w:sz="0" w:space="0" w:color="auto"/>
              </w:divBdr>
              <w:divsChild>
                <w:div w:id="1474761676">
                  <w:marLeft w:val="0"/>
                  <w:marRight w:val="0"/>
                  <w:marTop w:val="0"/>
                  <w:marBottom w:val="0"/>
                  <w:divBdr>
                    <w:top w:val="none" w:sz="0" w:space="0" w:color="auto"/>
                    <w:left w:val="none" w:sz="0" w:space="0" w:color="auto"/>
                    <w:bottom w:val="none" w:sz="0" w:space="0" w:color="auto"/>
                    <w:right w:val="none" w:sz="0" w:space="0" w:color="auto"/>
                  </w:divBdr>
                  <w:divsChild>
                    <w:div w:id="1202547585">
                      <w:marLeft w:val="0"/>
                      <w:marRight w:val="0"/>
                      <w:marTop w:val="0"/>
                      <w:marBottom w:val="0"/>
                      <w:divBdr>
                        <w:top w:val="none" w:sz="0" w:space="0" w:color="auto"/>
                        <w:left w:val="none" w:sz="0" w:space="0" w:color="auto"/>
                        <w:bottom w:val="none" w:sz="0" w:space="0" w:color="auto"/>
                        <w:right w:val="none" w:sz="0" w:space="0" w:color="auto"/>
                      </w:divBdr>
                      <w:divsChild>
                        <w:div w:id="285739874">
                          <w:marLeft w:val="0"/>
                          <w:marRight w:val="0"/>
                          <w:marTop w:val="0"/>
                          <w:marBottom w:val="0"/>
                          <w:divBdr>
                            <w:top w:val="none" w:sz="0" w:space="0" w:color="auto"/>
                            <w:left w:val="none" w:sz="0" w:space="0" w:color="auto"/>
                            <w:bottom w:val="none" w:sz="0" w:space="0" w:color="auto"/>
                            <w:right w:val="none" w:sz="0" w:space="0" w:color="auto"/>
                          </w:divBdr>
                          <w:divsChild>
                            <w:div w:id="15538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56883">
      <w:bodyDiv w:val="1"/>
      <w:marLeft w:val="0"/>
      <w:marRight w:val="0"/>
      <w:marTop w:val="0"/>
      <w:marBottom w:val="0"/>
      <w:divBdr>
        <w:top w:val="none" w:sz="0" w:space="0" w:color="auto"/>
        <w:left w:val="none" w:sz="0" w:space="0" w:color="auto"/>
        <w:bottom w:val="none" w:sz="0" w:space="0" w:color="auto"/>
        <w:right w:val="none" w:sz="0" w:space="0" w:color="auto"/>
      </w:divBdr>
      <w:divsChild>
        <w:div w:id="831674811">
          <w:marLeft w:val="-225"/>
          <w:marRight w:val="-225"/>
          <w:marTop w:val="0"/>
          <w:marBottom w:val="0"/>
          <w:divBdr>
            <w:top w:val="none" w:sz="0" w:space="0" w:color="auto"/>
            <w:left w:val="none" w:sz="0" w:space="0" w:color="auto"/>
            <w:bottom w:val="none" w:sz="0" w:space="0" w:color="auto"/>
            <w:right w:val="none" w:sz="0" w:space="0" w:color="auto"/>
          </w:divBdr>
          <w:divsChild>
            <w:div w:id="1289894934">
              <w:marLeft w:val="0"/>
              <w:marRight w:val="0"/>
              <w:marTop w:val="0"/>
              <w:marBottom w:val="0"/>
              <w:divBdr>
                <w:top w:val="none" w:sz="0" w:space="0" w:color="auto"/>
                <w:left w:val="none" w:sz="0" w:space="0" w:color="auto"/>
                <w:bottom w:val="none" w:sz="0" w:space="0" w:color="auto"/>
                <w:right w:val="none" w:sz="0" w:space="0" w:color="auto"/>
              </w:divBdr>
            </w:div>
          </w:divsChild>
        </w:div>
        <w:div w:id="1945576255">
          <w:marLeft w:val="-225"/>
          <w:marRight w:val="-225"/>
          <w:marTop w:val="0"/>
          <w:marBottom w:val="0"/>
          <w:divBdr>
            <w:top w:val="none" w:sz="0" w:space="0" w:color="auto"/>
            <w:left w:val="none" w:sz="0" w:space="0" w:color="auto"/>
            <w:bottom w:val="none" w:sz="0" w:space="0" w:color="auto"/>
            <w:right w:val="none" w:sz="0" w:space="0" w:color="auto"/>
          </w:divBdr>
          <w:divsChild>
            <w:div w:id="194040825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45748559">
      <w:bodyDiv w:val="1"/>
      <w:marLeft w:val="0"/>
      <w:marRight w:val="0"/>
      <w:marTop w:val="0"/>
      <w:marBottom w:val="0"/>
      <w:divBdr>
        <w:top w:val="none" w:sz="0" w:space="0" w:color="auto"/>
        <w:left w:val="none" w:sz="0" w:space="0" w:color="auto"/>
        <w:bottom w:val="none" w:sz="0" w:space="0" w:color="auto"/>
        <w:right w:val="none" w:sz="0" w:space="0" w:color="auto"/>
      </w:divBdr>
      <w:divsChild>
        <w:div w:id="1838493193">
          <w:marLeft w:val="0"/>
          <w:marRight w:val="0"/>
          <w:marTop w:val="0"/>
          <w:marBottom w:val="300"/>
          <w:divBdr>
            <w:top w:val="single" w:sz="6" w:space="0" w:color="DDDDDD"/>
            <w:left w:val="single" w:sz="6" w:space="0" w:color="DDDDDD"/>
            <w:bottom w:val="single" w:sz="6" w:space="0" w:color="DDDDDD"/>
            <w:right w:val="single" w:sz="6" w:space="0" w:color="DDDDDD"/>
          </w:divBdr>
          <w:divsChild>
            <w:div w:id="292760332">
              <w:marLeft w:val="0"/>
              <w:marRight w:val="0"/>
              <w:marTop w:val="0"/>
              <w:marBottom w:val="0"/>
              <w:divBdr>
                <w:top w:val="none" w:sz="0" w:space="0" w:color="auto"/>
                <w:left w:val="none" w:sz="0" w:space="0" w:color="auto"/>
                <w:bottom w:val="none" w:sz="0" w:space="0" w:color="auto"/>
                <w:right w:val="none" w:sz="0" w:space="0" w:color="auto"/>
              </w:divBdr>
              <w:divsChild>
                <w:div w:id="404954922">
                  <w:marLeft w:val="-225"/>
                  <w:marRight w:val="-225"/>
                  <w:marTop w:val="0"/>
                  <w:marBottom w:val="0"/>
                  <w:divBdr>
                    <w:top w:val="none" w:sz="0" w:space="0" w:color="auto"/>
                    <w:left w:val="none" w:sz="0" w:space="0" w:color="auto"/>
                    <w:bottom w:val="none" w:sz="0" w:space="0" w:color="auto"/>
                    <w:right w:val="none" w:sz="0" w:space="0" w:color="auto"/>
                  </w:divBdr>
                  <w:divsChild>
                    <w:div w:id="1474643643">
                      <w:marLeft w:val="0"/>
                      <w:marRight w:val="0"/>
                      <w:marTop w:val="0"/>
                      <w:marBottom w:val="0"/>
                      <w:divBdr>
                        <w:top w:val="none" w:sz="0" w:space="0" w:color="auto"/>
                        <w:left w:val="none" w:sz="0" w:space="0" w:color="auto"/>
                        <w:bottom w:val="none" w:sz="0" w:space="0" w:color="auto"/>
                        <w:right w:val="none" w:sz="0" w:space="0" w:color="auto"/>
                      </w:divBdr>
                      <w:divsChild>
                        <w:div w:id="576592403">
                          <w:marLeft w:val="-225"/>
                          <w:marRight w:val="-225"/>
                          <w:marTop w:val="0"/>
                          <w:marBottom w:val="0"/>
                          <w:divBdr>
                            <w:top w:val="none" w:sz="0" w:space="0" w:color="auto"/>
                            <w:left w:val="none" w:sz="0" w:space="0" w:color="auto"/>
                            <w:bottom w:val="none" w:sz="0" w:space="0" w:color="auto"/>
                            <w:right w:val="none" w:sz="0" w:space="0" w:color="auto"/>
                          </w:divBdr>
                          <w:divsChild>
                            <w:div w:id="353923175">
                              <w:marLeft w:val="0"/>
                              <w:marRight w:val="0"/>
                              <w:marTop w:val="0"/>
                              <w:marBottom w:val="0"/>
                              <w:divBdr>
                                <w:top w:val="none" w:sz="0" w:space="0" w:color="auto"/>
                                <w:left w:val="none" w:sz="0" w:space="0" w:color="auto"/>
                                <w:bottom w:val="none" w:sz="0" w:space="0" w:color="auto"/>
                                <w:right w:val="none" w:sz="0" w:space="0" w:color="auto"/>
                              </w:divBdr>
                              <w:divsChild>
                                <w:div w:id="151528511">
                                  <w:marLeft w:val="-225"/>
                                  <w:marRight w:val="-225"/>
                                  <w:marTop w:val="0"/>
                                  <w:marBottom w:val="0"/>
                                  <w:divBdr>
                                    <w:top w:val="none" w:sz="0" w:space="0" w:color="auto"/>
                                    <w:left w:val="none" w:sz="0" w:space="0" w:color="auto"/>
                                    <w:bottom w:val="none" w:sz="0" w:space="0" w:color="auto"/>
                                    <w:right w:val="none" w:sz="0" w:space="0" w:color="auto"/>
                                  </w:divBdr>
                                  <w:divsChild>
                                    <w:div w:id="110518095">
                                      <w:marLeft w:val="-225"/>
                                      <w:marRight w:val="0"/>
                                      <w:marTop w:val="0"/>
                                      <w:marBottom w:val="0"/>
                                      <w:divBdr>
                                        <w:top w:val="none" w:sz="0" w:space="0" w:color="auto"/>
                                        <w:left w:val="none" w:sz="0" w:space="0" w:color="auto"/>
                                        <w:bottom w:val="none" w:sz="0" w:space="0" w:color="auto"/>
                                        <w:right w:val="none" w:sz="0" w:space="0" w:color="auto"/>
                                      </w:divBdr>
                                      <w:divsChild>
                                        <w:div w:id="1551307073">
                                          <w:marLeft w:val="0"/>
                                          <w:marRight w:val="0"/>
                                          <w:marTop w:val="0"/>
                                          <w:marBottom w:val="0"/>
                                          <w:divBdr>
                                            <w:top w:val="none" w:sz="0" w:space="0" w:color="auto"/>
                                            <w:left w:val="none" w:sz="0" w:space="0" w:color="auto"/>
                                            <w:bottom w:val="none" w:sz="0" w:space="0" w:color="auto"/>
                                            <w:right w:val="none" w:sz="0" w:space="0" w:color="auto"/>
                                          </w:divBdr>
                                          <w:divsChild>
                                            <w:div w:id="1962615886">
                                              <w:marLeft w:val="-225"/>
                                              <w:marRight w:val="-225"/>
                                              <w:marTop w:val="0"/>
                                              <w:marBottom w:val="0"/>
                                              <w:divBdr>
                                                <w:top w:val="none" w:sz="0" w:space="0" w:color="auto"/>
                                                <w:left w:val="none" w:sz="0" w:space="0" w:color="auto"/>
                                                <w:bottom w:val="none" w:sz="0" w:space="0" w:color="auto"/>
                                                <w:right w:val="none" w:sz="0" w:space="0" w:color="auto"/>
                                              </w:divBdr>
                                              <w:divsChild>
                                                <w:div w:id="3023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3609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148543">
      <w:bodyDiv w:val="1"/>
      <w:marLeft w:val="0"/>
      <w:marRight w:val="0"/>
      <w:marTop w:val="0"/>
      <w:marBottom w:val="0"/>
      <w:divBdr>
        <w:top w:val="none" w:sz="0" w:space="0" w:color="auto"/>
        <w:left w:val="none" w:sz="0" w:space="0" w:color="auto"/>
        <w:bottom w:val="none" w:sz="0" w:space="0" w:color="auto"/>
        <w:right w:val="none" w:sz="0" w:space="0" w:color="auto"/>
      </w:divBdr>
      <w:divsChild>
        <w:div w:id="438648351">
          <w:marLeft w:val="0"/>
          <w:marRight w:val="0"/>
          <w:marTop w:val="0"/>
          <w:marBottom w:val="300"/>
          <w:divBdr>
            <w:top w:val="single" w:sz="6" w:space="0" w:color="DDDDDD"/>
            <w:left w:val="single" w:sz="6" w:space="0" w:color="DDDDDD"/>
            <w:bottom w:val="single" w:sz="6" w:space="0" w:color="DDDDDD"/>
            <w:right w:val="single" w:sz="6" w:space="0" w:color="DDDDDD"/>
          </w:divBdr>
          <w:divsChild>
            <w:div w:id="1446658717">
              <w:marLeft w:val="0"/>
              <w:marRight w:val="0"/>
              <w:marTop w:val="0"/>
              <w:marBottom w:val="0"/>
              <w:divBdr>
                <w:top w:val="none" w:sz="0" w:space="0" w:color="auto"/>
                <w:left w:val="none" w:sz="0" w:space="0" w:color="auto"/>
                <w:bottom w:val="none" w:sz="0" w:space="0" w:color="auto"/>
                <w:right w:val="none" w:sz="0" w:space="0" w:color="auto"/>
              </w:divBdr>
              <w:divsChild>
                <w:div w:id="1162160740">
                  <w:marLeft w:val="-225"/>
                  <w:marRight w:val="-225"/>
                  <w:marTop w:val="0"/>
                  <w:marBottom w:val="0"/>
                  <w:divBdr>
                    <w:top w:val="none" w:sz="0" w:space="0" w:color="auto"/>
                    <w:left w:val="none" w:sz="0" w:space="0" w:color="auto"/>
                    <w:bottom w:val="none" w:sz="0" w:space="0" w:color="auto"/>
                    <w:right w:val="none" w:sz="0" w:space="0" w:color="auto"/>
                  </w:divBdr>
                  <w:divsChild>
                    <w:div w:id="1793942256">
                      <w:marLeft w:val="0"/>
                      <w:marRight w:val="0"/>
                      <w:marTop w:val="0"/>
                      <w:marBottom w:val="0"/>
                      <w:divBdr>
                        <w:top w:val="none" w:sz="0" w:space="0" w:color="auto"/>
                        <w:left w:val="none" w:sz="0" w:space="0" w:color="auto"/>
                        <w:bottom w:val="none" w:sz="0" w:space="0" w:color="auto"/>
                        <w:right w:val="none" w:sz="0" w:space="0" w:color="auto"/>
                      </w:divBdr>
                      <w:divsChild>
                        <w:div w:id="253631876">
                          <w:marLeft w:val="-225"/>
                          <w:marRight w:val="-225"/>
                          <w:marTop w:val="0"/>
                          <w:marBottom w:val="0"/>
                          <w:divBdr>
                            <w:top w:val="none" w:sz="0" w:space="0" w:color="auto"/>
                            <w:left w:val="none" w:sz="0" w:space="0" w:color="auto"/>
                            <w:bottom w:val="none" w:sz="0" w:space="0" w:color="auto"/>
                            <w:right w:val="none" w:sz="0" w:space="0" w:color="auto"/>
                          </w:divBdr>
                          <w:divsChild>
                            <w:div w:id="107163548">
                              <w:marLeft w:val="0"/>
                              <w:marRight w:val="0"/>
                              <w:marTop w:val="0"/>
                              <w:marBottom w:val="0"/>
                              <w:divBdr>
                                <w:top w:val="none" w:sz="0" w:space="0" w:color="auto"/>
                                <w:left w:val="none" w:sz="0" w:space="0" w:color="auto"/>
                                <w:bottom w:val="none" w:sz="0" w:space="0" w:color="auto"/>
                                <w:right w:val="none" w:sz="0" w:space="0" w:color="auto"/>
                              </w:divBdr>
                              <w:divsChild>
                                <w:div w:id="1860923290">
                                  <w:marLeft w:val="-225"/>
                                  <w:marRight w:val="-225"/>
                                  <w:marTop w:val="0"/>
                                  <w:marBottom w:val="0"/>
                                  <w:divBdr>
                                    <w:top w:val="none" w:sz="0" w:space="0" w:color="auto"/>
                                    <w:left w:val="none" w:sz="0" w:space="0" w:color="auto"/>
                                    <w:bottom w:val="none" w:sz="0" w:space="0" w:color="auto"/>
                                    <w:right w:val="none" w:sz="0" w:space="0" w:color="auto"/>
                                  </w:divBdr>
                                  <w:divsChild>
                                    <w:div w:id="1398019019">
                                      <w:marLeft w:val="-225"/>
                                      <w:marRight w:val="0"/>
                                      <w:marTop w:val="0"/>
                                      <w:marBottom w:val="0"/>
                                      <w:divBdr>
                                        <w:top w:val="none" w:sz="0" w:space="0" w:color="auto"/>
                                        <w:left w:val="none" w:sz="0" w:space="0" w:color="auto"/>
                                        <w:bottom w:val="none" w:sz="0" w:space="0" w:color="auto"/>
                                        <w:right w:val="none" w:sz="0" w:space="0" w:color="auto"/>
                                      </w:divBdr>
                                      <w:divsChild>
                                        <w:div w:id="245656832">
                                          <w:marLeft w:val="0"/>
                                          <w:marRight w:val="0"/>
                                          <w:marTop w:val="0"/>
                                          <w:marBottom w:val="0"/>
                                          <w:divBdr>
                                            <w:top w:val="none" w:sz="0" w:space="0" w:color="auto"/>
                                            <w:left w:val="none" w:sz="0" w:space="0" w:color="auto"/>
                                            <w:bottom w:val="none" w:sz="0" w:space="0" w:color="auto"/>
                                            <w:right w:val="none" w:sz="0" w:space="0" w:color="auto"/>
                                          </w:divBdr>
                                          <w:divsChild>
                                            <w:div w:id="1264610292">
                                              <w:marLeft w:val="-225"/>
                                              <w:marRight w:val="-225"/>
                                              <w:marTop w:val="0"/>
                                              <w:marBottom w:val="0"/>
                                              <w:divBdr>
                                                <w:top w:val="none" w:sz="0" w:space="0" w:color="auto"/>
                                                <w:left w:val="none" w:sz="0" w:space="0" w:color="auto"/>
                                                <w:bottom w:val="none" w:sz="0" w:space="0" w:color="auto"/>
                                                <w:right w:val="none" w:sz="0" w:space="0" w:color="auto"/>
                                              </w:divBdr>
                                              <w:divsChild>
                                                <w:div w:id="767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149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663591">
      <w:bodyDiv w:val="1"/>
      <w:marLeft w:val="0"/>
      <w:marRight w:val="0"/>
      <w:marTop w:val="0"/>
      <w:marBottom w:val="0"/>
      <w:divBdr>
        <w:top w:val="none" w:sz="0" w:space="0" w:color="auto"/>
        <w:left w:val="none" w:sz="0" w:space="0" w:color="auto"/>
        <w:bottom w:val="none" w:sz="0" w:space="0" w:color="auto"/>
        <w:right w:val="none" w:sz="0" w:space="0" w:color="auto"/>
      </w:divBdr>
    </w:div>
    <w:div w:id="862790330">
      <w:bodyDiv w:val="1"/>
      <w:marLeft w:val="0"/>
      <w:marRight w:val="0"/>
      <w:marTop w:val="0"/>
      <w:marBottom w:val="0"/>
      <w:divBdr>
        <w:top w:val="none" w:sz="0" w:space="0" w:color="auto"/>
        <w:left w:val="none" w:sz="0" w:space="0" w:color="auto"/>
        <w:bottom w:val="none" w:sz="0" w:space="0" w:color="auto"/>
        <w:right w:val="none" w:sz="0" w:space="0" w:color="auto"/>
      </w:divBdr>
      <w:divsChild>
        <w:div w:id="289093160">
          <w:marLeft w:val="0"/>
          <w:marRight w:val="0"/>
          <w:marTop w:val="0"/>
          <w:marBottom w:val="0"/>
          <w:divBdr>
            <w:top w:val="none" w:sz="0" w:space="0" w:color="auto"/>
            <w:left w:val="none" w:sz="0" w:space="0" w:color="auto"/>
            <w:bottom w:val="none" w:sz="0" w:space="0" w:color="auto"/>
            <w:right w:val="none" w:sz="0" w:space="0" w:color="auto"/>
          </w:divBdr>
          <w:divsChild>
            <w:div w:id="166020595">
              <w:marLeft w:val="0"/>
              <w:marRight w:val="0"/>
              <w:marTop w:val="0"/>
              <w:marBottom w:val="0"/>
              <w:divBdr>
                <w:top w:val="none" w:sz="0" w:space="0" w:color="auto"/>
                <w:left w:val="none" w:sz="0" w:space="0" w:color="auto"/>
                <w:bottom w:val="none" w:sz="0" w:space="0" w:color="auto"/>
                <w:right w:val="none" w:sz="0" w:space="0" w:color="auto"/>
              </w:divBdr>
              <w:divsChild>
                <w:div w:id="679814237">
                  <w:marLeft w:val="0"/>
                  <w:marRight w:val="0"/>
                  <w:marTop w:val="0"/>
                  <w:marBottom w:val="0"/>
                  <w:divBdr>
                    <w:top w:val="none" w:sz="0" w:space="0" w:color="auto"/>
                    <w:left w:val="none" w:sz="0" w:space="0" w:color="auto"/>
                    <w:bottom w:val="none" w:sz="0" w:space="0" w:color="auto"/>
                    <w:right w:val="none" w:sz="0" w:space="0" w:color="auto"/>
                  </w:divBdr>
                  <w:divsChild>
                    <w:div w:id="1440443284">
                      <w:marLeft w:val="0"/>
                      <w:marRight w:val="0"/>
                      <w:marTop w:val="0"/>
                      <w:marBottom w:val="0"/>
                      <w:divBdr>
                        <w:top w:val="none" w:sz="0" w:space="0" w:color="auto"/>
                        <w:left w:val="none" w:sz="0" w:space="0" w:color="auto"/>
                        <w:bottom w:val="none" w:sz="0" w:space="0" w:color="auto"/>
                        <w:right w:val="none" w:sz="0" w:space="0" w:color="auto"/>
                      </w:divBdr>
                      <w:divsChild>
                        <w:div w:id="2121759428">
                          <w:marLeft w:val="0"/>
                          <w:marRight w:val="0"/>
                          <w:marTop w:val="0"/>
                          <w:marBottom w:val="0"/>
                          <w:divBdr>
                            <w:top w:val="none" w:sz="0" w:space="0" w:color="auto"/>
                            <w:left w:val="none" w:sz="0" w:space="0" w:color="auto"/>
                            <w:bottom w:val="none" w:sz="0" w:space="0" w:color="auto"/>
                            <w:right w:val="none" w:sz="0" w:space="0" w:color="auto"/>
                          </w:divBdr>
                          <w:divsChild>
                            <w:div w:id="895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227325">
      <w:bodyDiv w:val="1"/>
      <w:marLeft w:val="0"/>
      <w:marRight w:val="0"/>
      <w:marTop w:val="0"/>
      <w:marBottom w:val="0"/>
      <w:divBdr>
        <w:top w:val="none" w:sz="0" w:space="0" w:color="auto"/>
        <w:left w:val="none" w:sz="0" w:space="0" w:color="auto"/>
        <w:bottom w:val="none" w:sz="0" w:space="0" w:color="auto"/>
        <w:right w:val="none" w:sz="0" w:space="0" w:color="auto"/>
      </w:divBdr>
    </w:div>
    <w:div w:id="935945375">
      <w:bodyDiv w:val="1"/>
      <w:marLeft w:val="0"/>
      <w:marRight w:val="0"/>
      <w:marTop w:val="0"/>
      <w:marBottom w:val="0"/>
      <w:divBdr>
        <w:top w:val="none" w:sz="0" w:space="0" w:color="auto"/>
        <w:left w:val="none" w:sz="0" w:space="0" w:color="auto"/>
        <w:bottom w:val="none" w:sz="0" w:space="0" w:color="auto"/>
        <w:right w:val="none" w:sz="0" w:space="0" w:color="auto"/>
      </w:divBdr>
    </w:div>
    <w:div w:id="947658100">
      <w:bodyDiv w:val="1"/>
      <w:marLeft w:val="0"/>
      <w:marRight w:val="0"/>
      <w:marTop w:val="0"/>
      <w:marBottom w:val="0"/>
      <w:divBdr>
        <w:top w:val="none" w:sz="0" w:space="0" w:color="auto"/>
        <w:left w:val="none" w:sz="0" w:space="0" w:color="auto"/>
        <w:bottom w:val="none" w:sz="0" w:space="0" w:color="auto"/>
        <w:right w:val="none" w:sz="0" w:space="0" w:color="auto"/>
      </w:divBdr>
    </w:div>
    <w:div w:id="994651793">
      <w:bodyDiv w:val="1"/>
      <w:marLeft w:val="0"/>
      <w:marRight w:val="0"/>
      <w:marTop w:val="0"/>
      <w:marBottom w:val="0"/>
      <w:divBdr>
        <w:top w:val="none" w:sz="0" w:space="0" w:color="auto"/>
        <w:left w:val="none" w:sz="0" w:space="0" w:color="auto"/>
        <w:bottom w:val="none" w:sz="0" w:space="0" w:color="auto"/>
        <w:right w:val="none" w:sz="0" w:space="0" w:color="auto"/>
      </w:divBdr>
      <w:divsChild>
        <w:div w:id="161043216">
          <w:marLeft w:val="0"/>
          <w:marRight w:val="0"/>
          <w:marTop w:val="0"/>
          <w:marBottom w:val="0"/>
          <w:divBdr>
            <w:top w:val="none" w:sz="0" w:space="0" w:color="auto"/>
            <w:left w:val="none" w:sz="0" w:space="0" w:color="auto"/>
            <w:bottom w:val="none" w:sz="0" w:space="0" w:color="auto"/>
            <w:right w:val="none" w:sz="0" w:space="0" w:color="auto"/>
          </w:divBdr>
          <w:divsChild>
            <w:div w:id="868446086">
              <w:marLeft w:val="0"/>
              <w:marRight w:val="0"/>
              <w:marTop w:val="0"/>
              <w:marBottom w:val="0"/>
              <w:divBdr>
                <w:top w:val="none" w:sz="0" w:space="0" w:color="auto"/>
                <w:left w:val="none" w:sz="0" w:space="0" w:color="auto"/>
                <w:bottom w:val="none" w:sz="0" w:space="0" w:color="auto"/>
                <w:right w:val="none" w:sz="0" w:space="0" w:color="auto"/>
              </w:divBdr>
              <w:divsChild>
                <w:div w:id="748814621">
                  <w:marLeft w:val="0"/>
                  <w:marRight w:val="0"/>
                  <w:marTop w:val="0"/>
                  <w:marBottom w:val="0"/>
                  <w:divBdr>
                    <w:top w:val="none" w:sz="0" w:space="0" w:color="auto"/>
                    <w:left w:val="none" w:sz="0" w:space="0" w:color="auto"/>
                    <w:bottom w:val="none" w:sz="0" w:space="0" w:color="auto"/>
                    <w:right w:val="none" w:sz="0" w:space="0" w:color="auto"/>
                  </w:divBdr>
                  <w:divsChild>
                    <w:div w:id="738600900">
                      <w:marLeft w:val="0"/>
                      <w:marRight w:val="0"/>
                      <w:marTop w:val="0"/>
                      <w:marBottom w:val="0"/>
                      <w:divBdr>
                        <w:top w:val="none" w:sz="0" w:space="0" w:color="auto"/>
                        <w:left w:val="none" w:sz="0" w:space="0" w:color="auto"/>
                        <w:bottom w:val="none" w:sz="0" w:space="0" w:color="auto"/>
                        <w:right w:val="none" w:sz="0" w:space="0" w:color="auto"/>
                      </w:divBdr>
                      <w:divsChild>
                        <w:div w:id="1156383992">
                          <w:marLeft w:val="0"/>
                          <w:marRight w:val="0"/>
                          <w:marTop w:val="0"/>
                          <w:marBottom w:val="0"/>
                          <w:divBdr>
                            <w:top w:val="none" w:sz="0" w:space="0" w:color="auto"/>
                            <w:left w:val="none" w:sz="0" w:space="0" w:color="auto"/>
                            <w:bottom w:val="none" w:sz="0" w:space="0" w:color="auto"/>
                            <w:right w:val="none" w:sz="0" w:space="0" w:color="auto"/>
                          </w:divBdr>
                          <w:divsChild>
                            <w:div w:id="51237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769637">
      <w:bodyDiv w:val="1"/>
      <w:marLeft w:val="0"/>
      <w:marRight w:val="0"/>
      <w:marTop w:val="0"/>
      <w:marBottom w:val="0"/>
      <w:divBdr>
        <w:top w:val="none" w:sz="0" w:space="0" w:color="auto"/>
        <w:left w:val="none" w:sz="0" w:space="0" w:color="auto"/>
        <w:bottom w:val="none" w:sz="0" w:space="0" w:color="auto"/>
        <w:right w:val="none" w:sz="0" w:space="0" w:color="auto"/>
      </w:divBdr>
    </w:div>
    <w:div w:id="1035041460">
      <w:bodyDiv w:val="1"/>
      <w:marLeft w:val="0"/>
      <w:marRight w:val="0"/>
      <w:marTop w:val="0"/>
      <w:marBottom w:val="0"/>
      <w:divBdr>
        <w:top w:val="none" w:sz="0" w:space="0" w:color="auto"/>
        <w:left w:val="none" w:sz="0" w:space="0" w:color="auto"/>
        <w:bottom w:val="none" w:sz="0" w:space="0" w:color="auto"/>
        <w:right w:val="none" w:sz="0" w:space="0" w:color="auto"/>
      </w:divBdr>
    </w:div>
    <w:div w:id="1036274449">
      <w:bodyDiv w:val="1"/>
      <w:marLeft w:val="0"/>
      <w:marRight w:val="0"/>
      <w:marTop w:val="0"/>
      <w:marBottom w:val="0"/>
      <w:divBdr>
        <w:top w:val="none" w:sz="0" w:space="0" w:color="auto"/>
        <w:left w:val="none" w:sz="0" w:space="0" w:color="auto"/>
        <w:bottom w:val="none" w:sz="0" w:space="0" w:color="auto"/>
        <w:right w:val="none" w:sz="0" w:space="0" w:color="auto"/>
      </w:divBdr>
      <w:divsChild>
        <w:div w:id="820661015">
          <w:marLeft w:val="0"/>
          <w:marRight w:val="0"/>
          <w:marTop w:val="0"/>
          <w:marBottom w:val="0"/>
          <w:divBdr>
            <w:top w:val="none" w:sz="0" w:space="0" w:color="auto"/>
            <w:left w:val="none" w:sz="0" w:space="0" w:color="auto"/>
            <w:bottom w:val="none" w:sz="0" w:space="0" w:color="auto"/>
            <w:right w:val="none" w:sz="0" w:space="0" w:color="auto"/>
          </w:divBdr>
          <w:divsChild>
            <w:div w:id="683822273">
              <w:marLeft w:val="0"/>
              <w:marRight w:val="0"/>
              <w:marTop w:val="0"/>
              <w:marBottom w:val="0"/>
              <w:divBdr>
                <w:top w:val="none" w:sz="0" w:space="0" w:color="auto"/>
                <w:left w:val="none" w:sz="0" w:space="0" w:color="auto"/>
                <w:bottom w:val="none" w:sz="0" w:space="0" w:color="auto"/>
                <w:right w:val="none" w:sz="0" w:space="0" w:color="auto"/>
              </w:divBdr>
              <w:divsChild>
                <w:div w:id="58750718">
                  <w:marLeft w:val="0"/>
                  <w:marRight w:val="0"/>
                  <w:marTop w:val="0"/>
                  <w:marBottom w:val="0"/>
                  <w:divBdr>
                    <w:top w:val="none" w:sz="0" w:space="0" w:color="auto"/>
                    <w:left w:val="none" w:sz="0" w:space="0" w:color="auto"/>
                    <w:bottom w:val="none" w:sz="0" w:space="0" w:color="auto"/>
                    <w:right w:val="none" w:sz="0" w:space="0" w:color="auto"/>
                  </w:divBdr>
                  <w:divsChild>
                    <w:div w:id="1398627061">
                      <w:marLeft w:val="0"/>
                      <w:marRight w:val="0"/>
                      <w:marTop w:val="0"/>
                      <w:marBottom w:val="0"/>
                      <w:divBdr>
                        <w:top w:val="none" w:sz="0" w:space="0" w:color="auto"/>
                        <w:left w:val="none" w:sz="0" w:space="0" w:color="auto"/>
                        <w:bottom w:val="none" w:sz="0" w:space="0" w:color="auto"/>
                        <w:right w:val="none" w:sz="0" w:space="0" w:color="auto"/>
                      </w:divBdr>
                      <w:divsChild>
                        <w:div w:id="388966595">
                          <w:marLeft w:val="0"/>
                          <w:marRight w:val="0"/>
                          <w:marTop w:val="0"/>
                          <w:marBottom w:val="0"/>
                          <w:divBdr>
                            <w:top w:val="none" w:sz="0" w:space="0" w:color="auto"/>
                            <w:left w:val="none" w:sz="0" w:space="0" w:color="auto"/>
                            <w:bottom w:val="none" w:sz="0" w:space="0" w:color="auto"/>
                            <w:right w:val="none" w:sz="0" w:space="0" w:color="auto"/>
                          </w:divBdr>
                          <w:divsChild>
                            <w:div w:id="1149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496747">
      <w:bodyDiv w:val="1"/>
      <w:marLeft w:val="0"/>
      <w:marRight w:val="0"/>
      <w:marTop w:val="0"/>
      <w:marBottom w:val="0"/>
      <w:divBdr>
        <w:top w:val="none" w:sz="0" w:space="0" w:color="auto"/>
        <w:left w:val="none" w:sz="0" w:space="0" w:color="auto"/>
        <w:bottom w:val="none" w:sz="0" w:space="0" w:color="auto"/>
        <w:right w:val="none" w:sz="0" w:space="0" w:color="auto"/>
      </w:divBdr>
    </w:div>
    <w:div w:id="1066881838">
      <w:bodyDiv w:val="1"/>
      <w:marLeft w:val="0"/>
      <w:marRight w:val="0"/>
      <w:marTop w:val="0"/>
      <w:marBottom w:val="0"/>
      <w:divBdr>
        <w:top w:val="none" w:sz="0" w:space="0" w:color="auto"/>
        <w:left w:val="none" w:sz="0" w:space="0" w:color="auto"/>
        <w:bottom w:val="none" w:sz="0" w:space="0" w:color="auto"/>
        <w:right w:val="none" w:sz="0" w:space="0" w:color="auto"/>
      </w:divBdr>
    </w:div>
    <w:div w:id="1081099066">
      <w:bodyDiv w:val="1"/>
      <w:marLeft w:val="0"/>
      <w:marRight w:val="0"/>
      <w:marTop w:val="0"/>
      <w:marBottom w:val="0"/>
      <w:divBdr>
        <w:top w:val="none" w:sz="0" w:space="0" w:color="auto"/>
        <w:left w:val="none" w:sz="0" w:space="0" w:color="auto"/>
        <w:bottom w:val="none" w:sz="0" w:space="0" w:color="auto"/>
        <w:right w:val="none" w:sz="0" w:space="0" w:color="auto"/>
      </w:divBdr>
    </w:div>
    <w:div w:id="1105078675">
      <w:bodyDiv w:val="1"/>
      <w:marLeft w:val="0"/>
      <w:marRight w:val="0"/>
      <w:marTop w:val="0"/>
      <w:marBottom w:val="0"/>
      <w:divBdr>
        <w:top w:val="none" w:sz="0" w:space="0" w:color="auto"/>
        <w:left w:val="none" w:sz="0" w:space="0" w:color="auto"/>
        <w:bottom w:val="none" w:sz="0" w:space="0" w:color="auto"/>
        <w:right w:val="none" w:sz="0" w:space="0" w:color="auto"/>
      </w:divBdr>
      <w:divsChild>
        <w:div w:id="1770201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204859">
      <w:bodyDiv w:val="1"/>
      <w:marLeft w:val="0"/>
      <w:marRight w:val="0"/>
      <w:marTop w:val="0"/>
      <w:marBottom w:val="0"/>
      <w:divBdr>
        <w:top w:val="none" w:sz="0" w:space="0" w:color="auto"/>
        <w:left w:val="none" w:sz="0" w:space="0" w:color="auto"/>
        <w:bottom w:val="none" w:sz="0" w:space="0" w:color="auto"/>
        <w:right w:val="none" w:sz="0" w:space="0" w:color="auto"/>
      </w:divBdr>
    </w:div>
    <w:div w:id="1136527426">
      <w:bodyDiv w:val="1"/>
      <w:marLeft w:val="0"/>
      <w:marRight w:val="0"/>
      <w:marTop w:val="0"/>
      <w:marBottom w:val="0"/>
      <w:divBdr>
        <w:top w:val="none" w:sz="0" w:space="0" w:color="auto"/>
        <w:left w:val="none" w:sz="0" w:space="0" w:color="auto"/>
        <w:bottom w:val="none" w:sz="0" w:space="0" w:color="auto"/>
        <w:right w:val="none" w:sz="0" w:space="0" w:color="auto"/>
      </w:divBdr>
      <w:divsChild>
        <w:div w:id="80303071">
          <w:marLeft w:val="0"/>
          <w:marRight w:val="0"/>
          <w:marTop w:val="0"/>
          <w:marBottom w:val="0"/>
          <w:divBdr>
            <w:top w:val="none" w:sz="0" w:space="0" w:color="auto"/>
            <w:left w:val="none" w:sz="0" w:space="0" w:color="auto"/>
            <w:bottom w:val="none" w:sz="0" w:space="0" w:color="auto"/>
            <w:right w:val="none" w:sz="0" w:space="0" w:color="auto"/>
          </w:divBdr>
          <w:divsChild>
            <w:div w:id="1365642544">
              <w:marLeft w:val="0"/>
              <w:marRight w:val="0"/>
              <w:marTop w:val="0"/>
              <w:marBottom w:val="0"/>
              <w:divBdr>
                <w:top w:val="none" w:sz="0" w:space="0" w:color="auto"/>
                <w:left w:val="none" w:sz="0" w:space="0" w:color="auto"/>
                <w:bottom w:val="none" w:sz="0" w:space="0" w:color="auto"/>
                <w:right w:val="none" w:sz="0" w:space="0" w:color="auto"/>
              </w:divBdr>
              <w:divsChild>
                <w:div w:id="2136751694">
                  <w:marLeft w:val="0"/>
                  <w:marRight w:val="0"/>
                  <w:marTop w:val="0"/>
                  <w:marBottom w:val="0"/>
                  <w:divBdr>
                    <w:top w:val="none" w:sz="0" w:space="0" w:color="auto"/>
                    <w:left w:val="none" w:sz="0" w:space="0" w:color="auto"/>
                    <w:bottom w:val="none" w:sz="0" w:space="0" w:color="auto"/>
                    <w:right w:val="none" w:sz="0" w:space="0" w:color="auto"/>
                  </w:divBdr>
                  <w:divsChild>
                    <w:div w:id="986471804">
                      <w:marLeft w:val="0"/>
                      <w:marRight w:val="0"/>
                      <w:marTop w:val="0"/>
                      <w:marBottom w:val="0"/>
                      <w:divBdr>
                        <w:top w:val="none" w:sz="0" w:space="0" w:color="auto"/>
                        <w:left w:val="none" w:sz="0" w:space="0" w:color="auto"/>
                        <w:bottom w:val="none" w:sz="0" w:space="0" w:color="auto"/>
                        <w:right w:val="none" w:sz="0" w:space="0" w:color="auto"/>
                      </w:divBdr>
                      <w:divsChild>
                        <w:div w:id="1581479645">
                          <w:marLeft w:val="0"/>
                          <w:marRight w:val="0"/>
                          <w:marTop w:val="0"/>
                          <w:marBottom w:val="0"/>
                          <w:divBdr>
                            <w:top w:val="none" w:sz="0" w:space="0" w:color="auto"/>
                            <w:left w:val="none" w:sz="0" w:space="0" w:color="auto"/>
                            <w:bottom w:val="none" w:sz="0" w:space="0" w:color="auto"/>
                            <w:right w:val="none" w:sz="0" w:space="0" w:color="auto"/>
                          </w:divBdr>
                          <w:divsChild>
                            <w:div w:id="20523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3365">
      <w:bodyDiv w:val="1"/>
      <w:marLeft w:val="0"/>
      <w:marRight w:val="0"/>
      <w:marTop w:val="0"/>
      <w:marBottom w:val="0"/>
      <w:divBdr>
        <w:top w:val="none" w:sz="0" w:space="0" w:color="auto"/>
        <w:left w:val="none" w:sz="0" w:space="0" w:color="auto"/>
        <w:bottom w:val="none" w:sz="0" w:space="0" w:color="auto"/>
        <w:right w:val="none" w:sz="0" w:space="0" w:color="auto"/>
      </w:divBdr>
      <w:divsChild>
        <w:div w:id="1802765077">
          <w:marLeft w:val="0"/>
          <w:marRight w:val="0"/>
          <w:marTop w:val="0"/>
          <w:marBottom w:val="0"/>
          <w:divBdr>
            <w:top w:val="single" w:sz="6" w:space="2" w:color="DDDDDD"/>
            <w:left w:val="single" w:sz="6" w:space="2" w:color="DDDDDD"/>
            <w:bottom w:val="single" w:sz="6" w:space="2" w:color="DDDDDD"/>
            <w:right w:val="single" w:sz="6" w:space="2" w:color="DDDDDD"/>
          </w:divBdr>
          <w:divsChild>
            <w:div w:id="397823084">
              <w:marLeft w:val="0"/>
              <w:marRight w:val="0"/>
              <w:marTop w:val="0"/>
              <w:marBottom w:val="0"/>
              <w:divBdr>
                <w:top w:val="none" w:sz="0" w:space="0" w:color="auto"/>
                <w:left w:val="none" w:sz="0" w:space="0" w:color="auto"/>
                <w:bottom w:val="none" w:sz="0" w:space="0" w:color="auto"/>
                <w:right w:val="none" w:sz="0" w:space="0" w:color="auto"/>
              </w:divBdr>
              <w:divsChild>
                <w:div w:id="534735723">
                  <w:marLeft w:val="-225"/>
                  <w:marRight w:val="-225"/>
                  <w:marTop w:val="0"/>
                  <w:marBottom w:val="0"/>
                  <w:divBdr>
                    <w:top w:val="none" w:sz="0" w:space="0" w:color="auto"/>
                    <w:left w:val="none" w:sz="0" w:space="0" w:color="auto"/>
                    <w:bottom w:val="none" w:sz="0" w:space="0" w:color="auto"/>
                    <w:right w:val="none" w:sz="0" w:space="0" w:color="auto"/>
                  </w:divBdr>
                  <w:divsChild>
                    <w:div w:id="575822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97165">
      <w:bodyDiv w:val="1"/>
      <w:marLeft w:val="0"/>
      <w:marRight w:val="0"/>
      <w:marTop w:val="0"/>
      <w:marBottom w:val="0"/>
      <w:divBdr>
        <w:top w:val="none" w:sz="0" w:space="0" w:color="auto"/>
        <w:left w:val="none" w:sz="0" w:space="0" w:color="auto"/>
        <w:bottom w:val="none" w:sz="0" w:space="0" w:color="auto"/>
        <w:right w:val="none" w:sz="0" w:space="0" w:color="auto"/>
      </w:divBdr>
      <w:divsChild>
        <w:div w:id="79448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031757">
      <w:bodyDiv w:val="1"/>
      <w:marLeft w:val="0"/>
      <w:marRight w:val="0"/>
      <w:marTop w:val="0"/>
      <w:marBottom w:val="0"/>
      <w:divBdr>
        <w:top w:val="none" w:sz="0" w:space="0" w:color="auto"/>
        <w:left w:val="none" w:sz="0" w:space="0" w:color="auto"/>
        <w:bottom w:val="none" w:sz="0" w:space="0" w:color="auto"/>
        <w:right w:val="none" w:sz="0" w:space="0" w:color="auto"/>
      </w:divBdr>
    </w:div>
    <w:div w:id="1172840239">
      <w:bodyDiv w:val="1"/>
      <w:marLeft w:val="0"/>
      <w:marRight w:val="0"/>
      <w:marTop w:val="0"/>
      <w:marBottom w:val="0"/>
      <w:divBdr>
        <w:top w:val="none" w:sz="0" w:space="0" w:color="auto"/>
        <w:left w:val="none" w:sz="0" w:space="0" w:color="auto"/>
        <w:bottom w:val="none" w:sz="0" w:space="0" w:color="auto"/>
        <w:right w:val="none" w:sz="0" w:space="0" w:color="auto"/>
      </w:divBdr>
      <w:divsChild>
        <w:div w:id="1797136008">
          <w:marLeft w:val="0"/>
          <w:marRight w:val="0"/>
          <w:marTop w:val="0"/>
          <w:marBottom w:val="0"/>
          <w:divBdr>
            <w:top w:val="none" w:sz="0" w:space="0" w:color="auto"/>
            <w:left w:val="none" w:sz="0" w:space="0" w:color="auto"/>
            <w:bottom w:val="none" w:sz="0" w:space="0" w:color="auto"/>
            <w:right w:val="none" w:sz="0" w:space="0" w:color="auto"/>
          </w:divBdr>
          <w:divsChild>
            <w:div w:id="1987470346">
              <w:marLeft w:val="0"/>
              <w:marRight w:val="0"/>
              <w:marTop w:val="0"/>
              <w:marBottom w:val="0"/>
              <w:divBdr>
                <w:top w:val="none" w:sz="0" w:space="0" w:color="auto"/>
                <w:left w:val="none" w:sz="0" w:space="0" w:color="auto"/>
                <w:bottom w:val="none" w:sz="0" w:space="0" w:color="auto"/>
                <w:right w:val="none" w:sz="0" w:space="0" w:color="auto"/>
              </w:divBdr>
              <w:divsChild>
                <w:div w:id="307134296">
                  <w:marLeft w:val="0"/>
                  <w:marRight w:val="0"/>
                  <w:marTop w:val="0"/>
                  <w:marBottom w:val="0"/>
                  <w:divBdr>
                    <w:top w:val="none" w:sz="0" w:space="0" w:color="auto"/>
                    <w:left w:val="none" w:sz="0" w:space="0" w:color="auto"/>
                    <w:bottom w:val="none" w:sz="0" w:space="0" w:color="auto"/>
                    <w:right w:val="none" w:sz="0" w:space="0" w:color="auto"/>
                  </w:divBdr>
                  <w:divsChild>
                    <w:div w:id="325138006">
                      <w:marLeft w:val="0"/>
                      <w:marRight w:val="0"/>
                      <w:marTop w:val="0"/>
                      <w:marBottom w:val="0"/>
                      <w:divBdr>
                        <w:top w:val="none" w:sz="0" w:space="0" w:color="auto"/>
                        <w:left w:val="none" w:sz="0" w:space="0" w:color="auto"/>
                        <w:bottom w:val="none" w:sz="0" w:space="0" w:color="auto"/>
                        <w:right w:val="none" w:sz="0" w:space="0" w:color="auto"/>
                      </w:divBdr>
                      <w:divsChild>
                        <w:div w:id="756634620">
                          <w:marLeft w:val="0"/>
                          <w:marRight w:val="0"/>
                          <w:marTop w:val="0"/>
                          <w:marBottom w:val="0"/>
                          <w:divBdr>
                            <w:top w:val="none" w:sz="0" w:space="0" w:color="auto"/>
                            <w:left w:val="none" w:sz="0" w:space="0" w:color="auto"/>
                            <w:bottom w:val="none" w:sz="0" w:space="0" w:color="auto"/>
                            <w:right w:val="none" w:sz="0" w:space="0" w:color="auto"/>
                          </w:divBdr>
                          <w:divsChild>
                            <w:div w:id="151653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723770">
      <w:bodyDiv w:val="1"/>
      <w:marLeft w:val="0"/>
      <w:marRight w:val="0"/>
      <w:marTop w:val="0"/>
      <w:marBottom w:val="0"/>
      <w:divBdr>
        <w:top w:val="none" w:sz="0" w:space="0" w:color="auto"/>
        <w:left w:val="none" w:sz="0" w:space="0" w:color="auto"/>
        <w:bottom w:val="none" w:sz="0" w:space="0" w:color="auto"/>
        <w:right w:val="none" w:sz="0" w:space="0" w:color="auto"/>
      </w:divBdr>
      <w:divsChild>
        <w:div w:id="129984357">
          <w:marLeft w:val="0"/>
          <w:marRight w:val="0"/>
          <w:marTop w:val="0"/>
          <w:marBottom w:val="0"/>
          <w:divBdr>
            <w:top w:val="none" w:sz="0" w:space="0" w:color="auto"/>
            <w:left w:val="none" w:sz="0" w:space="0" w:color="auto"/>
            <w:bottom w:val="none" w:sz="0" w:space="0" w:color="auto"/>
            <w:right w:val="none" w:sz="0" w:space="0" w:color="auto"/>
          </w:divBdr>
          <w:divsChild>
            <w:div w:id="572398901">
              <w:marLeft w:val="0"/>
              <w:marRight w:val="0"/>
              <w:marTop w:val="0"/>
              <w:marBottom w:val="0"/>
              <w:divBdr>
                <w:top w:val="none" w:sz="0" w:space="0" w:color="auto"/>
                <w:left w:val="none" w:sz="0" w:space="0" w:color="auto"/>
                <w:bottom w:val="none" w:sz="0" w:space="0" w:color="auto"/>
                <w:right w:val="none" w:sz="0" w:space="0" w:color="auto"/>
              </w:divBdr>
              <w:divsChild>
                <w:div w:id="1215042309">
                  <w:marLeft w:val="0"/>
                  <w:marRight w:val="0"/>
                  <w:marTop w:val="0"/>
                  <w:marBottom w:val="0"/>
                  <w:divBdr>
                    <w:top w:val="none" w:sz="0" w:space="0" w:color="auto"/>
                    <w:left w:val="none" w:sz="0" w:space="0" w:color="auto"/>
                    <w:bottom w:val="none" w:sz="0" w:space="0" w:color="auto"/>
                    <w:right w:val="none" w:sz="0" w:space="0" w:color="auto"/>
                  </w:divBdr>
                  <w:divsChild>
                    <w:div w:id="18169478">
                      <w:marLeft w:val="0"/>
                      <w:marRight w:val="0"/>
                      <w:marTop w:val="0"/>
                      <w:marBottom w:val="0"/>
                      <w:divBdr>
                        <w:top w:val="none" w:sz="0" w:space="0" w:color="auto"/>
                        <w:left w:val="none" w:sz="0" w:space="0" w:color="auto"/>
                        <w:bottom w:val="none" w:sz="0" w:space="0" w:color="auto"/>
                        <w:right w:val="none" w:sz="0" w:space="0" w:color="auto"/>
                      </w:divBdr>
                      <w:divsChild>
                        <w:div w:id="87970128">
                          <w:marLeft w:val="0"/>
                          <w:marRight w:val="0"/>
                          <w:marTop w:val="0"/>
                          <w:marBottom w:val="0"/>
                          <w:divBdr>
                            <w:top w:val="none" w:sz="0" w:space="0" w:color="auto"/>
                            <w:left w:val="none" w:sz="0" w:space="0" w:color="auto"/>
                            <w:bottom w:val="none" w:sz="0" w:space="0" w:color="auto"/>
                            <w:right w:val="none" w:sz="0" w:space="0" w:color="auto"/>
                          </w:divBdr>
                          <w:divsChild>
                            <w:div w:id="93378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862191">
      <w:bodyDiv w:val="1"/>
      <w:marLeft w:val="0"/>
      <w:marRight w:val="0"/>
      <w:marTop w:val="0"/>
      <w:marBottom w:val="0"/>
      <w:divBdr>
        <w:top w:val="none" w:sz="0" w:space="0" w:color="auto"/>
        <w:left w:val="none" w:sz="0" w:space="0" w:color="auto"/>
        <w:bottom w:val="none" w:sz="0" w:space="0" w:color="auto"/>
        <w:right w:val="none" w:sz="0" w:space="0" w:color="auto"/>
      </w:divBdr>
    </w:div>
    <w:div w:id="1232886161">
      <w:bodyDiv w:val="1"/>
      <w:marLeft w:val="0"/>
      <w:marRight w:val="0"/>
      <w:marTop w:val="0"/>
      <w:marBottom w:val="0"/>
      <w:divBdr>
        <w:top w:val="none" w:sz="0" w:space="0" w:color="auto"/>
        <w:left w:val="none" w:sz="0" w:space="0" w:color="auto"/>
        <w:bottom w:val="none" w:sz="0" w:space="0" w:color="auto"/>
        <w:right w:val="none" w:sz="0" w:space="0" w:color="auto"/>
      </w:divBdr>
      <w:divsChild>
        <w:div w:id="421343871">
          <w:marLeft w:val="0"/>
          <w:marRight w:val="0"/>
          <w:marTop w:val="0"/>
          <w:marBottom w:val="0"/>
          <w:divBdr>
            <w:top w:val="none" w:sz="0" w:space="0" w:color="auto"/>
            <w:left w:val="none" w:sz="0" w:space="0" w:color="auto"/>
            <w:bottom w:val="none" w:sz="0" w:space="0" w:color="auto"/>
            <w:right w:val="none" w:sz="0" w:space="0" w:color="auto"/>
          </w:divBdr>
          <w:divsChild>
            <w:div w:id="2008366131">
              <w:marLeft w:val="0"/>
              <w:marRight w:val="0"/>
              <w:marTop w:val="0"/>
              <w:marBottom w:val="0"/>
              <w:divBdr>
                <w:top w:val="none" w:sz="0" w:space="0" w:color="auto"/>
                <w:left w:val="none" w:sz="0" w:space="0" w:color="auto"/>
                <w:bottom w:val="none" w:sz="0" w:space="0" w:color="auto"/>
                <w:right w:val="none" w:sz="0" w:space="0" w:color="auto"/>
              </w:divBdr>
              <w:divsChild>
                <w:div w:id="201942800">
                  <w:marLeft w:val="0"/>
                  <w:marRight w:val="0"/>
                  <w:marTop w:val="0"/>
                  <w:marBottom w:val="0"/>
                  <w:divBdr>
                    <w:top w:val="none" w:sz="0" w:space="0" w:color="auto"/>
                    <w:left w:val="none" w:sz="0" w:space="0" w:color="auto"/>
                    <w:bottom w:val="none" w:sz="0" w:space="0" w:color="auto"/>
                    <w:right w:val="none" w:sz="0" w:space="0" w:color="auto"/>
                  </w:divBdr>
                  <w:divsChild>
                    <w:div w:id="855264281">
                      <w:marLeft w:val="0"/>
                      <w:marRight w:val="0"/>
                      <w:marTop w:val="0"/>
                      <w:marBottom w:val="0"/>
                      <w:divBdr>
                        <w:top w:val="none" w:sz="0" w:space="0" w:color="auto"/>
                        <w:left w:val="none" w:sz="0" w:space="0" w:color="auto"/>
                        <w:bottom w:val="none" w:sz="0" w:space="0" w:color="auto"/>
                        <w:right w:val="none" w:sz="0" w:space="0" w:color="auto"/>
                      </w:divBdr>
                      <w:divsChild>
                        <w:div w:id="1248883341">
                          <w:marLeft w:val="0"/>
                          <w:marRight w:val="0"/>
                          <w:marTop w:val="0"/>
                          <w:marBottom w:val="0"/>
                          <w:divBdr>
                            <w:top w:val="none" w:sz="0" w:space="0" w:color="auto"/>
                            <w:left w:val="none" w:sz="0" w:space="0" w:color="auto"/>
                            <w:bottom w:val="none" w:sz="0" w:space="0" w:color="auto"/>
                            <w:right w:val="none" w:sz="0" w:space="0" w:color="auto"/>
                          </w:divBdr>
                          <w:divsChild>
                            <w:div w:id="15010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809870">
      <w:bodyDiv w:val="1"/>
      <w:marLeft w:val="0"/>
      <w:marRight w:val="0"/>
      <w:marTop w:val="0"/>
      <w:marBottom w:val="0"/>
      <w:divBdr>
        <w:top w:val="none" w:sz="0" w:space="0" w:color="auto"/>
        <w:left w:val="none" w:sz="0" w:space="0" w:color="auto"/>
        <w:bottom w:val="none" w:sz="0" w:space="0" w:color="auto"/>
        <w:right w:val="none" w:sz="0" w:space="0" w:color="auto"/>
      </w:divBdr>
    </w:div>
    <w:div w:id="1257404989">
      <w:bodyDiv w:val="1"/>
      <w:marLeft w:val="0"/>
      <w:marRight w:val="0"/>
      <w:marTop w:val="0"/>
      <w:marBottom w:val="0"/>
      <w:divBdr>
        <w:top w:val="none" w:sz="0" w:space="0" w:color="auto"/>
        <w:left w:val="none" w:sz="0" w:space="0" w:color="auto"/>
        <w:bottom w:val="none" w:sz="0" w:space="0" w:color="auto"/>
        <w:right w:val="none" w:sz="0" w:space="0" w:color="auto"/>
      </w:divBdr>
    </w:div>
    <w:div w:id="1267159530">
      <w:bodyDiv w:val="1"/>
      <w:marLeft w:val="0"/>
      <w:marRight w:val="0"/>
      <w:marTop w:val="0"/>
      <w:marBottom w:val="0"/>
      <w:divBdr>
        <w:top w:val="none" w:sz="0" w:space="0" w:color="auto"/>
        <w:left w:val="none" w:sz="0" w:space="0" w:color="auto"/>
        <w:bottom w:val="none" w:sz="0" w:space="0" w:color="auto"/>
        <w:right w:val="none" w:sz="0" w:space="0" w:color="auto"/>
      </w:divBdr>
      <w:divsChild>
        <w:div w:id="1269846521">
          <w:marLeft w:val="0"/>
          <w:marRight w:val="0"/>
          <w:marTop w:val="0"/>
          <w:marBottom w:val="0"/>
          <w:divBdr>
            <w:top w:val="none" w:sz="0" w:space="0" w:color="auto"/>
            <w:left w:val="none" w:sz="0" w:space="0" w:color="auto"/>
            <w:bottom w:val="none" w:sz="0" w:space="0" w:color="auto"/>
            <w:right w:val="none" w:sz="0" w:space="0" w:color="auto"/>
          </w:divBdr>
          <w:divsChild>
            <w:div w:id="1087310944">
              <w:marLeft w:val="0"/>
              <w:marRight w:val="0"/>
              <w:marTop w:val="0"/>
              <w:marBottom w:val="0"/>
              <w:divBdr>
                <w:top w:val="none" w:sz="0" w:space="0" w:color="auto"/>
                <w:left w:val="none" w:sz="0" w:space="0" w:color="auto"/>
                <w:bottom w:val="none" w:sz="0" w:space="0" w:color="auto"/>
                <w:right w:val="none" w:sz="0" w:space="0" w:color="auto"/>
              </w:divBdr>
              <w:divsChild>
                <w:div w:id="1929118301">
                  <w:marLeft w:val="0"/>
                  <w:marRight w:val="0"/>
                  <w:marTop w:val="0"/>
                  <w:marBottom w:val="0"/>
                  <w:divBdr>
                    <w:top w:val="none" w:sz="0" w:space="0" w:color="auto"/>
                    <w:left w:val="none" w:sz="0" w:space="0" w:color="auto"/>
                    <w:bottom w:val="none" w:sz="0" w:space="0" w:color="auto"/>
                    <w:right w:val="none" w:sz="0" w:space="0" w:color="auto"/>
                  </w:divBdr>
                  <w:divsChild>
                    <w:div w:id="12888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37025">
      <w:bodyDiv w:val="1"/>
      <w:marLeft w:val="0"/>
      <w:marRight w:val="0"/>
      <w:marTop w:val="0"/>
      <w:marBottom w:val="0"/>
      <w:divBdr>
        <w:top w:val="none" w:sz="0" w:space="0" w:color="auto"/>
        <w:left w:val="none" w:sz="0" w:space="0" w:color="auto"/>
        <w:bottom w:val="none" w:sz="0" w:space="0" w:color="auto"/>
        <w:right w:val="none" w:sz="0" w:space="0" w:color="auto"/>
      </w:divBdr>
    </w:div>
    <w:div w:id="1274437331">
      <w:bodyDiv w:val="1"/>
      <w:marLeft w:val="0"/>
      <w:marRight w:val="0"/>
      <w:marTop w:val="0"/>
      <w:marBottom w:val="0"/>
      <w:divBdr>
        <w:top w:val="none" w:sz="0" w:space="0" w:color="auto"/>
        <w:left w:val="none" w:sz="0" w:space="0" w:color="auto"/>
        <w:bottom w:val="none" w:sz="0" w:space="0" w:color="auto"/>
        <w:right w:val="none" w:sz="0" w:space="0" w:color="auto"/>
      </w:divBdr>
    </w:div>
    <w:div w:id="1287354364">
      <w:bodyDiv w:val="1"/>
      <w:marLeft w:val="0"/>
      <w:marRight w:val="0"/>
      <w:marTop w:val="0"/>
      <w:marBottom w:val="0"/>
      <w:divBdr>
        <w:top w:val="none" w:sz="0" w:space="0" w:color="auto"/>
        <w:left w:val="none" w:sz="0" w:space="0" w:color="auto"/>
        <w:bottom w:val="none" w:sz="0" w:space="0" w:color="auto"/>
        <w:right w:val="none" w:sz="0" w:space="0" w:color="auto"/>
      </w:divBdr>
    </w:div>
    <w:div w:id="1314599136">
      <w:bodyDiv w:val="1"/>
      <w:marLeft w:val="0"/>
      <w:marRight w:val="0"/>
      <w:marTop w:val="0"/>
      <w:marBottom w:val="0"/>
      <w:divBdr>
        <w:top w:val="none" w:sz="0" w:space="0" w:color="auto"/>
        <w:left w:val="none" w:sz="0" w:space="0" w:color="auto"/>
        <w:bottom w:val="none" w:sz="0" w:space="0" w:color="auto"/>
        <w:right w:val="none" w:sz="0" w:space="0" w:color="auto"/>
      </w:divBdr>
      <w:divsChild>
        <w:div w:id="342366752">
          <w:marLeft w:val="0"/>
          <w:marRight w:val="0"/>
          <w:marTop w:val="0"/>
          <w:marBottom w:val="0"/>
          <w:divBdr>
            <w:top w:val="none" w:sz="0" w:space="0" w:color="auto"/>
            <w:left w:val="none" w:sz="0" w:space="0" w:color="auto"/>
            <w:bottom w:val="none" w:sz="0" w:space="0" w:color="auto"/>
            <w:right w:val="none" w:sz="0" w:space="0" w:color="auto"/>
          </w:divBdr>
          <w:divsChild>
            <w:div w:id="1169102667">
              <w:marLeft w:val="0"/>
              <w:marRight w:val="0"/>
              <w:marTop w:val="0"/>
              <w:marBottom w:val="0"/>
              <w:divBdr>
                <w:top w:val="none" w:sz="0" w:space="0" w:color="auto"/>
                <w:left w:val="none" w:sz="0" w:space="0" w:color="auto"/>
                <w:bottom w:val="none" w:sz="0" w:space="0" w:color="auto"/>
                <w:right w:val="none" w:sz="0" w:space="0" w:color="auto"/>
              </w:divBdr>
              <w:divsChild>
                <w:div w:id="837311179">
                  <w:marLeft w:val="0"/>
                  <w:marRight w:val="0"/>
                  <w:marTop w:val="0"/>
                  <w:marBottom w:val="0"/>
                  <w:divBdr>
                    <w:top w:val="none" w:sz="0" w:space="0" w:color="auto"/>
                    <w:left w:val="none" w:sz="0" w:space="0" w:color="auto"/>
                    <w:bottom w:val="none" w:sz="0" w:space="0" w:color="auto"/>
                    <w:right w:val="none" w:sz="0" w:space="0" w:color="auto"/>
                  </w:divBdr>
                  <w:divsChild>
                    <w:div w:id="1694728172">
                      <w:marLeft w:val="0"/>
                      <w:marRight w:val="0"/>
                      <w:marTop w:val="0"/>
                      <w:marBottom w:val="0"/>
                      <w:divBdr>
                        <w:top w:val="none" w:sz="0" w:space="0" w:color="auto"/>
                        <w:left w:val="none" w:sz="0" w:space="0" w:color="auto"/>
                        <w:bottom w:val="none" w:sz="0" w:space="0" w:color="auto"/>
                        <w:right w:val="none" w:sz="0" w:space="0" w:color="auto"/>
                      </w:divBdr>
                      <w:divsChild>
                        <w:div w:id="1377074811">
                          <w:marLeft w:val="0"/>
                          <w:marRight w:val="0"/>
                          <w:marTop w:val="0"/>
                          <w:marBottom w:val="0"/>
                          <w:divBdr>
                            <w:top w:val="none" w:sz="0" w:space="0" w:color="auto"/>
                            <w:left w:val="none" w:sz="0" w:space="0" w:color="auto"/>
                            <w:bottom w:val="none" w:sz="0" w:space="0" w:color="auto"/>
                            <w:right w:val="none" w:sz="0" w:space="0" w:color="auto"/>
                          </w:divBdr>
                          <w:divsChild>
                            <w:div w:id="9394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592806">
      <w:bodyDiv w:val="1"/>
      <w:marLeft w:val="0"/>
      <w:marRight w:val="0"/>
      <w:marTop w:val="0"/>
      <w:marBottom w:val="0"/>
      <w:divBdr>
        <w:top w:val="none" w:sz="0" w:space="0" w:color="auto"/>
        <w:left w:val="none" w:sz="0" w:space="0" w:color="auto"/>
        <w:bottom w:val="none" w:sz="0" w:space="0" w:color="auto"/>
        <w:right w:val="none" w:sz="0" w:space="0" w:color="auto"/>
      </w:divBdr>
    </w:div>
    <w:div w:id="1333222892">
      <w:bodyDiv w:val="1"/>
      <w:marLeft w:val="0"/>
      <w:marRight w:val="0"/>
      <w:marTop w:val="0"/>
      <w:marBottom w:val="0"/>
      <w:divBdr>
        <w:top w:val="none" w:sz="0" w:space="0" w:color="auto"/>
        <w:left w:val="none" w:sz="0" w:space="0" w:color="auto"/>
        <w:bottom w:val="none" w:sz="0" w:space="0" w:color="auto"/>
        <w:right w:val="none" w:sz="0" w:space="0" w:color="auto"/>
      </w:divBdr>
      <w:divsChild>
        <w:div w:id="322244912">
          <w:marLeft w:val="-225"/>
          <w:marRight w:val="-225"/>
          <w:marTop w:val="0"/>
          <w:marBottom w:val="0"/>
          <w:divBdr>
            <w:top w:val="none" w:sz="0" w:space="0" w:color="auto"/>
            <w:left w:val="none" w:sz="0" w:space="0" w:color="auto"/>
            <w:bottom w:val="none" w:sz="0" w:space="0" w:color="auto"/>
            <w:right w:val="none" w:sz="0" w:space="0" w:color="auto"/>
          </w:divBdr>
          <w:divsChild>
            <w:div w:id="1870095841">
              <w:marLeft w:val="0"/>
              <w:marRight w:val="0"/>
              <w:marTop w:val="0"/>
              <w:marBottom w:val="210"/>
              <w:divBdr>
                <w:top w:val="none" w:sz="0" w:space="0" w:color="auto"/>
                <w:left w:val="none" w:sz="0" w:space="0" w:color="auto"/>
                <w:bottom w:val="none" w:sz="0" w:space="0" w:color="auto"/>
                <w:right w:val="none" w:sz="0" w:space="0" w:color="auto"/>
              </w:divBdr>
            </w:div>
          </w:divsChild>
        </w:div>
        <w:div w:id="1565140673">
          <w:marLeft w:val="-225"/>
          <w:marRight w:val="-225"/>
          <w:marTop w:val="0"/>
          <w:marBottom w:val="0"/>
          <w:divBdr>
            <w:top w:val="none" w:sz="0" w:space="0" w:color="auto"/>
            <w:left w:val="none" w:sz="0" w:space="0" w:color="auto"/>
            <w:bottom w:val="none" w:sz="0" w:space="0" w:color="auto"/>
            <w:right w:val="none" w:sz="0" w:space="0" w:color="auto"/>
          </w:divBdr>
        </w:div>
      </w:divsChild>
    </w:div>
    <w:div w:id="1350720057">
      <w:bodyDiv w:val="1"/>
      <w:marLeft w:val="0"/>
      <w:marRight w:val="0"/>
      <w:marTop w:val="0"/>
      <w:marBottom w:val="0"/>
      <w:divBdr>
        <w:top w:val="none" w:sz="0" w:space="0" w:color="auto"/>
        <w:left w:val="none" w:sz="0" w:space="0" w:color="auto"/>
        <w:bottom w:val="none" w:sz="0" w:space="0" w:color="auto"/>
        <w:right w:val="none" w:sz="0" w:space="0" w:color="auto"/>
      </w:divBdr>
      <w:divsChild>
        <w:div w:id="2103254695">
          <w:marLeft w:val="-225"/>
          <w:marRight w:val="-225"/>
          <w:marTop w:val="0"/>
          <w:marBottom w:val="0"/>
          <w:divBdr>
            <w:top w:val="none" w:sz="0" w:space="0" w:color="auto"/>
            <w:left w:val="none" w:sz="0" w:space="0" w:color="auto"/>
            <w:bottom w:val="none" w:sz="0" w:space="0" w:color="auto"/>
            <w:right w:val="none" w:sz="0" w:space="0" w:color="auto"/>
          </w:divBdr>
          <w:divsChild>
            <w:div w:id="1586525832">
              <w:marLeft w:val="0"/>
              <w:marRight w:val="0"/>
              <w:marTop w:val="0"/>
              <w:marBottom w:val="0"/>
              <w:divBdr>
                <w:top w:val="none" w:sz="0" w:space="0" w:color="auto"/>
                <w:left w:val="none" w:sz="0" w:space="0" w:color="auto"/>
                <w:bottom w:val="none" w:sz="0" w:space="0" w:color="auto"/>
                <w:right w:val="none" w:sz="0" w:space="0" w:color="auto"/>
              </w:divBdr>
            </w:div>
          </w:divsChild>
        </w:div>
        <w:div w:id="1021083058">
          <w:marLeft w:val="-225"/>
          <w:marRight w:val="-225"/>
          <w:marTop w:val="0"/>
          <w:marBottom w:val="0"/>
          <w:divBdr>
            <w:top w:val="none" w:sz="0" w:space="0" w:color="auto"/>
            <w:left w:val="none" w:sz="0" w:space="0" w:color="auto"/>
            <w:bottom w:val="none" w:sz="0" w:space="0" w:color="auto"/>
            <w:right w:val="none" w:sz="0" w:space="0" w:color="auto"/>
          </w:divBdr>
          <w:divsChild>
            <w:div w:id="183764874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359503732">
      <w:bodyDiv w:val="1"/>
      <w:marLeft w:val="0"/>
      <w:marRight w:val="0"/>
      <w:marTop w:val="0"/>
      <w:marBottom w:val="0"/>
      <w:divBdr>
        <w:top w:val="none" w:sz="0" w:space="0" w:color="auto"/>
        <w:left w:val="none" w:sz="0" w:space="0" w:color="auto"/>
        <w:bottom w:val="none" w:sz="0" w:space="0" w:color="auto"/>
        <w:right w:val="none" w:sz="0" w:space="0" w:color="auto"/>
      </w:divBdr>
    </w:div>
    <w:div w:id="1365790573">
      <w:bodyDiv w:val="1"/>
      <w:marLeft w:val="0"/>
      <w:marRight w:val="0"/>
      <w:marTop w:val="0"/>
      <w:marBottom w:val="0"/>
      <w:divBdr>
        <w:top w:val="none" w:sz="0" w:space="0" w:color="auto"/>
        <w:left w:val="none" w:sz="0" w:space="0" w:color="auto"/>
        <w:bottom w:val="none" w:sz="0" w:space="0" w:color="auto"/>
        <w:right w:val="none" w:sz="0" w:space="0" w:color="auto"/>
      </w:divBdr>
      <w:divsChild>
        <w:div w:id="1811088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8551572">
      <w:bodyDiv w:val="1"/>
      <w:marLeft w:val="0"/>
      <w:marRight w:val="0"/>
      <w:marTop w:val="0"/>
      <w:marBottom w:val="0"/>
      <w:divBdr>
        <w:top w:val="none" w:sz="0" w:space="0" w:color="auto"/>
        <w:left w:val="none" w:sz="0" w:space="0" w:color="auto"/>
        <w:bottom w:val="none" w:sz="0" w:space="0" w:color="auto"/>
        <w:right w:val="none" w:sz="0" w:space="0" w:color="auto"/>
      </w:divBdr>
    </w:div>
    <w:div w:id="1387678422">
      <w:bodyDiv w:val="1"/>
      <w:marLeft w:val="0"/>
      <w:marRight w:val="0"/>
      <w:marTop w:val="0"/>
      <w:marBottom w:val="0"/>
      <w:divBdr>
        <w:top w:val="none" w:sz="0" w:space="0" w:color="auto"/>
        <w:left w:val="none" w:sz="0" w:space="0" w:color="auto"/>
        <w:bottom w:val="none" w:sz="0" w:space="0" w:color="auto"/>
        <w:right w:val="none" w:sz="0" w:space="0" w:color="auto"/>
      </w:divBdr>
    </w:div>
    <w:div w:id="1393505880">
      <w:bodyDiv w:val="1"/>
      <w:marLeft w:val="0"/>
      <w:marRight w:val="0"/>
      <w:marTop w:val="0"/>
      <w:marBottom w:val="0"/>
      <w:divBdr>
        <w:top w:val="none" w:sz="0" w:space="0" w:color="auto"/>
        <w:left w:val="none" w:sz="0" w:space="0" w:color="auto"/>
        <w:bottom w:val="none" w:sz="0" w:space="0" w:color="auto"/>
        <w:right w:val="none" w:sz="0" w:space="0" w:color="auto"/>
      </w:divBdr>
    </w:div>
    <w:div w:id="1396581944">
      <w:bodyDiv w:val="1"/>
      <w:marLeft w:val="0"/>
      <w:marRight w:val="0"/>
      <w:marTop w:val="0"/>
      <w:marBottom w:val="0"/>
      <w:divBdr>
        <w:top w:val="none" w:sz="0" w:space="0" w:color="auto"/>
        <w:left w:val="none" w:sz="0" w:space="0" w:color="auto"/>
        <w:bottom w:val="none" w:sz="0" w:space="0" w:color="auto"/>
        <w:right w:val="none" w:sz="0" w:space="0" w:color="auto"/>
      </w:divBdr>
    </w:div>
    <w:div w:id="1413163599">
      <w:bodyDiv w:val="1"/>
      <w:marLeft w:val="0"/>
      <w:marRight w:val="0"/>
      <w:marTop w:val="0"/>
      <w:marBottom w:val="0"/>
      <w:divBdr>
        <w:top w:val="none" w:sz="0" w:space="0" w:color="auto"/>
        <w:left w:val="none" w:sz="0" w:space="0" w:color="auto"/>
        <w:bottom w:val="none" w:sz="0" w:space="0" w:color="auto"/>
        <w:right w:val="none" w:sz="0" w:space="0" w:color="auto"/>
      </w:divBdr>
      <w:divsChild>
        <w:div w:id="1271859446">
          <w:marLeft w:val="-225"/>
          <w:marRight w:val="-225"/>
          <w:marTop w:val="0"/>
          <w:marBottom w:val="0"/>
          <w:divBdr>
            <w:top w:val="none" w:sz="0" w:space="0" w:color="auto"/>
            <w:left w:val="none" w:sz="0" w:space="0" w:color="auto"/>
            <w:bottom w:val="none" w:sz="0" w:space="0" w:color="auto"/>
            <w:right w:val="none" w:sz="0" w:space="0" w:color="auto"/>
          </w:divBdr>
          <w:divsChild>
            <w:div w:id="977228087">
              <w:marLeft w:val="0"/>
              <w:marRight w:val="0"/>
              <w:marTop w:val="0"/>
              <w:marBottom w:val="0"/>
              <w:divBdr>
                <w:top w:val="none" w:sz="0" w:space="0" w:color="auto"/>
                <w:left w:val="none" w:sz="0" w:space="0" w:color="auto"/>
                <w:bottom w:val="none" w:sz="0" w:space="0" w:color="auto"/>
                <w:right w:val="none" w:sz="0" w:space="0" w:color="auto"/>
              </w:divBdr>
            </w:div>
          </w:divsChild>
        </w:div>
        <w:div w:id="195629343">
          <w:marLeft w:val="-225"/>
          <w:marRight w:val="-225"/>
          <w:marTop w:val="0"/>
          <w:marBottom w:val="0"/>
          <w:divBdr>
            <w:top w:val="none" w:sz="0" w:space="0" w:color="auto"/>
            <w:left w:val="none" w:sz="0" w:space="0" w:color="auto"/>
            <w:bottom w:val="none" w:sz="0" w:space="0" w:color="auto"/>
            <w:right w:val="none" w:sz="0" w:space="0" w:color="auto"/>
          </w:divBdr>
          <w:divsChild>
            <w:div w:id="161062206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455952119">
      <w:bodyDiv w:val="1"/>
      <w:marLeft w:val="0"/>
      <w:marRight w:val="0"/>
      <w:marTop w:val="0"/>
      <w:marBottom w:val="0"/>
      <w:divBdr>
        <w:top w:val="none" w:sz="0" w:space="0" w:color="auto"/>
        <w:left w:val="none" w:sz="0" w:space="0" w:color="auto"/>
        <w:bottom w:val="none" w:sz="0" w:space="0" w:color="auto"/>
        <w:right w:val="none" w:sz="0" w:space="0" w:color="auto"/>
      </w:divBdr>
      <w:divsChild>
        <w:div w:id="1618104484">
          <w:marLeft w:val="0"/>
          <w:marRight w:val="0"/>
          <w:marTop w:val="0"/>
          <w:marBottom w:val="0"/>
          <w:divBdr>
            <w:top w:val="none" w:sz="0" w:space="0" w:color="auto"/>
            <w:left w:val="none" w:sz="0" w:space="0" w:color="auto"/>
            <w:bottom w:val="none" w:sz="0" w:space="0" w:color="auto"/>
            <w:right w:val="none" w:sz="0" w:space="0" w:color="auto"/>
          </w:divBdr>
          <w:divsChild>
            <w:div w:id="1359238923">
              <w:marLeft w:val="0"/>
              <w:marRight w:val="0"/>
              <w:marTop w:val="0"/>
              <w:marBottom w:val="0"/>
              <w:divBdr>
                <w:top w:val="none" w:sz="0" w:space="0" w:color="auto"/>
                <w:left w:val="none" w:sz="0" w:space="0" w:color="auto"/>
                <w:bottom w:val="none" w:sz="0" w:space="0" w:color="auto"/>
                <w:right w:val="none" w:sz="0" w:space="0" w:color="auto"/>
              </w:divBdr>
              <w:divsChild>
                <w:div w:id="669021658">
                  <w:marLeft w:val="0"/>
                  <w:marRight w:val="0"/>
                  <w:marTop w:val="0"/>
                  <w:marBottom w:val="0"/>
                  <w:divBdr>
                    <w:top w:val="none" w:sz="0" w:space="0" w:color="auto"/>
                    <w:left w:val="none" w:sz="0" w:space="0" w:color="auto"/>
                    <w:bottom w:val="none" w:sz="0" w:space="0" w:color="auto"/>
                    <w:right w:val="none" w:sz="0" w:space="0" w:color="auto"/>
                  </w:divBdr>
                  <w:divsChild>
                    <w:div w:id="523204317">
                      <w:marLeft w:val="0"/>
                      <w:marRight w:val="0"/>
                      <w:marTop w:val="0"/>
                      <w:marBottom w:val="0"/>
                      <w:divBdr>
                        <w:top w:val="none" w:sz="0" w:space="0" w:color="auto"/>
                        <w:left w:val="none" w:sz="0" w:space="0" w:color="auto"/>
                        <w:bottom w:val="none" w:sz="0" w:space="0" w:color="auto"/>
                        <w:right w:val="none" w:sz="0" w:space="0" w:color="auto"/>
                      </w:divBdr>
                      <w:divsChild>
                        <w:div w:id="724641522">
                          <w:marLeft w:val="0"/>
                          <w:marRight w:val="0"/>
                          <w:marTop w:val="0"/>
                          <w:marBottom w:val="0"/>
                          <w:divBdr>
                            <w:top w:val="none" w:sz="0" w:space="0" w:color="auto"/>
                            <w:left w:val="none" w:sz="0" w:space="0" w:color="auto"/>
                            <w:bottom w:val="none" w:sz="0" w:space="0" w:color="auto"/>
                            <w:right w:val="none" w:sz="0" w:space="0" w:color="auto"/>
                          </w:divBdr>
                          <w:divsChild>
                            <w:div w:id="10160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30530">
      <w:marLeft w:val="0"/>
      <w:marRight w:val="0"/>
      <w:marTop w:val="0"/>
      <w:marBottom w:val="0"/>
      <w:divBdr>
        <w:top w:val="none" w:sz="0" w:space="0" w:color="auto"/>
        <w:left w:val="none" w:sz="0" w:space="0" w:color="auto"/>
        <w:bottom w:val="none" w:sz="0" w:space="0" w:color="auto"/>
        <w:right w:val="none" w:sz="0" w:space="0" w:color="auto"/>
      </w:divBdr>
    </w:div>
    <w:div w:id="1468930531">
      <w:marLeft w:val="0"/>
      <w:marRight w:val="0"/>
      <w:marTop w:val="0"/>
      <w:marBottom w:val="0"/>
      <w:divBdr>
        <w:top w:val="none" w:sz="0" w:space="0" w:color="auto"/>
        <w:left w:val="none" w:sz="0" w:space="0" w:color="auto"/>
        <w:bottom w:val="none" w:sz="0" w:space="0" w:color="auto"/>
        <w:right w:val="none" w:sz="0" w:space="0" w:color="auto"/>
      </w:divBdr>
    </w:div>
    <w:div w:id="1494031387">
      <w:bodyDiv w:val="1"/>
      <w:marLeft w:val="0"/>
      <w:marRight w:val="0"/>
      <w:marTop w:val="0"/>
      <w:marBottom w:val="0"/>
      <w:divBdr>
        <w:top w:val="none" w:sz="0" w:space="0" w:color="auto"/>
        <w:left w:val="none" w:sz="0" w:space="0" w:color="auto"/>
        <w:bottom w:val="none" w:sz="0" w:space="0" w:color="auto"/>
        <w:right w:val="none" w:sz="0" w:space="0" w:color="auto"/>
      </w:divBdr>
    </w:div>
    <w:div w:id="1504517464">
      <w:bodyDiv w:val="1"/>
      <w:marLeft w:val="0"/>
      <w:marRight w:val="0"/>
      <w:marTop w:val="0"/>
      <w:marBottom w:val="0"/>
      <w:divBdr>
        <w:top w:val="none" w:sz="0" w:space="0" w:color="auto"/>
        <w:left w:val="none" w:sz="0" w:space="0" w:color="auto"/>
        <w:bottom w:val="none" w:sz="0" w:space="0" w:color="auto"/>
        <w:right w:val="none" w:sz="0" w:space="0" w:color="auto"/>
      </w:divBdr>
      <w:divsChild>
        <w:div w:id="888149443">
          <w:marLeft w:val="0"/>
          <w:marRight w:val="0"/>
          <w:marTop w:val="0"/>
          <w:marBottom w:val="0"/>
          <w:divBdr>
            <w:top w:val="single" w:sz="6" w:space="2" w:color="444646"/>
            <w:left w:val="single" w:sz="6" w:space="2" w:color="444646"/>
            <w:bottom w:val="single" w:sz="6" w:space="2" w:color="444646"/>
            <w:right w:val="single" w:sz="6" w:space="2" w:color="444646"/>
          </w:divBdr>
          <w:divsChild>
            <w:div w:id="910237302">
              <w:marLeft w:val="0"/>
              <w:marRight w:val="0"/>
              <w:marTop w:val="0"/>
              <w:marBottom w:val="0"/>
              <w:divBdr>
                <w:top w:val="none" w:sz="0" w:space="0" w:color="auto"/>
                <w:left w:val="none" w:sz="0" w:space="0" w:color="auto"/>
                <w:bottom w:val="none" w:sz="0" w:space="0" w:color="auto"/>
                <w:right w:val="none" w:sz="0" w:space="0" w:color="auto"/>
              </w:divBdr>
              <w:divsChild>
                <w:div w:id="363408865">
                  <w:marLeft w:val="-225"/>
                  <w:marRight w:val="-225"/>
                  <w:marTop w:val="0"/>
                  <w:marBottom w:val="0"/>
                  <w:divBdr>
                    <w:top w:val="none" w:sz="0" w:space="0" w:color="auto"/>
                    <w:left w:val="none" w:sz="0" w:space="0" w:color="auto"/>
                    <w:bottom w:val="none" w:sz="0" w:space="0" w:color="auto"/>
                    <w:right w:val="none" w:sz="0" w:space="0" w:color="auto"/>
                  </w:divBdr>
                  <w:divsChild>
                    <w:div w:id="8136386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39321">
      <w:bodyDiv w:val="1"/>
      <w:marLeft w:val="0"/>
      <w:marRight w:val="0"/>
      <w:marTop w:val="0"/>
      <w:marBottom w:val="0"/>
      <w:divBdr>
        <w:top w:val="none" w:sz="0" w:space="0" w:color="auto"/>
        <w:left w:val="none" w:sz="0" w:space="0" w:color="auto"/>
        <w:bottom w:val="none" w:sz="0" w:space="0" w:color="auto"/>
        <w:right w:val="none" w:sz="0" w:space="0" w:color="auto"/>
      </w:divBdr>
    </w:div>
    <w:div w:id="1526400886">
      <w:bodyDiv w:val="1"/>
      <w:marLeft w:val="0"/>
      <w:marRight w:val="0"/>
      <w:marTop w:val="0"/>
      <w:marBottom w:val="0"/>
      <w:divBdr>
        <w:top w:val="none" w:sz="0" w:space="0" w:color="auto"/>
        <w:left w:val="none" w:sz="0" w:space="0" w:color="auto"/>
        <w:bottom w:val="none" w:sz="0" w:space="0" w:color="auto"/>
        <w:right w:val="none" w:sz="0" w:space="0" w:color="auto"/>
      </w:divBdr>
    </w:div>
    <w:div w:id="1531071427">
      <w:bodyDiv w:val="1"/>
      <w:marLeft w:val="0"/>
      <w:marRight w:val="0"/>
      <w:marTop w:val="0"/>
      <w:marBottom w:val="0"/>
      <w:divBdr>
        <w:top w:val="none" w:sz="0" w:space="0" w:color="auto"/>
        <w:left w:val="none" w:sz="0" w:space="0" w:color="auto"/>
        <w:bottom w:val="none" w:sz="0" w:space="0" w:color="auto"/>
        <w:right w:val="none" w:sz="0" w:space="0" w:color="auto"/>
      </w:divBdr>
    </w:div>
    <w:div w:id="1552309529">
      <w:bodyDiv w:val="1"/>
      <w:marLeft w:val="0"/>
      <w:marRight w:val="0"/>
      <w:marTop w:val="0"/>
      <w:marBottom w:val="0"/>
      <w:divBdr>
        <w:top w:val="none" w:sz="0" w:space="0" w:color="auto"/>
        <w:left w:val="none" w:sz="0" w:space="0" w:color="auto"/>
        <w:bottom w:val="none" w:sz="0" w:space="0" w:color="auto"/>
        <w:right w:val="none" w:sz="0" w:space="0" w:color="auto"/>
      </w:divBdr>
      <w:divsChild>
        <w:div w:id="2123651057">
          <w:marLeft w:val="0"/>
          <w:marRight w:val="0"/>
          <w:marTop w:val="0"/>
          <w:marBottom w:val="0"/>
          <w:divBdr>
            <w:top w:val="none" w:sz="0" w:space="0" w:color="auto"/>
            <w:left w:val="none" w:sz="0" w:space="0" w:color="auto"/>
            <w:bottom w:val="none" w:sz="0" w:space="0" w:color="auto"/>
            <w:right w:val="none" w:sz="0" w:space="0" w:color="auto"/>
          </w:divBdr>
          <w:divsChild>
            <w:div w:id="2056924884">
              <w:marLeft w:val="0"/>
              <w:marRight w:val="0"/>
              <w:marTop w:val="0"/>
              <w:marBottom w:val="0"/>
              <w:divBdr>
                <w:top w:val="none" w:sz="0" w:space="0" w:color="auto"/>
                <w:left w:val="none" w:sz="0" w:space="0" w:color="auto"/>
                <w:bottom w:val="none" w:sz="0" w:space="0" w:color="auto"/>
                <w:right w:val="none" w:sz="0" w:space="0" w:color="auto"/>
              </w:divBdr>
              <w:divsChild>
                <w:div w:id="1454178747">
                  <w:marLeft w:val="0"/>
                  <w:marRight w:val="0"/>
                  <w:marTop w:val="0"/>
                  <w:marBottom w:val="0"/>
                  <w:divBdr>
                    <w:top w:val="none" w:sz="0" w:space="0" w:color="auto"/>
                    <w:left w:val="none" w:sz="0" w:space="0" w:color="auto"/>
                    <w:bottom w:val="none" w:sz="0" w:space="0" w:color="auto"/>
                    <w:right w:val="none" w:sz="0" w:space="0" w:color="auto"/>
                  </w:divBdr>
                  <w:divsChild>
                    <w:div w:id="393551906">
                      <w:marLeft w:val="0"/>
                      <w:marRight w:val="0"/>
                      <w:marTop w:val="0"/>
                      <w:marBottom w:val="0"/>
                      <w:divBdr>
                        <w:top w:val="none" w:sz="0" w:space="0" w:color="auto"/>
                        <w:left w:val="none" w:sz="0" w:space="0" w:color="auto"/>
                        <w:bottom w:val="none" w:sz="0" w:space="0" w:color="auto"/>
                        <w:right w:val="none" w:sz="0" w:space="0" w:color="auto"/>
                      </w:divBdr>
                      <w:divsChild>
                        <w:div w:id="448554846">
                          <w:marLeft w:val="0"/>
                          <w:marRight w:val="0"/>
                          <w:marTop w:val="0"/>
                          <w:marBottom w:val="0"/>
                          <w:divBdr>
                            <w:top w:val="none" w:sz="0" w:space="0" w:color="auto"/>
                            <w:left w:val="none" w:sz="0" w:space="0" w:color="auto"/>
                            <w:bottom w:val="none" w:sz="0" w:space="0" w:color="auto"/>
                            <w:right w:val="none" w:sz="0" w:space="0" w:color="auto"/>
                          </w:divBdr>
                          <w:divsChild>
                            <w:div w:id="91424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584672">
      <w:bodyDiv w:val="1"/>
      <w:marLeft w:val="0"/>
      <w:marRight w:val="0"/>
      <w:marTop w:val="0"/>
      <w:marBottom w:val="0"/>
      <w:divBdr>
        <w:top w:val="none" w:sz="0" w:space="0" w:color="auto"/>
        <w:left w:val="none" w:sz="0" w:space="0" w:color="auto"/>
        <w:bottom w:val="none" w:sz="0" w:space="0" w:color="auto"/>
        <w:right w:val="none" w:sz="0" w:space="0" w:color="auto"/>
      </w:divBdr>
      <w:divsChild>
        <w:div w:id="1800104576">
          <w:marLeft w:val="-225"/>
          <w:marRight w:val="-225"/>
          <w:marTop w:val="0"/>
          <w:marBottom w:val="0"/>
          <w:divBdr>
            <w:top w:val="none" w:sz="0" w:space="0" w:color="auto"/>
            <w:left w:val="none" w:sz="0" w:space="0" w:color="auto"/>
            <w:bottom w:val="none" w:sz="0" w:space="0" w:color="auto"/>
            <w:right w:val="none" w:sz="0" w:space="0" w:color="auto"/>
          </w:divBdr>
          <w:divsChild>
            <w:div w:id="1055196920">
              <w:marLeft w:val="0"/>
              <w:marRight w:val="0"/>
              <w:marTop w:val="0"/>
              <w:marBottom w:val="210"/>
              <w:divBdr>
                <w:top w:val="none" w:sz="0" w:space="0" w:color="auto"/>
                <w:left w:val="none" w:sz="0" w:space="0" w:color="auto"/>
                <w:bottom w:val="none" w:sz="0" w:space="0" w:color="auto"/>
                <w:right w:val="none" w:sz="0" w:space="0" w:color="auto"/>
              </w:divBdr>
            </w:div>
          </w:divsChild>
        </w:div>
        <w:div w:id="1708141266">
          <w:marLeft w:val="-225"/>
          <w:marRight w:val="-225"/>
          <w:marTop w:val="0"/>
          <w:marBottom w:val="0"/>
          <w:divBdr>
            <w:top w:val="none" w:sz="0" w:space="0" w:color="auto"/>
            <w:left w:val="none" w:sz="0" w:space="0" w:color="auto"/>
            <w:bottom w:val="none" w:sz="0" w:space="0" w:color="auto"/>
            <w:right w:val="none" w:sz="0" w:space="0" w:color="auto"/>
          </w:divBdr>
        </w:div>
      </w:divsChild>
    </w:div>
    <w:div w:id="1566800012">
      <w:bodyDiv w:val="1"/>
      <w:marLeft w:val="0"/>
      <w:marRight w:val="0"/>
      <w:marTop w:val="0"/>
      <w:marBottom w:val="0"/>
      <w:divBdr>
        <w:top w:val="none" w:sz="0" w:space="0" w:color="auto"/>
        <w:left w:val="none" w:sz="0" w:space="0" w:color="auto"/>
        <w:bottom w:val="none" w:sz="0" w:space="0" w:color="auto"/>
        <w:right w:val="none" w:sz="0" w:space="0" w:color="auto"/>
      </w:divBdr>
      <w:divsChild>
        <w:div w:id="400716594">
          <w:marLeft w:val="0"/>
          <w:marRight w:val="0"/>
          <w:marTop w:val="0"/>
          <w:marBottom w:val="0"/>
          <w:divBdr>
            <w:top w:val="none" w:sz="0" w:space="0" w:color="auto"/>
            <w:left w:val="none" w:sz="0" w:space="0" w:color="auto"/>
            <w:bottom w:val="none" w:sz="0" w:space="0" w:color="auto"/>
            <w:right w:val="none" w:sz="0" w:space="0" w:color="auto"/>
          </w:divBdr>
          <w:divsChild>
            <w:div w:id="1890921105">
              <w:marLeft w:val="0"/>
              <w:marRight w:val="0"/>
              <w:marTop w:val="0"/>
              <w:marBottom w:val="0"/>
              <w:divBdr>
                <w:top w:val="none" w:sz="0" w:space="0" w:color="auto"/>
                <w:left w:val="none" w:sz="0" w:space="0" w:color="auto"/>
                <w:bottom w:val="none" w:sz="0" w:space="0" w:color="auto"/>
                <w:right w:val="none" w:sz="0" w:space="0" w:color="auto"/>
              </w:divBdr>
              <w:divsChild>
                <w:div w:id="165437296">
                  <w:marLeft w:val="0"/>
                  <w:marRight w:val="0"/>
                  <w:marTop w:val="0"/>
                  <w:marBottom w:val="0"/>
                  <w:divBdr>
                    <w:top w:val="none" w:sz="0" w:space="0" w:color="auto"/>
                    <w:left w:val="none" w:sz="0" w:space="0" w:color="auto"/>
                    <w:bottom w:val="none" w:sz="0" w:space="0" w:color="auto"/>
                    <w:right w:val="none" w:sz="0" w:space="0" w:color="auto"/>
                  </w:divBdr>
                  <w:divsChild>
                    <w:div w:id="1450586456">
                      <w:marLeft w:val="0"/>
                      <w:marRight w:val="0"/>
                      <w:marTop w:val="0"/>
                      <w:marBottom w:val="0"/>
                      <w:divBdr>
                        <w:top w:val="none" w:sz="0" w:space="0" w:color="auto"/>
                        <w:left w:val="none" w:sz="0" w:space="0" w:color="auto"/>
                        <w:bottom w:val="none" w:sz="0" w:space="0" w:color="auto"/>
                        <w:right w:val="none" w:sz="0" w:space="0" w:color="auto"/>
                      </w:divBdr>
                      <w:divsChild>
                        <w:div w:id="1552425905">
                          <w:marLeft w:val="0"/>
                          <w:marRight w:val="0"/>
                          <w:marTop w:val="0"/>
                          <w:marBottom w:val="0"/>
                          <w:divBdr>
                            <w:top w:val="none" w:sz="0" w:space="0" w:color="auto"/>
                            <w:left w:val="none" w:sz="0" w:space="0" w:color="auto"/>
                            <w:bottom w:val="none" w:sz="0" w:space="0" w:color="auto"/>
                            <w:right w:val="none" w:sz="0" w:space="0" w:color="auto"/>
                          </w:divBdr>
                          <w:divsChild>
                            <w:div w:id="204637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58165">
      <w:bodyDiv w:val="1"/>
      <w:marLeft w:val="0"/>
      <w:marRight w:val="0"/>
      <w:marTop w:val="0"/>
      <w:marBottom w:val="0"/>
      <w:divBdr>
        <w:top w:val="none" w:sz="0" w:space="0" w:color="auto"/>
        <w:left w:val="none" w:sz="0" w:space="0" w:color="auto"/>
        <w:bottom w:val="none" w:sz="0" w:space="0" w:color="auto"/>
        <w:right w:val="none" w:sz="0" w:space="0" w:color="auto"/>
      </w:divBdr>
      <w:divsChild>
        <w:div w:id="1393431729">
          <w:marLeft w:val="0"/>
          <w:marRight w:val="0"/>
          <w:marTop w:val="0"/>
          <w:marBottom w:val="0"/>
          <w:divBdr>
            <w:top w:val="none" w:sz="0" w:space="0" w:color="auto"/>
            <w:left w:val="none" w:sz="0" w:space="0" w:color="auto"/>
            <w:bottom w:val="none" w:sz="0" w:space="0" w:color="auto"/>
            <w:right w:val="none" w:sz="0" w:space="0" w:color="auto"/>
          </w:divBdr>
          <w:divsChild>
            <w:div w:id="16397905">
              <w:marLeft w:val="0"/>
              <w:marRight w:val="0"/>
              <w:marTop w:val="0"/>
              <w:marBottom w:val="0"/>
              <w:divBdr>
                <w:top w:val="none" w:sz="0" w:space="0" w:color="auto"/>
                <w:left w:val="none" w:sz="0" w:space="0" w:color="auto"/>
                <w:bottom w:val="none" w:sz="0" w:space="0" w:color="auto"/>
                <w:right w:val="none" w:sz="0" w:space="0" w:color="auto"/>
              </w:divBdr>
              <w:divsChild>
                <w:div w:id="594050637">
                  <w:marLeft w:val="0"/>
                  <w:marRight w:val="0"/>
                  <w:marTop w:val="0"/>
                  <w:marBottom w:val="0"/>
                  <w:divBdr>
                    <w:top w:val="none" w:sz="0" w:space="0" w:color="auto"/>
                    <w:left w:val="none" w:sz="0" w:space="0" w:color="auto"/>
                    <w:bottom w:val="none" w:sz="0" w:space="0" w:color="auto"/>
                    <w:right w:val="none" w:sz="0" w:space="0" w:color="auto"/>
                  </w:divBdr>
                  <w:divsChild>
                    <w:div w:id="1412583407">
                      <w:marLeft w:val="0"/>
                      <w:marRight w:val="0"/>
                      <w:marTop w:val="0"/>
                      <w:marBottom w:val="0"/>
                      <w:divBdr>
                        <w:top w:val="none" w:sz="0" w:space="0" w:color="auto"/>
                        <w:left w:val="none" w:sz="0" w:space="0" w:color="auto"/>
                        <w:bottom w:val="none" w:sz="0" w:space="0" w:color="auto"/>
                        <w:right w:val="none" w:sz="0" w:space="0" w:color="auto"/>
                      </w:divBdr>
                      <w:divsChild>
                        <w:div w:id="1480346334">
                          <w:marLeft w:val="0"/>
                          <w:marRight w:val="0"/>
                          <w:marTop w:val="0"/>
                          <w:marBottom w:val="0"/>
                          <w:divBdr>
                            <w:top w:val="none" w:sz="0" w:space="0" w:color="auto"/>
                            <w:left w:val="none" w:sz="0" w:space="0" w:color="auto"/>
                            <w:bottom w:val="none" w:sz="0" w:space="0" w:color="auto"/>
                            <w:right w:val="none" w:sz="0" w:space="0" w:color="auto"/>
                          </w:divBdr>
                          <w:divsChild>
                            <w:div w:id="183294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911558">
      <w:bodyDiv w:val="1"/>
      <w:marLeft w:val="0"/>
      <w:marRight w:val="0"/>
      <w:marTop w:val="0"/>
      <w:marBottom w:val="0"/>
      <w:divBdr>
        <w:top w:val="none" w:sz="0" w:space="0" w:color="auto"/>
        <w:left w:val="none" w:sz="0" w:space="0" w:color="auto"/>
        <w:bottom w:val="none" w:sz="0" w:space="0" w:color="auto"/>
        <w:right w:val="none" w:sz="0" w:space="0" w:color="auto"/>
      </w:divBdr>
      <w:divsChild>
        <w:div w:id="118914683">
          <w:marLeft w:val="0"/>
          <w:marRight w:val="0"/>
          <w:marTop w:val="0"/>
          <w:marBottom w:val="300"/>
          <w:divBdr>
            <w:top w:val="single" w:sz="6" w:space="0" w:color="DDDDDD"/>
            <w:left w:val="single" w:sz="6" w:space="0" w:color="DDDDDD"/>
            <w:bottom w:val="single" w:sz="6" w:space="0" w:color="DDDDDD"/>
            <w:right w:val="single" w:sz="6" w:space="0" w:color="DDDDDD"/>
          </w:divBdr>
          <w:divsChild>
            <w:div w:id="221260533">
              <w:marLeft w:val="0"/>
              <w:marRight w:val="0"/>
              <w:marTop w:val="0"/>
              <w:marBottom w:val="0"/>
              <w:divBdr>
                <w:top w:val="none" w:sz="0" w:space="0" w:color="auto"/>
                <w:left w:val="none" w:sz="0" w:space="0" w:color="auto"/>
                <w:bottom w:val="none" w:sz="0" w:space="0" w:color="auto"/>
                <w:right w:val="none" w:sz="0" w:space="0" w:color="auto"/>
              </w:divBdr>
              <w:divsChild>
                <w:div w:id="1912498637">
                  <w:marLeft w:val="-225"/>
                  <w:marRight w:val="-225"/>
                  <w:marTop w:val="0"/>
                  <w:marBottom w:val="0"/>
                  <w:divBdr>
                    <w:top w:val="none" w:sz="0" w:space="0" w:color="auto"/>
                    <w:left w:val="none" w:sz="0" w:space="0" w:color="auto"/>
                    <w:bottom w:val="none" w:sz="0" w:space="0" w:color="auto"/>
                    <w:right w:val="none" w:sz="0" w:space="0" w:color="auto"/>
                  </w:divBdr>
                  <w:divsChild>
                    <w:div w:id="293171161">
                      <w:marLeft w:val="0"/>
                      <w:marRight w:val="0"/>
                      <w:marTop w:val="0"/>
                      <w:marBottom w:val="0"/>
                      <w:divBdr>
                        <w:top w:val="none" w:sz="0" w:space="0" w:color="auto"/>
                        <w:left w:val="none" w:sz="0" w:space="0" w:color="auto"/>
                        <w:bottom w:val="none" w:sz="0" w:space="0" w:color="auto"/>
                        <w:right w:val="none" w:sz="0" w:space="0" w:color="auto"/>
                      </w:divBdr>
                      <w:divsChild>
                        <w:div w:id="302082536">
                          <w:marLeft w:val="-225"/>
                          <w:marRight w:val="-225"/>
                          <w:marTop w:val="0"/>
                          <w:marBottom w:val="0"/>
                          <w:divBdr>
                            <w:top w:val="none" w:sz="0" w:space="0" w:color="auto"/>
                            <w:left w:val="none" w:sz="0" w:space="0" w:color="auto"/>
                            <w:bottom w:val="none" w:sz="0" w:space="0" w:color="auto"/>
                            <w:right w:val="none" w:sz="0" w:space="0" w:color="auto"/>
                          </w:divBdr>
                          <w:divsChild>
                            <w:div w:id="875973714">
                              <w:marLeft w:val="0"/>
                              <w:marRight w:val="0"/>
                              <w:marTop w:val="0"/>
                              <w:marBottom w:val="0"/>
                              <w:divBdr>
                                <w:top w:val="none" w:sz="0" w:space="0" w:color="auto"/>
                                <w:left w:val="none" w:sz="0" w:space="0" w:color="auto"/>
                                <w:bottom w:val="none" w:sz="0" w:space="0" w:color="auto"/>
                                <w:right w:val="none" w:sz="0" w:space="0" w:color="auto"/>
                              </w:divBdr>
                              <w:divsChild>
                                <w:div w:id="1325621166">
                                  <w:marLeft w:val="-225"/>
                                  <w:marRight w:val="-225"/>
                                  <w:marTop w:val="0"/>
                                  <w:marBottom w:val="0"/>
                                  <w:divBdr>
                                    <w:top w:val="none" w:sz="0" w:space="0" w:color="auto"/>
                                    <w:left w:val="none" w:sz="0" w:space="0" w:color="auto"/>
                                    <w:bottom w:val="none" w:sz="0" w:space="0" w:color="auto"/>
                                    <w:right w:val="none" w:sz="0" w:space="0" w:color="auto"/>
                                  </w:divBdr>
                                  <w:divsChild>
                                    <w:div w:id="1762026909">
                                      <w:marLeft w:val="-225"/>
                                      <w:marRight w:val="0"/>
                                      <w:marTop w:val="0"/>
                                      <w:marBottom w:val="0"/>
                                      <w:divBdr>
                                        <w:top w:val="none" w:sz="0" w:space="0" w:color="auto"/>
                                        <w:left w:val="none" w:sz="0" w:space="0" w:color="auto"/>
                                        <w:bottom w:val="none" w:sz="0" w:space="0" w:color="auto"/>
                                        <w:right w:val="none" w:sz="0" w:space="0" w:color="auto"/>
                                      </w:divBdr>
                                      <w:divsChild>
                                        <w:div w:id="196549486">
                                          <w:marLeft w:val="0"/>
                                          <w:marRight w:val="0"/>
                                          <w:marTop w:val="0"/>
                                          <w:marBottom w:val="0"/>
                                          <w:divBdr>
                                            <w:top w:val="none" w:sz="0" w:space="0" w:color="auto"/>
                                            <w:left w:val="none" w:sz="0" w:space="0" w:color="auto"/>
                                            <w:bottom w:val="none" w:sz="0" w:space="0" w:color="auto"/>
                                            <w:right w:val="none" w:sz="0" w:space="0" w:color="auto"/>
                                          </w:divBdr>
                                          <w:divsChild>
                                            <w:div w:id="1158422143">
                                              <w:marLeft w:val="-225"/>
                                              <w:marRight w:val="-225"/>
                                              <w:marTop w:val="0"/>
                                              <w:marBottom w:val="0"/>
                                              <w:divBdr>
                                                <w:top w:val="none" w:sz="0" w:space="0" w:color="auto"/>
                                                <w:left w:val="none" w:sz="0" w:space="0" w:color="auto"/>
                                                <w:bottom w:val="none" w:sz="0" w:space="0" w:color="auto"/>
                                                <w:right w:val="none" w:sz="0" w:space="0" w:color="auto"/>
                                              </w:divBdr>
                                              <w:divsChild>
                                                <w:div w:id="833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1693643">
      <w:bodyDiv w:val="1"/>
      <w:marLeft w:val="0"/>
      <w:marRight w:val="0"/>
      <w:marTop w:val="0"/>
      <w:marBottom w:val="0"/>
      <w:divBdr>
        <w:top w:val="none" w:sz="0" w:space="0" w:color="auto"/>
        <w:left w:val="none" w:sz="0" w:space="0" w:color="auto"/>
        <w:bottom w:val="none" w:sz="0" w:space="0" w:color="auto"/>
        <w:right w:val="none" w:sz="0" w:space="0" w:color="auto"/>
      </w:divBdr>
      <w:divsChild>
        <w:div w:id="217057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629182">
      <w:bodyDiv w:val="1"/>
      <w:marLeft w:val="0"/>
      <w:marRight w:val="0"/>
      <w:marTop w:val="0"/>
      <w:marBottom w:val="0"/>
      <w:divBdr>
        <w:top w:val="none" w:sz="0" w:space="0" w:color="auto"/>
        <w:left w:val="none" w:sz="0" w:space="0" w:color="auto"/>
        <w:bottom w:val="none" w:sz="0" w:space="0" w:color="auto"/>
        <w:right w:val="none" w:sz="0" w:space="0" w:color="auto"/>
      </w:divBdr>
    </w:div>
    <w:div w:id="1595046415">
      <w:bodyDiv w:val="1"/>
      <w:marLeft w:val="0"/>
      <w:marRight w:val="0"/>
      <w:marTop w:val="0"/>
      <w:marBottom w:val="0"/>
      <w:divBdr>
        <w:top w:val="none" w:sz="0" w:space="0" w:color="auto"/>
        <w:left w:val="none" w:sz="0" w:space="0" w:color="auto"/>
        <w:bottom w:val="none" w:sz="0" w:space="0" w:color="auto"/>
        <w:right w:val="none" w:sz="0" w:space="0" w:color="auto"/>
      </w:divBdr>
    </w:div>
    <w:div w:id="1597596315">
      <w:bodyDiv w:val="1"/>
      <w:marLeft w:val="0"/>
      <w:marRight w:val="0"/>
      <w:marTop w:val="0"/>
      <w:marBottom w:val="0"/>
      <w:divBdr>
        <w:top w:val="none" w:sz="0" w:space="0" w:color="auto"/>
        <w:left w:val="none" w:sz="0" w:space="0" w:color="auto"/>
        <w:bottom w:val="none" w:sz="0" w:space="0" w:color="auto"/>
        <w:right w:val="none" w:sz="0" w:space="0" w:color="auto"/>
      </w:divBdr>
      <w:divsChild>
        <w:div w:id="1324354490">
          <w:marLeft w:val="0"/>
          <w:marRight w:val="0"/>
          <w:marTop w:val="0"/>
          <w:marBottom w:val="0"/>
          <w:divBdr>
            <w:top w:val="none" w:sz="0" w:space="0" w:color="auto"/>
            <w:left w:val="none" w:sz="0" w:space="0" w:color="auto"/>
            <w:bottom w:val="none" w:sz="0" w:space="0" w:color="auto"/>
            <w:right w:val="none" w:sz="0" w:space="0" w:color="auto"/>
          </w:divBdr>
          <w:divsChild>
            <w:div w:id="609899815">
              <w:marLeft w:val="0"/>
              <w:marRight w:val="0"/>
              <w:marTop w:val="0"/>
              <w:marBottom w:val="0"/>
              <w:divBdr>
                <w:top w:val="none" w:sz="0" w:space="0" w:color="auto"/>
                <w:left w:val="none" w:sz="0" w:space="0" w:color="auto"/>
                <w:bottom w:val="none" w:sz="0" w:space="0" w:color="auto"/>
                <w:right w:val="none" w:sz="0" w:space="0" w:color="auto"/>
              </w:divBdr>
              <w:divsChild>
                <w:div w:id="1035348412">
                  <w:marLeft w:val="0"/>
                  <w:marRight w:val="0"/>
                  <w:marTop w:val="0"/>
                  <w:marBottom w:val="0"/>
                  <w:divBdr>
                    <w:top w:val="none" w:sz="0" w:space="0" w:color="auto"/>
                    <w:left w:val="none" w:sz="0" w:space="0" w:color="auto"/>
                    <w:bottom w:val="none" w:sz="0" w:space="0" w:color="auto"/>
                    <w:right w:val="none" w:sz="0" w:space="0" w:color="auto"/>
                  </w:divBdr>
                  <w:divsChild>
                    <w:div w:id="168416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864576">
      <w:bodyDiv w:val="1"/>
      <w:marLeft w:val="0"/>
      <w:marRight w:val="0"/>
      <w:marTop w:val="0"/>
      <w:marBottom w:val="0"/>
      <w:divBdr>
        <w:top w:val="none" w:sz="0" w:space="0" w:color="auto"/>
        <w:left w:val="none" w:sz="0" w:space="0" w:color="auto"/>
        <w:bottom w:val="none" w:sz="0" w:space="0" w:color="auto"/>
        <w:right w:val="none" w:sz="0" w:space="0" w:color="auto"/>
      </w:divBdr>
      <w:divsChild>
        <w:div w:id="1415590691">
          <w:marLeft w:val="0"/>
          <w:marRight w:val="0"/>
          <w:marTop w:val="0"/>
          <w:marBottom w:val="0"/>
          <w:divBdr>
            <w:top w:val="single" w:sz="6" w:space="2" w:color="DDDDDD"/>
            <w:left w:val="single" w:sz="6" w:space="2" w:color="DDDDDD"/>
            <w:bottom w:val="single" w:sz="6" w:space="2" w:color="DDDDDD"/>
            <w:right w:val="single" w:sz="6" w:space="2" w:color="DDDDDD"/>
          </w:divBdr>
          <w:divsChild>
            <w:div w:id="1709530070">
              <w:marLeft w:val="0"/>
              <w:marRight w:val="0"/>
              <w:marTop w:val="0"/>
              <w:marBottom w:val="0"/>
              <w:divBdr>
                <w:top w:val="none" w:sz="0" w:space="0" w:color="auto"/>
                <w:left w:val="none" w:sz="0" w:space="0" w:color="auto"/>
                <w:bottom w:val="none" w:sz="0" w:space="0" w:color="auto"/>
                <w:right w:val="none" w:sz="0" w:space="0" w:color="auto"/>
              </w:divBdr>
              <w:divsChild>
                <w:div w:id="213197155">
                  <w:marLeft w:val="-225"/>
                  <w:marRight w:val="-225"/>
                  <w:marTop w:val="0"/>
                  <w:marBottom w:val="0"/>
                  <w:divBdr>
                    <w:top w:val="none" w:sz="0" w:space="0" w:color="auto"/>
                    <w:left w:val="none" w:sz="0" w:space="0" w:color="auto"/>
                    <w:bottom w:val="none" w:sz="0" w:space="0" w:color="auto"/>
                    <w:right w:val="none" w:sz="0" w:space="0" w:color="auto"/>
                  </w:divBdr>
                  <w:divsChild>
                    <w:div w:id="11720614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1730">
      <w:bodyDiv w:val="1"/>
      <w:marLeft w:val="0"/>
      <w:marRight w:val="0"/>
      <w:marTop w:val="0"/>
      <w:marBottom w:val="0"/>
      <w:divBdr>
        <w:top w:val="none" w:sz="0" w:space="0" w:color="auto"/>
        <w:left w:val="none" w:sz="0" w:space="0" w:color="auto"/>
        <w:bottom w:val="none" w:sz="0" w:space="0" w:color="auto"/>
        <w:right w:val="none" w:sz="0" w:space="0" w:color="auto"/>
      </w:divBdr>
      <w:divsChild>
        <w:div w:id="521207897">
          <w:marLeft w:val="0"/>
          <w:marRight w:val="0"/>
          <w:marTop w:val="0"/>
          <w:marBottom w:val="0"/>
          <w:divBdr>
            <w:top w:val="none" w:sz="0" w:space="0" w:color="auto"/>
            <w:left w:val="none" w:sz="0" w:space="0" w:color="auto"/>
            <w:bottom w:val="none" w:sz="0" w:space="0" w:color="auto"/>
            <w:right w:val="none" w:sz="0" w:space="0" w:color="auto"/>
          </w:divBdr>
          <w:divsChild>
            <w:div w:id="1555236241">
              <w:marLeft w:val="0"/>
              <w:marRight w:val="0"/>
              <w:marTop w:val="0"/>
              <w:marBottom w:val="0"/>
              <w:divBdr>
                <w:top w:val="none" w:sz="0" w:space="0" w:color="auto"/>
                <w:left w:val="none" w:sz="0" w:space="0" w:color="auto"/>
                <w:bottom w:val="none" w:sz="0" w:space="0" w:color="auto"/>
                <w:right w:val="none" w:sz="0" w:space="0" w:color="auto"/>
              </w:divBdr>
              <w:divsChild>
                <w:div w:id="1032462391">
                  <w:marLeft w:val="0"/>
                  <w:marRight w:val="0"/>
                  <w:marTop w:val="0"/>
                  <w:marBottom w:val="0"/>
                  <w:divBdr>
                    <w:top w:val="none" w:sz="0" w:space="0" w:color="auto"/>
                    <w:left w:val="none" w:sz="0" w:space="0" w:color="auto"/>
                    <w:bottom w:val="none" w:sz="0" w:space="0" w:color="auto"/>
                    <w:right w:val="none" w:sz="0" w:space="0" w:color="auto"/>
                  </w:divBdr>
                  <w:divsChild>
                    <w:div w:id="1792164603">
                      <w:marLeft w:val="0"/>
                      <w:marRight w:val="0"/>
                      <w:marTop w:val="0"/>
                      <w:marBottom w:val="0"/>
                      <w:divBdr>
                        <w:top w:val="none" w:sz="0" w:space="0" w:color="auto"/>
                        <w:left w:val="none" w:sz="0" w:space="0" w:color="auto"/>
                        <w:bottom w:val="none" w:sz="0" w:space="0" w:color="auto"/>
                        <w:right w:val="none" w:sz="0" w:space="0" w:color="auto"/>
                      </w:divBdr>
                      <w:divsChild>
                        <w:div w:id="1590044204">
                          <w:marLeft w:val="0"/>
                          <w:marRight w:val="0"/>
                          <w:marTop w:val="0"/>
                          <w:marBottom w:val="0"/>
                          <w:divBdr>
                            <w:top w:val="none" w:sz="0" w:space="0" w:color="auto"/>
                            <w:left w:val="none" w:sz="0" w:space="0" w:color="auto"/>
                            <w:bottom w:val="none" w:sz="0" w:space="0" w:color="auto"/>
                            <w:right w:val="none" w:sz="0" w:space="0" w:color="auto"/>
                          </w:divBdr>
                          <w:divsChild>
                            <w:div w:id="86863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109184">
      <w:bodyDiv w:val="1"/>
      <w:marLeft w:val="0"/>
      <w:marRight w:val="0"/>
      <w:marTop w:val="0"/>
      <w:marBottom w:val="0"/>
      <w:divBdr>
        <w:top w:val="none" w:sz="0" w:space="0" w:color="auto"/>
        <w:left w:val="none" w:sz="0" w:space="0" w:color="auto"/>
        <w:bottom w:val="none" w:sz="0" w:space="0" w:color="auto"/>
        <w:right w:val="none" w:sz="0" w:space="0" w:color="auto"/>
      </w:divBdr>
    </w:div>
    <w:div w:id="1625771391">
      <w:bodyDiv w:val="1"/>
      <w:marLeft w:val="0"/>
      <w:marRight w:val="0"/>
      <w:marTop w:val="0"/>
      <w:marBottom w:val="0"/>
      <w:divBdr>
        <w:top w:val="none" w:sz="0" w:space="0" w:color="auto"/>
        <w:left w:val="none" w:sz="0" w:space="0" w:color="auto"/>
        <w:bottom w:val="none" w:sz="0" w:space="0" w:color="auto"/>
        <w:right w:val="none" w:sz="0" w:space="0" w:color="auto"/>
      </w:divBdr>
    </w:div>
    <w:div w:id="1651206411">
      <w:bodyDiv w:val="1"/>
      <w:marLeft w:val="0"/>
      <w:marRight w:val="0"/>
      <w:marTop w:val="0"/>
      <w:marBottom w:val="0"/>
      <w:divBdr>
        <w:top w:val="none" w:sz="0" w:space="0" w:color="auto"/>
        <w:left w:val="none" w:sz="0" w:space="0" w:color="auto"/>
        <w:bottom w:val="none" w:sz="0" w:space="0" w:color="auto"/>
        <w:right w:val="none" w:sz="0" w:space="0" w:color="auto"/>
      </w:divBdr>
      <w:divsChild>
        <w:div w:id="968441973">
          <w:marLeft w:val="0"/>
          <w:marRight w:val="0"/>
          <w:marTop w:val="0"/>
          <w:marBottom w:val="0"/>
          <w:divBdr>
            <w:top w:val="none" w:sz="0" w:space="0" w:color="auto"/>
            <w:left w:val="none" w:sz="0" w:space="0" w:color="auto"/>
            <w:bottom w:val="none" w:sz="0" w:space="0" w:color="auto"/>
            <w:right w:val="none" w:sz="0" w:space="0" w:color="auto"/>
          </w:divBdr>
          <w:divsChild>
            <w:div w:id="1485274135">
              <w:marLeft w:val="0"/>
              <w:marRight w:val="0"/>
              <w:marTop w:val="0"/>
              <w:marBottom w:val="0"/>
              <w:divBdr>
                <w:top w:val="none" w:sz="0" w:space="0" w:color="auto"/>
                <w:left w:val="none" w:sz="0" w:space="0" w:color="auto"/>
                <w:bottom w:val="none" w:sz="0" w:space="0" w:color="auto"/>
                <w:right w:val="none" w:sz="0" w:space="0" w:color="auto"/>
              </w:divBdr>
              <w:divsChild>
                <w:div w:id="119880520">
                  <w:marLeft w:val="0"/>
                  <w:marRight w:val="0"/>
                  <w:marTop w:val="0"/>
                  <w:marBottom w:val="0"/>
                  <w:divBdr>
                    <w:top w:val="none" w:sz="0" w:space="0" w:color="auto"/>
                    <w:left w:val="none" w:sz="0" w:space="0" w:color="auto"/>
                    <w:bottom w:val="none" w:sz="0" w:space="0" w:color="auto"/>
                    <w:right w:val="none" w:sz="0" w:space="0" w:color="auto"/>
                  </w:divBdr>
                  <w:divsChild>
                    <w:div w:id="839739476">
                      <w:marLeft w:val="0"/>
                      <w:marRight w:val="0"/>
                      <w:marTop w:val="0"/>
                      <w:marBottom w:val="0"/>
                      <w:divBdr>
                        <w:top w:val="none" w:sz="0" w:space="0" w:color="auto"/>
                        <w:left w:val="none" w:sz="0" w:space="0" w:color="auto"/>
                        <w:bottom w:val="none" w:sz="0" w:space="0" w:color="auto"/>
                        <w:right w:val="none" w:sz="0" w:space="0" w:color="auto"/>
                      </w:divBdr>
                      <w:divsChild>
                        <w:div w:id="1751922086">
                          <w:marLeft w:val="0"/>
                          <w:marRight w:val="0"/>
                          <w:marTop w:val="0"/>
                          <w:marBottom w:val="0"/>
                          <w:divBdr>
                            <w:top w:val="none" w:sz="0" w:space="0" w:color="auto"/>
                            <w:left w:val="none" w:sz="0" w:space="0" w:color="auto"/>
                            <w:bottom w:val="none" w:sz="0" w:space="0" w:color="auto"/>
                            <w:right w:val="none" w:sz="0" w:space="0" w:color="auto"/>
                          </w:divBdr>
                          <w:divsChild>
                            <w:div w:id="685836701">
                              <w:marLeft w:val="0"/>
                              <w:marRight w:val="0"/>
                              <w:marTop w:val="0"/>
                              <w:marBottom w:val="0"/>
                              <w:divBdr>
                                <w:top w:val="none" w:sz="0" w:space="0" w:color="auto"/>
                                <w:left w:val="none" w:sz="0" w:space="0" w:color="auto"/>
                                <w:bottom w:val="none" w:sz="0" w:space="0" w:color="auto"/>
                                <w:right w:val="none" w:sz="0" w:space="0" w:color="auto"/>
                              </w:divBdr>
                              <w:divsChild>
                                <w:div w:id="1341809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038131">
      <w:bodyDiv w:val="1"/>
      <w:marLeft w:val="0"/>
      <w:marRight w:val="0"/>
      <w:marTop w:val="0"/>
      <w:marBottom w:val="0"/>
      <w:divBdr>
        <w:top w:val="none" w:sz="0" w:space="0" w:color="auto"/>
        <w:left w:val="none" w:sz="0" w:space="0" w:color="auto"/>
        <w:bottom w:val="none" w:sz="0" w:space="0" w:color="auto"/>
        <w:right w:val="none" w:sz="0" w:space="0" w:color="auto"/>
      </w:divBdr>
      <w:divsChild>
        <w:div w:id="1258056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6975761">
      <w:bodyDiv w:val="1"/>
      <w:marLeft w:val="0"/>
      <w:marRight w:val="0"/>
      <w:marTop w:val="0"/>
      <w:marBottom w:val="0"/>
      <w:divBdr>
        <w:top w:val="none" w:sz="0" w:space="0" w:color="auto"/>
        <w:left w:val="none" w:sz="0" w:space="0" w:color="auto"/>
        <w:bottom w:val="none" w:sz="0" w:space="0" w:color="auto"/>
        <w:right w:val="none" w:sz="0" w:space="0" w:color="auto"/>
      </w:divBdr>
      <w:divsChild>
        <w:div w:id="1457334267">
          <w:marLeft w:val="0"/>
          <w:marRight w:val="0"/>
          <w:marTop w:val="0"/>
          <w:marBottom w:val="0"/>
          <w:divBdr>
            <w:top w:val="single" w:sz="6" w:space="2" w:color="DDDDDD"/>
            <w:left w:val="single" w:sz="6" w:space="2" w:color="DDDDDD"/>
            <w:bottom w:val="single" w:sz="6" w:space="2" w:color="DDDDDD"/>
            <w:right w:val="single" w:sz="6" w:space="2" w:color="DDDDDD"/>
          </w:divBdr>
          <w:divsChild>
            <w:div w:id="1537040059">
              <w:marLeft w:val="0"/>
              <w:marRight w:val="0"/>
              <w:marTop w:val="0"/>
              <w:marBottom w:val="0"/>
              <w:divBdr>
                <w:top w:val="none" w:sz="0" w:space="0" w:color="auto"/>
                <w:left w:val="none" w:sz="0" w:space="0" w:color="auto"/>
                <w:bottom w:val="none" w:sz="0" w:space="0" w:color="auto"/>
                <w:right w:val="none" w:sz="0" w:space="0" w:color="auto"/>
              </w:divBdr>
              <w:divsChild>
                <w:div w:id="2124421618">
                  <w:marLeft w:val="-225"/>
                  <w:marRight w:val="-225"/>
                  <w:marTop w:val="0"/>
                  <w:marBottom w:val="0"/>
                  <w:divBdr>
                    <w:top w:val="none" w:sz="0" w:space="0" w:color="auto"/>
                    <w:left w:val="none" w:sz="0" w:space="0" w:color="auto"/>
                    <w:bottom w:val="none" w:sz="0" w:space="0" w:color="auto"/>
                    <w:right w:val="none" w:sz="0" w:space="0" w:color="auto"/>
                  </w:divBdr>
                  <w:divsChild>
                    <w:div w:id="7833830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24960">
      <w:bodyDiv w:val="1"/>
      <w:marLeft w:val="0"/>
      <w:marRight w:val="0"/>
      <w:marTop w:val="0"/>
      <w:marBottom w:val="0"/>
      <w:divBdr>
        <w:top w:val="none" w:sz="0" w:space="0" w:color="auto"/>
        <w:left w:val="none" w:sz="0" w:space="0" w:color="auto"/>
        <w:bottom w:val="none" w:sz="0" w:space="0" w:color="auto"/>
        <w:right w:val="none" w:sz="0" w:space="0" w:color="auto"/>
      </w:divBdr>
    </w:div>
    <w:div w:id="1684699700">
      <w:bodyDiv w:val="1"/>
      <w:marLeft w:val="0"/>
      <w:marRight w:val="0"/>
      <w:marTop w:val="0"/>
      <w:marBottom w:val="0"/>
      <w:divBdr>
        <w:top w:val="none" w:sz="0" w:space="0" w:color="auto"/>
        <w:left w:val="none" w:sz="0" w:space="0" w:color="auto"/>
        <w:bottom w:val="none" w:sz="0" w:space="0" w:color="auto"/>
        <w:right w:val="none" w:sz="0" w:space="0" w:color="auto"/>
      </w:divBdr>
    </w:div>
    <w:div w:id="1694571854">
      <w:bodyDiv w:val="1"/>
      <w:marLeft w:val="0"/>
      <w:marRight w:val="0"/>
      <w:marTop w:val="0"/>
      <w:marBottom w:val="0"/>
      <w:divBdr>
        <w:top w:val="none" w:sz="0" w:space="0" w:color="auto"/>
        <w:left w:val="none" w:sz="0" w:space="0" w:color="auto"/>
        <w:bottom w:val="none" w:sz="0" w:space="0" w:color="auto"/>
        <w:right w:val="none" w:sz="0" w:space="0" w:color="auto"/>
      </w:divBdr>
      <w:divsChild>
        <w:div w:id="1779910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0475399">
      <w:bodyDiv w:val="1"/>
      <w:marLeft w:val="0"/>
      <w:marRight w:val="0"/>
      <w:marTop w:val="0"/>
      <w:marBottom w:val="0"/>
      <w:divBdr>
        <w:top w:val="none" w:sz="0" w:space="0" w:color="auto"/>
        <w:left w:val="none" w:sz="0" w:space="0" w:color="auto"/>
        <w:bottom w:val="none" w:sz="0" w:space="0" w:color="auto"/>
        <w:right w:val="none" w:sz="0" w:space="0" w:color="auto"/>
      </w:divBdr>
    </w:div>
    <w:div w:id="1712993938">
      <w:bodyDiv w:val="1"/>
      <w:marLeft w:val="0"/>
      <w:marRight w:val="0"/>
      <w:marTop w:val="0"/>
      <w:marBottom w:val="0"/>
      <w:divBdr>
        <w:top w:val="none" w:sz="0" w:space="0" w:color="auto"/>
        <w:left w:val="none" w:sz="0" w:space="0" w:color="auto"/>
        <w:bottom w:val="none" w:sz="0" w:space="0" w:color="auto"/>
        <w:right w:val="none" w:sz="0" w:space="0" w:color="auto"/>
      </w:divBdr>
      <w:divsChild>
        <w:div w:id="1068265808">
          <w:marLeft w:val="-225"/>
          <w:marRight w:val="-225"/>
          <w:marTop w:val="0"/>
          <w:marBottom w:val="0"/>
          <w:divBdr>
            <w:top w:val="none" w:sz="0" w:space="0" w:color="auto"/>
            <w:left w:val="none" w:sz="0" w:space="0" w:color="auto"/>
            <w:bottom w:val="none" w:sz="0" w:space="0" w:color="auto"/>
            <w:right w:val="none" w:sz="0" w:space="0" w:color="auto"/>
          </w:divBdr>
          <w:divsChild>
            <w:div w:id="1077557824">
              <w:marLeft w:val="0"/>
              <w:marRight w:val="0"/>
              <w:marTop w:val="0"/>
              <w:marBottom w:val="210"/>
              <w:divBdr>
                <w:top w:val="none" w:sz="0" w:space="0" w:color="auto"/>
                <w:left w:val="none" w:sz="0" w:space="0" w:color="auto"/>
                <w:bottom w:val="none" w:sz="0" w:space="0" w:color="auto"/>
                <w:right w:val="none" w:sz="0" w:space="0" w:color="auto"/>
              </w:divBdr>
            </w:div>
          </w:divsChild>
        </w:div>
        <w:div w:id="1042706602">
          <w:marLeft w:val="-225"/>
          <w:marRight w:val="-225"/>
          <w:marTop w:val="0"/>
          <w:marBottom w:val="0"/>
          <w:divBdr>
            <w:top w:val="none" w:sz="0" w:space="0" w:color="auto"/>
            <w:left w:val="none" w:sz="0" w:space="0" w:color="auto"/>
            <w:bottom w:val="none" w:sz="0" w:space="0" w:color="auto"/>
            <w:right w:val="none" w:sz="0" w:space="0" w:color="auto"/>
          </w:divBdr>
        </w:div>
      </w:divsChild>
    </w:div>
    <w:div w:id="1720351903">
      <w:bodyDiv w:val="1"/>
      <w:marLeft w:val="0"/>
      <w:marRight w:val="0"/>
      <w:marTop w:val="0"/>
      <w:marBottom w:val="0"/>
      <w:divBdr>
        <w:top w:val="none" w:sz="0" w:space="0" w:color="auto"/>
        <w:left w:val="none" w:sz="0" w:space="0" w:color="auto"/>
        <w:bottom w:val="none" w:sz="0" w:space="0" w:color="auto"/>
        <w:right w:val="none" w:sz="0" w:space="0" w:color="auto"/>
      </w:divBdr>
    </w:div>
    <w:div w:id="1722947934">
      <w:bodyDiv w:val="1"/>
      <w:marLeft w:val="0"/>
      <w:marRight w:val="0"/>
      <w:marTop w:val="0"/>
      <w:marBottom w:val="0"/>
      <w:divBdr>
        <w:top w:val="none" w:sz="0" w:space="0" w:color="auto"/>
        <w:left w:val="none" w:sz="0" w:space="0" w:color="auto"/>
        <w:bottom w:val="none" w:sz="0" w:space="0" w:color="auto"/>
        <w:right w:val="none" w:sz="0" w:space="0" w:color="auto"/>
      </w:divBdr>
      <w:divsChild>
        <w:div w:id="1240359125">
          <w:marLeft w:val="0"/>
          <w:marRight w:val="0"/>
          <w:marTop w:val="0"/>
          <w:marBottom w:val="0"/>
          <w:divBdr>
            <w:top w:val="none" w:sz="0" w:space="0" w:color="auto"/>
            <w:left w:val="none" w:sz="0" w:space="0" w:color="auto"/>
            <w:bottom w:val="none" w:sz="0" w:space="0" w:color="auto"/>
            <w:right w:val="none" w:sz="0" w:space="0" w:color="auto"/>
          </w:divBdr>
          <w:divsChild>
            <w:div w:id="977875780">
              <w:marLeft w:val="0"/>
              <w:marRight w:val="0"/>
              <w:marTop w:val="0"/>
              <w:marBottom w:val="0"/>
              <w:divBdr>
                <w:top w:val="none" w:sz="0" w:space="0" w:color="auto"/>
                <w:left w:val="none" w:sz="0" w:space="0" w:color="auto"/>
                <w:bottom w:val="none" w:sz="0" w:space="0" w:color="auto"/>
                <w:right w:val="none" w:sz="0" w:space="0" w:color="auto"/>
              </w:divBdr>
              <w:divsChild>
                <w:div w:id="265382761">
                  <w:marLeft w:val="0"/>
                  <w:marRight w:val="0"/>
                  <w:marTop w:val="0"/>
                  <w:marBottom w:val="0"/>
                  <w:divBdr>
                    <w:top w:val="none" w:sz="0" w:space="0" w:color="auto"/>
                    <w:left w:val="none" w:sz="0" w:space="0" w:color="auto"/>
                    <w:bottom w:val="none" w:sz="0" w:space="0" w:color="auto"/>
                    <w:right w:val="none" w:sz="0" w:space="0" w:color="auto"/>
                  </w:divBdr>
                  <w:divsChild>
                    <w:div w:id="1342051460">
                      <w:marLeft w:val="0"/>
                      <w:marRight w:val="0"/>
                      <w:marTop w:val="0"/>
                      <w:marBottom w:val="0"/>
                      <w:divBdr>
                        <w:top w:val="none" w:sz="0" w:space="0" w:color="auto"/>
                        <w:left w:val="none" w:sz="0" w:space="0" w:color="auto"/>
                        <w:bottom w:val="none" w:sz="0" w:space="0" w:color="auto"/>
                        <w:right w:val="none" w:sz="0" w:space="0" w:color="auto"/>
                      </w:divBdr>
                      <w:divsChild>
                        <w:div w:id="1796168159">
                          <w:marLeft w:val="0"/>
                          <w:marRight w:val="0"/>
                          <w:marTop w:val="0"/>
                          <w:marBottom w:val="0"/>
                          <w:divBdr>
                            <w:top w:val="none" w:sz="0" w:space="0" w:color="auto"/>
                            <w:left w:val="none" w:sz="0" w:space="0" w:color="auto"/>
                            <w:bottom w:val="none" w:sz="0" w:space="0" w:color="auto"/>
                            <w:right w:val="none" w:sz="0" w:space="0" w:color="auto"/>
                          </w:divBdr>
                          <w:divsChild>
                            <w:div w:id="14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185053">
      <w:bodyDiv w:val="1"/>
      <w:marLeft w:val="0"/>
      <w:marRight w:val="0"/>
      <w:marTop w:val="0"/>
      <w:marBottom w:val="0"/>
      <w:divBdr>
        <w:top w:val="none" w:sz="0" w:space="0" w:color="auto"/>
        <w:left w:val="none" w:sz="0" w:space="0" w:color="auto"/>
        <w:bottom w:val="none" w:sz="0" w:space="0" w:color="auto"/>
        <w:right w:val="none" w:sz="0" w:space="0" w:color="auto"/>
      </w:divBdr>
    </w:div>
    <w:div w:id="1756900127">
      <w:bodyDiv w:val="1"/>
      <w:marLeft w:val="0"/>
      <w:marRight w:val="0"/>
      <w:marTop w:val="0"/>
      <w:marBottom w:val="0"/>
      <w:divBdr>
        <w:top w:val="none" w:sz="0" w:space="0" w:color="auto"/>
        <w:left w:val="none" w:sz="0" w:space="0" w:color="auto"/>
        <w:bottom w:val="none" w:sz="0" w:space="0" w:color="auto"/>
        <w:right w:val="none" w:sz="0" w:space="0" w:color="auto"/>
      </w:divBdr>
    </w:div>
    <w:div w:id="1769039756">
      <w:bodyDiv w:val="1"/>
      <w:marLeft w:val="0"/>
      <w:marRight w:val="0"/>
      <w:marTop w:val="0"/>
      <w:marBottom w:val="0"/>
      <w:divBdr>
        <w:top w:val="none" w:sz="0" w:space="0" w:color="auto"/>
        <w:left w:val="none" w:sz="0" w:space="0" w:color="auto"/>
        <w:bottom w:val="none" w:sz="0" w:space="0" w:color="auto"/>
        <w:right w:val="none" w:sz="0" w:space="0" w:color="auto"/>
      </w:divBdr>
      <w:divsChild>
        <w:div w:id="1640303062">
          <w:marLeft w:val="0"/>
          <w:marRight w:val="0"/>
          <w:marTop w:val="0"/>
          <w:marBottom w:val="0"/>
          <w:divBdr>
            <w:top w:val="none" w:sz="0" w:space="0" w:color="auto"/>
            <w:left w:val="none" w:sz="0" w:space="0" w:color="auto"/>
            <w:bottom w:val="none" w:sz="0" w:space="0" w:color="auto"/>
            <w:right w:val="none" w:sz="0" w:space="0" w:color="auto"/>
          </w:divBdr>
          <w:divsChild>
            <w:div w:id="848637120">
              <w:marLeft w:val="0"/>
              <w:marRight w:val="0"/>
              <w:marTop w:val="0"/>
              <w:marBottom w:val="0"/>
              <w:divBdr>
                <w:top w:val="none" w:sz="0" w:space="0" w:color="auto"/>
                <w:left w:val="none" w:sz="0" w:space="0" w:color="auto"/>
                <w:bottom w:val="none" w:sz="0" w:space="0" w:color="auto"/>
                <w:right w:val="none" w:sz="0" w:space="0" w:color="auto"/>
              </w:divBdr>
              <w:divsChild>
                <w:div w:id="648900173">
                  <w:marLeft w:val="0"/>
                  <w:marRight w:val="0"/>
                  <w:marTop w:val="0"/>
                  <w:marBottom w:val="0"/>
                  <w:divBdr>
                    <w:top w:val="none" w:sz="0" w:space="0" w:color="auto"/>
                    <w:left w:val="none" w:sz="0" w:space="0" w:color="auto"/>
                    <w:bottom w:val="none" w:sz="0" w:space="0" w:color="auto"/>
                    <w:right w:val="none" w:sz="0" w:space="0" w:color="auto"/>
                  </w:divBdr>
                  <w:divsChild>
                    <w:div w:id="1061948898">
                      <w:marLeft w:val="0"/>
                      <w:marRight w:val="0"/>
                      <w:marTop w:val="0"/>
                      <w:marBottom w:val="0"/>
                      <w:divBdr>
                        <w:top w:val="none" w:sz="0" w:space="0" w:color="auto"/>
                        <w:left w:val="none" w:sz="0" w:space="0" w:color="auto"/>
                        <w:bottom w:val="none" w:sz="0" w:space="0" w:color="auto"/>
                        <w:right w:val="none" w:sz="0" w:space="0" w:color="auto"/>
                      </w:divBdr>
                      <w:divsChild>
                        <w:div w:id="1336885774">
                          <w:marLeft w:val="0"/>
                          <w:marRight w:val="0"/>
                          <w:marTop w:val="0"/>
                          <w:marBottom w:val="0"/>
                          <w:divBdr>
                            <w:top w:val="none" w:sz="0" w:space="0" w:color="auto"/>
                            <w:left w:val="none" w:sz="0" w:space="0" w:color="auto"/>
                            <w:bottom w:val="none" w:sz="0" w:space="0" w:color="auto"/>
                            <w:right w:val="none" w:sz="0" w:space="0" w:color="auto"/>
                          </w:divBdr>
                          <w:divsChild>
                            <w:div w:id="113621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308486">
      <w:bodyDiv w:val="1"/>
      <w:marLeft w:val="0"/>
      <w:marRight w:val="0"/>
      <w:marTop w:val="0"/>
      <w:marBottom w:val="0"/>
      <w:divBdr>
        <w:top w:val="none" w:sz="0" w:space="0" w:color="auto"/>
        <w:left w:val="none" w:sz="0" w:space="0" w:color="auto"/>
        <w:bottom w:val="none" w:sz="0" w:space="0" w:color="auto"/>
        <w:right w:val="none" w:sz="0" w:space="0" w:color="auto"/>
      </w:divBdr>
    </w:div>
    <w:div w:id="1803422750">
      <w:bodyDiv w:val="1"/>
      <w:marLeft w:val="0"/>
      <w:marRight w:val="0"/>
      <w:marTop w:val="0"/>
      <w:marBottom w:val="0"/>
      <w:divBdr>
        <w:top w:val="none" w:sz="0" w:space="0" w:color="auto"/>
        <w:left w:val="none" w:sz="0" w:space="0" w:color="auto"/>
        <w:bottom w:val="none" w:sz="0" w:space="0" w:color="auto"/>
        <w:right w:val="none" w:sz="0" w:space="0" w:color="auto"/>
      </w:divBdr>
    </w:div>
    <w:div w:id="1807232477">
      <w:bodyDiv w:val="1"/>
      <w:marLeft w:val="0"/>
      <w:marRight w:val="0"/>
      <w:marTop w:val="0"/>
      <w:marBottom w:val="0"/>
      <w:divBdr>
        <w:top w:val="none" w:sz="0" w:space="0" w:color="auto"/>
        <w:left w:val="none" w:sz="0" w:space="0" w:color="auto"/>
        <w:bottom w:val="none" w:sz="0" w:space="0" w:color="auto"/>
        <w:right w:val="none" w:sz="0" w:space="0" w:color="auto"/>
      </w:divBdr>
    </w:div>
    <w:div w:id="1816874673">
      <w:bodyDiv w:val="1"/>
      <w:marLeft w:val="0"/>
      <w:marRight w:val="0"/>
      <w:marTop w:val="0"/>
      <w:marBottom w:val="0"/>
      <w:divBdr>
        <w:top w:val="none" w:sz="0" w:space="0" w:color="auto"/>
        <w:left w:val="none" w:sz="0" w:space="0" w:color="auto"/>
        <w:bottom w:val="none" w:sz="0" w:space="0" w:color="auto"/>
        <w:right w:val="none" w:sz="0" w:space="0" w:color="auto"/>
      </w:divBdr>
    </w:div>
    <w:div w:id="1818378543">
      <w:bodyDiv w:val="1"/>
      <w:marLeft w:val="0"/>
      <w:marRight w:val="0"/>
      <w:marTop w:val="0"/>
      <w:marBottom w:val="0"/>
      <w:divBdr>
        <w:top w:val="none" w:sz="0" w:space="0" w:color="auto"/>
        <w:left w:val="none" w:sz="0" w:space="0" w:color="auto"/>
        <w:bottom w:val="none" w:sz="0" w:space="0" w:color="auto"/>
        <w:right w:val="none" w:sz="0" w:space="0" w:color="auto"/>
      </w:divBdr>
    </w:div>
    <w:div w:id="1835561747">
      <w:bodyDiv w:val="1"/>
      <w:marLeft w:val="0"/>
      <w:marRight w:val="0"/>
      <w:marTop w:val="0"/>
      <w:marBottom w:val="0"/>
      <w:divBdr>
        <w:top w:val="none" w:sz="0" w:space="0" w:color="auto"/>
        <w:left w:val="none" w:sz="0" w:space="0" w:color="auto"/>
        <w:bottom w:val="none" w:sz="0" w:space="0" w:color="auto"/>
        <w:right w:val="none" w:sz="0" w:space="0" w:color="auto"/>
      </w:divBdr>
      <w:divsChild>
        <w:div w:id="402071840">
          <w:marLeft w:val="0"/>
          <w:marRight w:val="0"/>
          <w:marTop w:val="0"/>
          <w:marBottom w:val="300"/>
          <w:divBdr>
            <w:top w:val="single" w:sz="6" w:space="0" w:color="DDDDDD"/>
            <w:left w:val="single" w:sz="6" w:space="0" w:color="DDDDDD"/>
            <w:bottom w:val="single" w:sz="6" w:space="0" w:color="DDDDDD"/>
            <w:right w:val="single" w:sz="6" w:space="0" w:color="DDDDDD"/>
          </w:divBdr>
          <w:divsChild>
            <w:div w:id="1976904384">
              <w:marLeft w:val="0"/>
              <w:marRight w:val="0"/>
              <w:marTop w:val="0"/>
              <w:marBottom w:val="0"/>
              <w:divBdr>
                <w:top w:val="none" w:sz="0" w:space="0" w:color="auto"/>
                <w:left w:val="none" w:sz="0" w:space="0" w:color="auto"/>
                <w:bottom w:val="none" w:sz="0" w:space="0" w:color="auto"/>
                <w:right w:val="none" w:sz="0" w:space="0" w:color="auto"/>
              </w:divBdr>
              <w:divsChild>
                <w:div w:id="1376662805">
                  <w:marLeft w:val="-225"/>
                  <w:marRight w:val="-225"/>
                  <w:marTop w:val="0"/>
                  <w:marBottom w:val="0"/>
                  <w:divBdr>
                    <w:top w:val="none" w:sz="0" w:space="0" w:color="auto"/>
                    <w:left w:val="none" w:sz="0" w:space="0" w:color="auto"/>
                    <w:bottom w:val="none" w:sz="0" w:space="0" w:color="auto"/>
                    <w:right w:val="none" w:sz="0" w:space="0" w:color="auto"/>
                  </w:divBdr>
                  <w:divsChild>
                    <w:div w:id="681591431">
                      <w:marLeft w:val="0"/>
                      <w:marRight w:val="0"/>
                      <w:marTop w:val="0"/>
                      <w:marBottom w:val="0"/>
                      <w:divBdr>
                        <w:top w:val="none" w:sz="0" w:space="0" w:color="auto"/>
                        <w:left w:val="none" w:sz="0" w:space="0" w:color="auto"/>
                        <w:bottom w:val="none" w:sz="0" w:space="0" w:color="auto"/>
                        <w:right w:val="none" w:sz="0" w:space="0" w:color="auto"/>
                      </w:divBdr>
                      <w:divsChild>
                        <w:div w:id="2080247136">
                          <w:marLeft w:val="-225"/>
                          <w:marRight w:val="-225"/>
                          <w:marTop w:val="0"/>
                          <w:marBottom w:val="0"/>
                          <w:divBdr>
                            <w:top w:val="none" w:sz="0" w:space="0" w:color="auto"/>
                            <w:left w:val="none" w:sz="0" w:space="0" w:color="auto"/>
                            <w:bottom w:val="none" w:sz="0" w:space="0" w:color="auto"/>
                            <w:right w:val="none" w:sz="0" w:space="0" w:color="auto"/>
                          </w:divBdr>
                          <w:divsChild>
                            <w:div w:id="157187067">
                              <w:marLeft w:val="0"/>
                              <w:marRight w:val="0"/>
                              <w:marTop w:val="0"/>
                              <w:marBottom w:val="0"/>
                              <w:divBdr>
                                <w:top w:val="none" w:sz="0" w:space="0" w:color="auto"/>
                                <w:left w:val="none" w:sz="0" w:space="0" w:color="auto"/>
                                <w:bottom w:val="none" w:sz="0" w:space="0" w:color="auto"/>
                                <w:right w:val="none" w:sz="0" w:space="0" w:color="auto"/>
                              </w:divBdr>
                              <w:divsChild>
                                <w:div w:id="359476654">
                                  <w:marLeft w:val="-225"/>
                                  <w:marRight w:val="-225"/>
                                  <w:marTop w:val="0"/>
                                  <w:marBottom w:val="0"/>
                                  <w:divBdr>
                                    <w:top w:val="none" w:sz="0" w:space="0" w:color="auto"/>
                                    <w:left w:val="none" w:sz="0" w:space="0" w:color="auto"/>
                                    <w:bottom w:val="none" w:sz="0" w:space="0" w:color="auto"/>
                                    <w:right w:val="none" w:sz="0" w:space="0" w:color="auto"/>
                                  </w:divBdr>
                                  <w:divsChild>
                                    <w:div w:id="435709910">
                                      <w:marLeft w:val="-225"/>
                                      <w:marRight w:val="0"/>
                                      <w:marTop w:val="0"/>
                                      <w:marBottom w:val="0"/>
                                      <w:divBdr>
                                        <w:top w:val="none" w:sz="0" w:space="0" w:color="auto"/>
                                        <w:left w:val="none" w:sz="0" w:space="0" w:color="auto"/>
                                        <w:bottom w:val="none" w:sz="0" w:space="0" w:color="auto"/>
                                        <w:right w:val="none" w:sz="0" w:space="0" w:color="auto"/>
                                      </w:divBdr>
                                      <w:divsChild>
                                        <w:div w:id="956831740">
                                          <w:marLeft w:val="0"/>
                                          <w:marRight w:val="0"/>
                                          <w:marTop w:val="0"/>
                                          <w:marBottom w:val="0"/>
                                          <w:divBdr>
                                            <w:top w:val="none" w:sz="0" w:space="0" w:color="auto"/>
                                            <w:left w:val="none" w:sz="0" w:space="0" w:color="auto"/>
                                            <w:bottom w:val="none" w:sz="0" w:space="0" w:color="auto"/>
                                            <w:right w:val="none" w:sz="0" w:space="0" w:color="auto"/>
                                          </w:divBdr>
                                        </w:div>
                                        <w:div w:id="566185073">
                                          <w:marLeft w:val="0"/>
                                          <w:marRight w:val="0"/>
                                          <w:marTop w:val="0"/>
                                          <w:marBottom w:val="0"/>
                                          <w:divBdr>
                                            <w:top w:val="none" w:sz="0" w:space="0" w:color="auto"/>
                                            <w:left w:val="none" w:sz="0" w:space="0" w:color="auto"/>
                                            <w:bottom w:val="none" w:sz="0" w:space="0" w:color="auto"/>
                                            <w:right w:val="none" w:sz="0" w:space="0" w:color="auto"/>
                                          </w:divBdr>
                                          <w:divsChild>
                                            <w:div w:id="1801609567">
                                              <w:marLeft w:val="-225"/>
                                              <w:marRight w:val="-225"/>
                                              <w:marTop w:val="0"/>
                                              <w:marBottom w:val="0"/>
                                              <w:divBdr>
                                                <w:top w:val="none" w:sz="0" w:space="0" w:color="auto"/>
                                                <w:left w:val="none" w:sz="0" w:space="0" w:color="auto"/>
                                                <w:bottom w:val="none" w:sz="0" w:space="0" w:color="auto"/>
                                                <w:right w:val="none" w:sz="0" w:space="0" w:color="auto"/>
                                              </w:divBdr>
                                              <w:divsChild>
                                                <w:div w:id="84836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5802973">
      <w:bodyDiv w:val="1"/>
      <w:marLeft w:val="0"/>
      <w:marRight w:val="0"/>
      <w:marTop w:val="0"/>
      <w:marBottom w:val="0"/>
      <w:divBdr>
        <w:top w:val="none" w:sz="0" w:space="0" w:color="auto"/>
        <w:left w:val="none" w:sz="0" w:space="0" w:color="auto"/>
        <w:bottom w:val="none" w:sz="0" w:space="0" w:color="auto"/>
        <w:right w:val="none" w:sz="0" w:space="0" w:color="auto"/>
      </w:divBdr>
    </w:div>
    <w:div w:id="1855225521">
      <w:bodyDiv w:val="1"/>
      <w:marLeft w:val="0"/>
      <w:marRight w:val="0"/>
      <w:marTop w:val="0"/>
      <w:marBottom w:val="0"/>
      <w:divBdr>
        <w:top w:val="none" w:sz="0" w:space="0" w:color="auto"/>
        <w:left w:val="none" w:sz="0" w:space="0" w:color="auto"/>
        <w:bottom w:val="none" w:sz="0" w:space="0" w:color="auto"/>
        <w:right w:val="none" w:sz="0" w:space="0" w:color="auto"/>
      </w:divBdr>
    </w:div>
    <w:div w:id="1879932240">
      <w:bodyDiv w:val="1"/>
      <w:marLeft w:val="0"/>
      <w:marRight w:val="0"/>
      <w:marTop w:val="0"/>
      <w:marBottom w:val="0"/>
      <w:divBdr>
        <w:top w:val="none" w:sz="0" w:space="0" w:color="auto"/>
        <w:left w:val="none" w:sz="0" w:space="0" w:color="auto"/>
        <w:bottom w:val="none" w:sz="0" w:space="0" w:color="auto"/>
        <w:right w:val="none" w:sz="0" w:space="0" w:color="auto"/>
      </w:divBdr>
    </w:div>
    <w:div w:id="1945380854">
      <w:bodyDiv w:val="1"/>
      <w:marLeft w:val="0"/>
      <w:marRight w:val="0"/>
      <w:marTop w:val="0"/>
      <w:marBottom w:val="0"/>
      <w:divBdr>
        <w:top w:val="none" w:sz="0" w:space="0" w:color="auto"/>
        <w:left w:val="none" w:sz="0" w:space="0" w:color="auto"/>
        <w:bottom w:val="none" w:sz="0" w:space="0" w:color="auto"/>
        <w:right w:val="none" w:sz="0" w:space="0" w:color="auto"/>
      </w:divBdr>
      <w:divsChild>
        <w:div w:id="2103644726">
          <w:marLeft w:val="0"/>
          <w:marRight w:val="0"/>
          <w:marTop w:val="0"/>
          <w:marBottom w:val="0"/>
          <w:divBdr>
            <w:top w:val="none" w:sz="0" w:space="0" w:color="auto"/>
            <w:left w:val="none" w:sz="0" w:space="0" w:color="auto"/>
            <w:bottom w:val="none" w:sz="0" w:space="0" w:color="auto"/>
            <w:right w:val="none" w:sz="0" w:space="0" w:color="auto"/>
          </w:divBdr>
        </w:div>
        <w:div w:id="588972942">
          <w:marLeft w:val="0"/>
          <w:marRight w:val="0"/>
          <w:marTop w:val="0"/>
          <w:marBottom w:val="0"/>
          <w:divBdr>
            <w:top w:val="none" w:sz="0" w:space="0" w:color="auto"/>
            <w:left w:val="none" w:sz="0" w:space="0" w:color="auto"/>
            <w:bottom w:val="none" w:sz="0" w:space="0" w:color="auto"/>
            <w:right w:val="none" w:sz="0" w:space="0" w:color="auto"/>
          </w:divBdr>
          <w:divsChild>
            <w:div w:id="91778728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947538899">
      <w:bodyDiv w:val="1"/>
      <w:marLeft w:val="0"/>
      <w:marRight w:val="0"/>
      <w:marTop w:val="0"/>
      <w:marBottom w:val="0"/>
      <w:divBdr>
        <w:top w:val="none" w:sz="0" w:space="0" w:color="auto"/>
        <w:left w:val="none" w:sz="0" w:space="0" w:color="auto"/>
        <w:bottom w:val="none" w:sz="0" w:space="0" w:color="auto"/>
        <w:right w:val="none" w:sz="0" w:space="0" w:color="auto"/>
      </w:divBdr>
      <w:divsChild>
        <w:div w:id="1830559441">
          <w:marLeft w:val="0"/>
          <w:marRight w:val="0"/>
          <w:marTop w:val="0"/>
          <w:marBottom w:val="0"/>
          <w:divBdr>
            <w:top w:val="none" w:sz="0" w:space="0" w:color="auto"/>
            <w:left w:val="none" w:sz="0" w:space="0" w:color="auto"/>
            <w:bottom w:val="none" w:sz="0" w:space="0" w:color="auto"/>
            <w:right w:val="none" w:sz="0" w:space="0" w:color="auto"/>
          </w:divBdr>
          <w:divsChild>
            <w:div w:id="399907454">
              <w:marLeft w:val="0"/>
              <w:marRight w:val="0"/>
              <w:marTop w:val="0"/>
              <w:marBottom w:val="0"/>
              <w:divBdr>
                <w:top w:val="none" w:sz="0" w:space="0" w:color="auto"/>
                <w:left w:val="none" w:sz="0" w:space="0" w:color="auto"/>
                <w:bottom w:val="none" w:sz="0" w:space="0" w:color="auto"/>
                <w:right w:val="none" w:sz="0" w:space="0" w:color="auto"/>
              </w:divBdr>
              <w:divsChild>
                <w:div w:id="279074212">
                  <w:marLeft w:val="0"/>
                  <w:marRight w:val="0"/>
                  <w:marTop w:val="0"/>
                  <w:marBottom w:val="300"/>
                  <w:divBdr>
                    <w:top w:val="single" w:sz="6" w:space="0" w:color="444646"/>
                    <w:left w:val="single" w:sz="6" w:space="0" w:color="444646"/>
                    <w:bottom w:val="single" w:sz="6" w:space="0" w:color="444646"/>
                    <w:right w:val="single" w:sz="6" w:space="0" w:color="444646"/>
                  </w:divBdr>
                  <w:divsChild>
                    <w:div w:id="2105956198">
                      <w:marLeft w:val="0"/>
                      <w:marRight w:val="0"/>
                      <w:marTop w:val="0"/>
                      <w:marBottom w:val="0"/>
                      <w:divBdr>
                        <w:top w:val="none" w:sz="0" w:space="0" w:color="auto"/>
                        <w:left w:val="none" w:sz="0" w:space="0" w:color="auto"/>
                        <w:bottom w:val="none" w:sz="0" w:space="0" w:color="auto"/>
                        <w:right w:val="none" w:sz="0" w:space="0" w:color="auto"/>
                      </w:divBdr>
                      <w:divsChild>
                        <w:div w:id="2013297052">
                          <w:marLeft w:val="-225"/>
                          <w:marRight w:val="-225"/>
                          <w:marTop w:val="0"/>
                          <w:marBottom w:val="0"/>
                          <w:divBdr>
                            <w:top w:val="none" w:sz="0" w:space="0" w:color="auto"/>
                            <w:left w:val="none" w:sz="0" w:space="0" w:color="auto"/>
                            <w:bottom w:val="none" w:sz="0" w:space="0" w:color="auto"/>
                            <w:right w:val="none" w:sz="0" w:space="0" w:color="auto"/>
                          </w:divBdr>
                          <w:divsChild>
                            <w:div w:id="1552575876">
                              <w:marLeft w:val="0"/>
                              <w:marRight w:val="0"/>
                              <w:marTop w:val="0"/>
                              <w:marBottom w:val="0"/>
                              <w:divBdr>
                                <w:top w:val="none" w:sz="0" w:space="0" w:color="auto"/>
                                <w:left w:val="none" w:sz="0" w:space="0" w:color="auto"/>
                                <w:bottom w:val="none" w:sz="0" w:space="0" w:color="auto"/>
                                <w:right w:val="none" w:sz="0" w:space="0" w:color="auto"/>
                              </w:divBdr>
                              <w:divsChild>
                                <w:div w:id="798574883">
                                  <w:marLeft w:val="-225"/>
                                  <w:marRight w:val="-225"/>
                                  <w:marTop w:val="0"/>
                                  <w:marBottom w:val="0"/>
                                  <w:divBdr>
                                    <w:top w:val="none" w:sz="0" w:space="0" w:color="auto"/>
                                    <w:left w:val="none" w:sz="0" w:space="0" w:color="auto"/>
                                    <w:bottom w:val="none" w:sz="0" w:space="0" w:color="auto"/>
                                    <w:right w:val="none" w:sz="0" w:space="0" w:color="auto"/>
                                  </w:divBdr>
                                  <w:divsChild>
                                    <w:div w:id="1689675120">
                                      <w:marLeft w:val="0"/>
                                      <w:marRight w:val="0"/>
                                      <w:marTop w:val="0"/>
                                      <w:marBottom w:val="0"/>
                                      <w:divBdr>
                                        <w:top w:val="none" w:sz="0" w:space="0" w:color="auto"/>
                                        <w:left w:val="none" w:sz="0" w:space="0" w:color="auto"/>
                                        <w:bottom w:val="none" w:sz="0" w:space="0" w:color="auto"/>
                                        <w:right w:val="none" w:sz="0" w:space="0" w:color="auto"/>
                                      </w:divBdr>
                                      <w:divsChild>
                                        <w:div w:id="1317341010">
                                          <w:marLeft w:val="-225"/>
                                          <w:marRight w:val="-225"/>
                                          <w:marTop w:val="0"/>
                                          <w:marBottom w:val="0"/>
                                          <w:divBdr>
                                            <w:top w:val="none" w:sz="0" w:space="0" w:color="auto"/>
                                            <w:left w:val="none" w:sz="0" w:space="0" w:color="auto"/>
                                            <w:bottom w:val="none" w:sz="0" w:space="0" w:color="auto"/>
                                            <w:right w:val="none" w:sz="0" w:space="0" w:color="auto"/>
                                          </w:divBdr>
                                          <w:divsChild>
                                            <w:div w:id="1962152803">
                                              <w:marLeft w:val="-225"/>
                                              <w:marRight w:val="0"/>
                                              <w:marTop w:val="0"/>
                                              <w:marBottom w:val="0"/>
                                              <w:divBdr>
                                                <w:top w:val="none" w:sz="0" w:space="0" w:color="auto"/>
                                                <w:left w:val="none" w:sz="0" w:space="0" w:color="auto"/>
                                                <w:bottom w:val="none" w:sz="0" w:space="0" w:color="auto"/>
                                                <w:right w:val="none" w:sz="0" w:space="0" w:color="auto"/>
                                              </w:divBdr>
                                              <w:divsChild>
                                                <w:div w:id="1263955805">
                                                  <w:marLeft w:val="0"/>
                                                  <w:marRight w:val="0"/>
                                                  <w:marTop w:val="0"/>
                                                  <w:marBottom w:val="0"/>
                                                  <w:divBdr>
                                                    <w:top w:val="none" w:sz="0" w:space="0" w:color="auto"/>
                                                    <w:left w:val="none" w:sz="0" w:space="0" w:color="auto"/>
                                                    <w:bottom w:val="none" w:sz="0" w:space="0" w:color="auto"/>
                                                    <w:right w:val="none" w:sz="0" w:space="0" w:color="auto"/>
                                                  </w:divBdr>
                                                  <w:divsChild>
                                                    <w:div w:id="841353469">
                                                      <w:marLeft w:val="-225"/>
                                                      <w:marRight w:val="-225"/>
                                                      <w:marTop w:val="0"/>
                                                      <w:marBottom w:val="0"/>
                                                      <w:divBdr>
                                                        <w:top w:val="none" w:sz="0" w:space="0" w:color="auto"/>
                                                        <w:left w:val="none" w:sz="0" w:space="0" w:color="auto"/>
                                                        <w:bottom w:val="none" w:sz="0" w:space="0" w:color="auto"/>
                                                        <w:right w:val="none" w:sz="0" w:space="0" w:color="auto"/>
                                                      </w:divBdr>
                                                      <w:divsChild>
                                                        <w:div w:id="1799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0212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241164">
          <w:marLeft w:val="0"/>
          <w:marRight w:val="0"/>
          <w:marTop w:val="0"/>
          <w:marBottom w:val="300"/>
          <w:divBdr>
            <w:top w:val="single" w:sz="6" w:space="0" w:color="444646"/>
            <w:left w:val="single" w:sz="6" w:space="0" w:color="444646"/>
            <w:bottom w:val="single" w:sz="6" w:space="0" w:color="444646"/>
            <w:right w:val="single" w:sz="6" w:space="0" w:color="444646"/>
          </w:divBdr>
          <w:divsChild>
            <w:div w:id="1937513291">
              <w:marLeft w:val="0"/>
              <w:marRight w:val="0"/>
              <w:marTop w:val="0"/>
              <w:marBottom w:val="0"/>
              <w:divBdr>
                <w:top w:val="none" w:sz="0" w:space="0" w:color="auto"/>
                <w:left w:val="none" w:sz="0" w:space="0" w:color="auto"/>
                <w:bottom w:val="none" w:sz="0" w:space="0" w:color="auto"/>
                <w:right w:val="none" w:sz="0" w:space="0" w:color="auto"/>
              </w:divBdr>
              <w:divsChild>
                <w:div w:id="980428746">
                  <w:marLeft w:val="-225"/>
                  <w:marRight w:val="-225"/>
                  <w:marTop w:val="0"/>
                  <w:marBottom w:val="0"/>
                  <w:divBdr>
                    <w:top w:val="none" w:sz="0" w:space="0" w:color="auto"/>
                    <w:left w:val="none" w:sz="0" w:space="0" w:color="auto"/>
                    <w:bottom w:val="none" w:sz="0" w:space="0" w:color="auto"/>
                    <w:right w:val="none" w:sz="0" w:space="0" w:color="auto"/>
                  </w:divBdr>
                  <w:divsChild>
                    <w:div w:id="14104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22375">
      <w:bodyDiv w:val="1"/>
      <w:marLeft w:val="0"/>
      <w:marRight w:val="0"/>
      <w:marTop w:val="0"/>
      <w:marBottom w:val="0"/>
      <w:divBdr>
        <w:top w:val="none" w:sz="0" w:space="0" w:color="auto"/>
        <w:left w:val="none" w:sz="0" w:space="0" w:color="auto"/>
        <w:bottom w:val="none" w:sz="0" w:space="0" w:color="auto"/>
        <w:right w:val="none" w:sz="0" w:space="0" w:color="auto"/>
      </w:divBdr>
    </w:div>
    <w:div w:id="2000114919">
      <w:bodyDiv w:val="1"/>
      <w:marLeft w:val="0"/>
      <w:marRight w:val="0"/>
      <w:marTop w:val="0"/>
      <w:marBottom w:val="0"/>
      <w:divBdr>
        <w:top w:val="none" w:sz="0" w:space="0" w:color="auto"/>
        <w:left w:val="none" w:sz="0" w:space="0" w:color="auto"/>
        <w:bottom w:val="none" w:sz="0" w:space="0" w:color="auto"/>
        <w:right w:val="none" w:sz="0" w:space="0" w:color="auto"/>
      </w:divBdr>
    </w:div>
    <w:div w:id="2010407604">
      <w:bodyDiv w:val="1"/>
      <w:marLeft w:val="0"/>
      <w:marRight w:val="0"/>
      <w:marTop w:val="0"/>
      <w:marBottom w:val="0"/>
      <w:divBdr>
        <w:top w:val="none" w:sz="0" w:space="0" w:color="auto"/>
        <w:left w:val="none" w:sz="0" w:space="0" w:color="auto"/>
        <w:bottom w:val="none" w:sz="0" w:space="0" w:color="auto"/>
        <w:right w:val="none" w:sz="0" w:space="0" w:color="auto"/>
      </w:divBdr>
    </w:div>
    <w:div w:id="2015374317">
      <w:bodyDiv w:val="1"/>
      <w:marLeft w:val="0"/>
      <w:marRight w:val="0"/>
      <w:marTop w:val="0"/>
      <w:marBottom w:val="0"/>
      <w:divBdr>
        <w:top w:val="none" w:sz="0" w:space="0" w:color="auto"/>
        <w:left w:val="none" w:sz="0" w:space="0" w:color="auto"/>
        <w:bottom w:val="none" w:sz="0" w:space="0" w:color="auto"/>
        <w:right w:val="none" w:sz="0" w:space="0" w:color="auto"/>
      </w:divBdr>
    </w:div>
    <w:div w:id="2018775168">
      <w:bodyDiv w:val="1"/>
      <w:marLeft w:val="0"/>
      <w:marRight w:val="0"/>
      <w:marTop w:val="0"/>
      <w:marBottom w:val="0"/>
      <w:divBdr>
        <w:top w:val="none" w:sz="0" w:space="0" w:color="auto"/>
        <w:left w:val="none" w:sz="0" w:space="0" w:color="auto"/>
        <w:bottom w:val="none" w:sz="0" w:space="0" w:color="auto"/>
        <w:right w:val="none" w:sz="0" w:space="0" w:color="auto"/>
      </w:divBdr>
    </w:div>
    <w:div w:id="2046981659">
      <w:bodyDiv w:val="1"/>
      <w:marLeft w:val="0"/>
      <w:marRight w:val="0"/>
      <w:marTop w:val="0"/>
      <w:marBottom w:val="0"/>
      <w:divBdr>
        <w:top w:val="none" w:sz="0" w:space="0" w:color="auto"/>
        <w:left w:val="none" w:sz="0" w:space="0" w:color="auto"/>
        <w:bottom w:val="none" w:sz="0" w:space="0" w:color="auto"/>
        <w:right w:val="none" w:sz="0" w:space="0" w:color="auto"/>
      </w:divBdr>
      <w:divsChild>
        <w:div w:id="703019365">
          <w:marLeft w:val="0"/>
          <w:marRight w:val="0"/>
          <w:marTop w:val="0"/>
          <w:marBottom w:val="0"/>
          <w:divBdr>
            <w:top w:val="none" w:sz="0" w:space="0" w:color="auto"/>
            <w:left w:val="none" w:sz="0" w:space="0" w:color="auto"/>
            <w:bottom w:val="none" w:sz="0" w:space="0" w:color="auto"/>
            <w:right w:val="none" w:sz="0" w:space="0" w:color="auto"/>
          </w:divBdr>
          <w:divsChild>
            <w:div w:id="664406435">
              <w:marLeft w:val="0"/>
              <w:marRight w:val="0"/>
              <w:marTop w:val="0"/>
              <w:marBottom w:val="0"/>
              <w:divBdr>
                <w:top w:val="none" w:sz="0" w:space="0" w:color="auto"/>
                <w:left w:val="none" w:sz="0" w:space="0" w:color="auto"/>
                <w:bottom w:val="none" w:sz="0" w:space="0" w:color="auto"/>
                <w:right w:val="none" w:sz="0" w:space="0" w:color="auto"/>
              </w:divBdr>
              <w:divsChild>
                <w:div w:id="398988774">
                  <w:marLeft w:val="0"/>
                  <w:marRight w:val="0"/>
                  <w:marTop w:val="0"/>
                  <w:marBottom w:val="0"/>
                  <w:divBdr>
                    <w:top w:val="none" w:sz="0" w:space="0" w:color="auto"/>
                    <w:left w:val="none" w:sz="0" w:space="0" w:color="auto"/>
                    <w:bottom w:val="none" w:sz="0" w:space="0" w:color="auto"/>
                    <w:right w:val="none" w:sz="0" w:space="0" w:color="auto"/>
                  </w:divBdr>
                  <w:divsChild>
                    <w:div w:id="1241864803">
                      <w:marLeft w:val="0"/>
                      <w:marRight w:val="0"/>
                      <w:marTop w:val="0"/>
                      <w:marBottom w:val="0"/>
                      <w:divBdr>
                        <w:top w:val="none" w:sz="0" w:space="0" w:color="auto"/>
                        <w:left w:val="none" w:sz="0" w:space="0" w:color="auto"/>
                        <w:bottom w:val="none" w:sz="0" w:space="0" w:color="auto"/>
                        <w:right w:val="none" w:sz="0" w:space="0" w:color="auto"/>
                      </w:divBdr>
                      <w:divsChild>
                        <w:div w:id="1790471041">
                          <w:marLeft w:val="0"/>
                          <w:marRight w:val="0"/>
                          <w:marTop w:val="0"/>
                          <w:marBottom w:val="0"/>
                          <w:divBdr>
                            <w:top w:val="none" w:sz="0" w:space="0" w:color="auto"/>
                            <w:left w:val="none" w:sz="0" w:space="0" w:color="auto"/>
                            <w:bottom w:val="none" w:sz="0" w:space="0" w:color="auto"/>
                            <w:right w:val="none" w:sz="0" w:space="0" w:color="auto"/>
                          </w:divBdr>
                          <w:divsChild>
                            <w:div w:id="3332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912729">
      <w:bodyDiv w:val="1"/>
      <w:marLeft w:val="0"/>
      <w:marRight w:val="0"/>
      <w:marTop w:val="0"/>
      <w:marBottom w:val="0"/>
      <w:divBdr>
        <w:top w:val="none" w:sz="0" w:space="0" w:color="auto"/>
        <w:left w:val="none" w:sz="0" w:space="0" w:color="auto"/>
        <w:bottom w:val="none" w:sz="0" w:space="0" w:color="auto"/>
        <w:right w:val="none" w:sz="0" w:space="0" w:color="auto"/>
      </w:divBdr>
      <w:divsChild>
        <w:div w:id="1899978685">
          <w:marLeft w:val="0"/>
          <w:marRight w:val="0"/>
          <w:marTop w:val="0"/>
          <w:marBottom w:val="300"/>
          <w:divBdr>
            <w:top w:val="single" w:sz="6" w:space="0" w:color="DDDDDD"/>
            <w:left w:val="single" w:sz="6" w:space="0" w:color="DDDDDD"/>
            <w:bottom w:val="single" w:sz="6" w:space="0" w:color="DDDDDD"/>
            <w:right w:val="single" w:sz="6" w:space="0" w:color="DDDDDD"/>
          </w:divBdr>
          <w:divsChild>
            <w:div w:id="2031251617">
              <w:marLeft w:val="0"/>
              <w:marRight w:val="0"/>
              <w:marTop w:val="0"/>
              <w:marBottom w:val="0"/>
              <w:divBdr>
                <w:top w:val="none" w:sz="0" w:space="0" w:color="auto"/>
                <w:left w:val="none" w:sz="0" w:space="0" w:color="auto"/>
                <w:bottom w:val="none" w:sz="0" w:space="0" w:color="auto"/>
                <w:right w:val="none" w:sz="0" w:space="0" w:color="auto"/>
              </w:divBdr>
              <w:divsChild>
                <w:div w:id="50201613">
                  <w:marLeft w:val="-225"/>
                  <w:marRight w:val="-225"/>
                  <w:marTop w:val="0"/>
                  <w:marBottom w:val="0"/>
                  <w:divBdr>
                    <w:top w:val="none" w:sz="0" w:space="0" w:color="auto"/>
                    <w:left w:val="none" w:sz="0" w:space="0" w:color="auto"/>
                    <w:bottom w:val="none" w:sz="0" w:space="0" w:color="auto"/>
                    <w:right w:val="none" w:sz="0" w:space="0" w:color="auto"/>
                  </w:divBdr>
                  <w:divsChild>
                    <w:div w:id="1370958547">
                      <w:marLeft w:val="0"/>
                      <w:marRight w:val="0"/>
                      <w:marTop w:val="0"/>
                      <w:marBottom w:val="0"/>
                      <w:divBdr>
                        <w:top w:val="none" w:sz="0" w:space="0" w:color="auto"/>
                        <w:left w:val="none" w:sz="0" w:space="0" w:color="auto"/>
                        <w:bottom w:val="none" w:sz="0" w:space="0" w:color="auto"/>
                        <w:right w:val="none" w:sz="0" w:space="0" w:color="auto"/>
                      </w:divBdr>
                      <w:divsChild>
                        <w:div w:id="1134057764">
                          <w:marLeft w:val="-225"/>
                          <w:marRight w:val="-225"/>
                          <w:marTop w:val="0"/>
                          <w:marBottom w:val="0"/>
                          <w:divBdr>
                            <w:top w:val="none" w:sz="0" w:space="0" w:color="auto"/>
                            <w:left w:val="none" w:sz="0" w:space="0" w:color="auto"/>
                            <w:bottom w:val="none" w:sz="0" w:space="0" w:color="auto"/>
                            <w:right w:val="none" w:sz="0" w:space="0" w:color="auto"/>
                          </w:divBdr>
                          <w:divsChild>
                            <w:div w:id="481821004">
                              <w:marLeft w:val="0"/>
                              <w:marRight w:val="0"/>
                              <w:marTop w:val="0"/>
                              <w:marBottom w:val="0"/>
                              <w:divBdr>
                                <w:top w:val="none" w:sz="0" w:space="0" w:color="auto"/>
                                <w:left w:val="none" w:sz="0" w:space="0" w:color="auto"/>
                                <w:bottom w:val="none" w:sz="0" w:space="0" w:color="auto"/>
                                <w:right w:val="none" w:sz="0" w:space="0" w:color="auto"/>
                              </w:divBdr>
                              <w:divsChild>
                                <w:div w:id="1343971475">
                                  <w:marLeft w:val="-225"/>
                                  <w:marRight w:val="-225"/>
                                  <w:marTop w:val="0"/>
                                  <w:marBottom w:val="0"/>
                                  <w:divBdr>
                                    <w:top w:val="none" w:sz="0" w:space="0" w:color="auto"/>
                                    <w:left w:val="none" w:sz="0" w:space="0" w:color="auto"/>
                                    <w:bottom w:val="none" w:sz="0" w:space="0" w:color="auto"/>
                                    <w:right w:val="none" w:sz="0" w:space="0" w:color="auto"/>
                                  </w:divBdr>
                                  <w:divsChild>
                                    <w:div w:id="921715208">
                                      <w:marLeft w:val="-225"/>
                                      <w:marRight w:val="0"/>
                                      <w:marTop w:val="0"/>
                                      <w:marBottom w:val="0"/>
                                      <w:divBdr>
                                        <w:top w:val="none" w:sz="0" w:space="0" w:color="auto"/>
                                        <w:left w:val="none" w:sz="0" w:space="0" w:color="auto"/>
                                        <w:bottom w:val="none" w:sz="0" w:space="0" w:color="auto"/>
                                        <w:right w:val="none" w:sz="0" w:space="0" w:color="auto"/>
                                      </w:divBdr>
                                      <w:divsChild>
                                        <w:div w:id="1906644521">
                                          <w:marLeft w:val="0"/>
                                          <w:marRight w:val="0"/>
                                          <w:marTop w:val="0"/>
                                          <w:marBottom w:val="0"/>
                                          <w:divBdr>
                                            <w:top w:val="none" w:sz="0" w:space="0" w:color="auto"/>
                                            <w:left w:val="none" w:sz="0" w:space="0" w:color="auto"/>
                                            <w:bottom w:val="none" w:sz="0" w:space="0" w:color="auto"/>
                                            <w:right w:val="none" w:sz="0" w:space="0" w:color="auto"/>
                                          </w:divBdr>
                                        </w:div>
                                        <w:div w:id="1164123723">
                                          <w:marLeft w:val="0"/>
                                          <w:marRight w:val="0"/>
                                          <w:marTop w:val="0"/>
                                          <w:marBottom w:val="0"/>
                                          <w:divBdr>
                                            <w:top w:val="none" w:sz="0" w:space="0" w:color="auto"/>
                                            <w:left w:val="none" w:sz="0" w:space="0" w:color="auto"/>
                                            <w:bottom w:val="none" w:sz="0" w:space="0" w:color="auto"/>
                                            <w:right w:val="none" w:sz="0" w:space="0" w:color="auto"/>
                                          </w:divBdr>
                                          <w:divsChild>
                                            <w:div w:id="95636343">
                                              <w:marLeft w:val="-225"/>
                                              <w:marRight w:val="-225"/>
                                              <w:marTop w:val="0"/>
                                              <w:marBottom w:val="0"/>
                                              <w:divBdr>
                                                <w:top w:val="none" w:sz="0" w:space="0" w:color="auto"/>
                                                <w:left w:val="none" w:sz="0" w:space="0" w:color="auto"/>
                                                <w:bottom w:val="none" w:sz="0" w:space="0" w:color="auto"/>
                                                <w:right w:val="none" w:sz="0" w:space="0" w:color="auto"/>
                                              </w:divBdr>
                                              <w:divsChild>
                                                <w:div w:id="9919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3088705">
      <w:bodyDiv w:val="1"/>
      <w:marLeft w:val="0"/>
      <w:marRight w:val="0"/>
      <w:marTop w:val="0"/>
      <w:marBottom w:val="0"/>
      <w:divBdr>
        <w:top w:val="none" w:sz="0" w:space="0" w:color="auto"/>
        <w:left w:val="none" w:sz="0" w:space="0" w:color="auto"/>
        <w:bottom w:val="none" w:sz="0" w:space="0" w:color="auto"/>
        <w:right w:val="none" w:sz="0" w:space="0" w:color="auto"/>
      </w:divBdr>
    </w:div>
    <w:div w:id="2084178541">
      <w:bodyDiv w:val="1"/>
      <w:marLeft w:val="0"/>
      <w:marRight w:val="0"/>
      <w:marTop w:val="0"/>
      <w:marBottom w:val="0"/>
      <w:divBdr>
        <w:top w:val="none" w:sz="0" w:space="0" w:color="auto"/>
        <w:left w:val="none" w:sz="0" w:space="0" w:color="auto"/>
        <w:bottom w:val="none" w:sz="0" w:space="0" w:color="auto"/>
        <w:right w:val="none" w:sz="0" w:space="0" w:color="auto"/>
      </w:divBdr>
      <w:divsChild>
        <w:div w:id="950286396">
          <w:marLeft w:val="0"/>
          <w:marRight w:val="0"/>
          <w:marTop w:val="0"/>
          <w:marBottom w:val="0"/>
          <w:divBdr>
            <w:top w:val="none" w:sz="0" w:space="0" w:color="auto"/>
            <w:left w:val="none" w:sz="0" w:space="0" w:color="auto"/>
            <w:bottom w:val="none" w:sz="0" w:space="0" w:color="auto"/>
            <w:right w:val="none" w:sz="0" w:space="0" w:color="auto"/>
          </w:divBdr>
          <w:divsChild>
            <w:div w:id="1916546566">
              <w:marLeft w:val="0"/>
              <w:marRight w:val="0"/>
              <w:marTop w:val="0"/>
              <w:marBottom w:val="0"/>
              <w:divBdr>
                <w:top w:val="none" w:sz="0" w:space="0" w:color="auto"/>
                <w:left w:val="none" w:sz="0" w:space="0" w:color="auto"/>
                <w:bottom w:val="none" w:sz="0" w:space="0" w:color="auto"/>
                <w:right w:val="none" w:sz="0" w:space="0" w:color="auto"/>
              </w:divBdr>
              <w:divsChild>
                <w:div w:id="2121531818">
                  <w:marLeft w:val="0"/>
                  <w:marRight w:val="0"/>
                  <w:marTop w:val="0"/>
                  <w:marBottom w:val="0"/>
                  <w:divBdr>
                    <w:top w:val="none" w:sz="0" w:space="0" w:color="auto"/>
                    <w:left w:val="none" w:sz="0" w:space="0" w:color="auto"/>
                    <w:bottom w:val="none" w:sz="0" w:space="0" w:color="auto"/>
                    <w:right w:val="none" w:sz="0" w:space="0" w:color="auto"/>
                  </w:divBdr>
                  <w:divsChild>
                    <w:div w:id="602031746">
                      <w:marLeft w:val="0"/>
                      <w:marRight w:val="0"/>
                      <w:marTop w:val="0"/>
                      <w:marBottom w:val="0"/>
                      <w:divBdr>
                        <w:top w:val="none" w:sz="0" w:space="0" w:color="auto"/>
                        <w:left w:val="none" w:sz="0" w:space="0" w:color="auto"/>
                        <w:bottom w:val="none" w:sz="0" w:space="0" w:color="auto"/>
                        <w:right w:val="none" w:sz="0" w:space="0" w:color="auto"/>
                      </w:divBdr>
                      <w:divsChild>
                        <w:div w:id="2037194668">
                          <w:marLeft w:val="0"/>
                          <w:marRight w:val="0"/>
                          <w:marTop w:val="0"/>
                          <w:marBottom w:val="0"/>
                          <w:divBdr>
                            <w:top w:val="none" w:sz="0" w:space="0" w:color="auto"/>
                            <w:left w:val="none" w:sz="0" w:space="0" w:color="auto"/>
                            <w:bottom w:val="none" w:sz="0" w:space="0" w:color="auto"/>
                            <w:right w:val="none" w:sz="0" w:space="0" w:color="auto"/>
                          </w:divBdr>
                          <w:divsChild>
                            <w:div w:id="16637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71827">
      <w:bodyDiv w:val="1"/>
      <w:marLeft w:val="0"/>
      <w:marRight w:val="0"/>
      <w:marTop w:val="0"/>
      <w:marBottom w:val="0"/>
      <w:divBdr>
        <w:top w:val="none" w:sz="0" w:space="0" w:color="auto"/>
        <w:left w:val="none" w:sz="0" w:space="0" w:color="auto"/>
        <w:bottom w:val="none" w:sz="0" w:space="0" w:color="auto"/>
        <w:right w:val="none" w:sz="0" w:space="0" w:color="auto"/>
      </w:divBdr>
    </w:div>
    <w:div w:id="214692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esauro.justicialarioja.gob.ar/tb_exped_list.php" TargetMode="External"/><Relationship Id="rId21" Type="http://schemas.openxmlformats.org/officeDocument/2006/relationships/hyperlink" Target="https://www.justiciacordoba.gob.ar/JusticiaCordoba/TSJ/boletin_judicial" TargetMode="External"/><Relationship Id="rId34" Type="http://schemas.openxmlformats.org/officeDocument/2006/relationships/hyperlink" Target="https://www.jussantacruz.gob.ar/index.php/consulta-de-jurisprudencia" TargetMode="External"/><Relationship Id="rId42" Type="http://schemas.openxmlformats.org/officeDocument/2006/relationships/hyperlink" Target="https://consultatramites.chaco.gob.ar/instrumentos-legales" TargetMode="External"/><Relationship Id="rId47" Type="http://schemas.openxmlformats.org/officeDocument/2006/relationships/hyperlink" Target="https://ejusticia.jusformosa.gob.ar/" TargetMode="External"/><Relationship Id="rId50" Type="http://schemas.openxmlformats.org/officeDocument/2006/relationships/hyperlink" Target="https://jusjoaquin.gob.ar/requerimientos" TargetMode="External"/><Relationship Id="rId55" Type="http://schemas.openxmlformats.org/officeDocument/2006/relationships/hyperlink" Target="https://plataforma.justiciasalta.gov.ar/iol-ui/p/inicio" TargetMode="External"/><Relationship Id="rId63" Type="http://schemas.openxmlformats.org/officeDocument/2006/relationships/hyperlink" Target="mailto:gaidojuanpablo@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ntencias-corte.scba.gov.ar/" TargetMode="External"/><Relationship Id="rId29" Type="http://schemas.openxmlformats.org/officeDocument/2006/relationships/hyperlink" Target="http://juriscivil.jusneuquen.gov.ar/" TargetMode="External"/><Relationship Id="rId11" Type="http://schemas.openxmlformats.org/officeDocument/2006/relationships/hyperlink" Target="https://www.justicia.ar/" TargetMode="External"/><Relationship Id="rId24" Type="http://schemas.openxmlformats.org/officeDocument/2006/relationships/hyperlink" Target="https://www.jusformosa.gov.ar/decisiones-judiciales/jurisprudencia" TargetMode="External"/><Relationship Id="rId32" Type="http://schemas.openxmlformats.org/officeDocument/2006/relationships/hyperlink" Target="https://www.jussanjuan.gov.ar/jurisprudencia/" TargetMode="External"/><Relationship Id="rId37" Type="http://schemas.openxmlformats.org/officeDocument/2006/relationships/hyperlink" Target="https://www.justucuman.gov.ar/jurisprudencia" TargetMode="External"/><Relationship Id="rId40" Type="http://schemas.openxmlformats.org/officeDocument/2006/relationships/hyperlink" Target="https://mev.scba.gov.ar/registro.asp" TargetMode="External"/><Relationship Id="rId45" Type="http://schemas.openxmlformats.org/officeDocument/2006/relationships/hyperlink" Target="https://www.justiciacordoba.gob.ar/justiciacordoba/servicios/ConsultaJuicios.aspx" TargetMode="External"/><Relationship Id="rId53" Type="http://schemas.openxmlformats.org/officeDocument/2006/relationships/hyperlink" Target="http://200.0.228.132/apremios.nsf" TargetMode="External"/><Relationship Id="rId58" Type="http://schemas.openxmlformats.org/officeDocument/2006/relationships/hyperlink" Target="https://intranet.jussantacruz.gob.ar/consulta_publica/"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consultaexpedientes.justucuman.gov.ar/" TargetMode="External"/><Relationship Id="rId19" Type="http://schemas.openxmlformats.org/officeDocument/2006/relationships/hyperlink" Target="https://apps1cloud.juschubut.gov.ar/eureka" TargetMode="External"/><Relationship Id="rId14" Type="http://schemas.openxmlformats.org/officeDocument/2006/relationships/hyperlink" Target="https://sjconsulta.csjn.gov.ar/sjconsulta/fallos/consulta.html" TargetMode="External"/><Relationship Id="rId22" Type="http://schemas.openxmlformats.org/officeDocument/2006/relationships/hyperlink" Target="https://www.juscorrientes.gov.ar/jurisprudencia/" TargetMode="External"/><Relationship Id="rId27" Type="http://schemas.openxmlformats.org/officeDocument/2006/relationships/hyperlink" Target="https://jusmendoza.gob.ar/biblioteca-judicial/jurisprudencia/" TargetMode="External"/><Relationship Id="rId30" Type="http://schemas.openxmlformats.org/officeDocument/2006/relationships/hyperlink" Target="https://www.jusrionegro.gov.ar/web/servicios/abogados/indexjurisp.php" TargetMode="External"/><Relationship Id="rId35" Type="http://schemas.openxmlformats.org/officeDocument/2006/relationships/hyperlink" Target="https://bdj.justiciasantafe.gov.ar/" TargetMode="External"/><Relationship Id="rId43" Type="http://schemas.openxmlformats.org/officeDocument/2006/relationships/hyperlink" Target="https://serconex.juschubut.gov.ar/" TargetMode="External"/><Relationship Id="rId48" Type="http://schemas.openxmlformats.org/officeDocument/2006/relationships/hyperlink" Target="https://sigj.justiciajujuy.gov.ar/mentradas/index.php/consulta_web/index" TargetMode="External"/><Relationship Id="rId56" Type="http://schemas.openxmlformats.org/officeDocument/2006/relationships/hyperlink" Target="https://pignus.jussanjuan.gob.ar/api/?publickey=G0J9zKsANlpw0yialdRidnZmwal3ZwJZSYESQI9WZyv1QqdjmHLn4XBemvb1BscnXj8TEz9hliIce5ra3iV1jFSrd0i5cMLq7FMVRKCRDrGZsr7HiO2NhTK7f8hKr0zs&amp;redirect-to=https://mesavirtual.jussanjuan.gob.ar/login" TargetMode="External"/><Relationship Id="rId64" Type="http://schemas.openxmlformats.org/officeDocument/2006/relationships/header" Target="header1.xml"/><Relationship Id="rId8" Type="http://schemas.openxmlformats.org/officeDocument/2006/relationships/hyperlink" Target="https://sjservicios.csjn.gov.ar/sj/tomosFallos.do?method=iniciar" TargetMode="External"/><Relationship Id="rId51" Type="http://schemas.openxmlformats.org/officeDocument/2006/relationships/hyperlink" Target="https://iol.jus.mendoza.gov.ar/iol-ui/p/inicio" TargetMode="External"/><Relationship Id="rId3" Type="http://schemas.openxmlformats.org/officeDocument/2006/relationships/styles" Target="styles.xml"/><Relationship Id="rId12" Type="http://schemas.openxmlformats.org/officeDocument/2006/relationships/hyperlink" Target="https://www.justiciacordoba.gob.ar/justiciacordoba/TSJ/boletin_judicial" TargetMode="External"/><Relationship Id="rId17" Type="http://schemas.openxmlformats.org/officeDocument/2006/relationships/hyperlink" Target="http://200.61.223.41/app/juris/index.php?r=sentencia/admin" TargetMode="External"/><Relationship Id="rId25" Type="http://schemas.openxmlformats.org/officeDocument/2006/relationships/hyperlink" Target="https://jurisprudencia.justiciajujuy.gov.ar/public/buscador?index=0" TargetMode="External"/><Relationship Id="rId33" Type="http://schemas.openxmlformats.org/officeDocument/2006/relationships/hyperlink" Target="https://jurisprudencia.justiciasanluis.gov.ar/" TargetMode="External"/><Relationship Id="rId38" Type="http://schemas.openxmlformats.org/officeDocument/2006/relationships/hyperlink" Target="https://juris.justierradelfuego.gov.ar/" TargetMode="External"/><Relationship Id="rId46" Type="http://schemas.openxmlformats.org/officeDocument/2006/relationships/hyperlink" Target="https://forumna.juscorrientes.gov.ar/com.forumna.login" TargetMode="External"/><Relationship Id="rId59" Type="http://schemas.openxmlformats.org/officeDocument/2006/relationships/hyperlink" Target="https://sisfe.justiciasantafe.gov.ar/login-otros" TargetMode="External"/><Relationship Id="rId20" Type="http://schemas.openxmlformats.org/officeDocument/2006/relationships/hyperlink" Target="https://www.tsjbaires.gov.ar/servicios/jurisprudencia" TargetMode="External"/><Relationship Id="rId41" Type="http://schemas.openxmlformats.org/officeDocument/2006/relationships/hyperlink" Target="https://pcj.juscatamarca.gob.ar/iol-ui/p/inicio" TargetMode="External"/><Relationship Id="rId54" Type="http://schemas.openxmlformats.org/officeDocument/2006/relationships/hyperlink" Target="https://puma.jusrionegro.gov.ar/expjud/busqueda-publica" TargetMode="External"/><Relationship Id="rId62" Type="http://schemas.openxmlformats.org/officeDocument/2006/relationships/hyperlink" Target="https://kayen.justierradelfuego.gov.a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sjn.gov.ar/tribunales-federales-nacionales/inicio.html" TargetMode="External"/><Relationship Id="rId23" Type="http://schemas.openxmlformats.org/officeDocument/2006/relationships/hyperlink" Target="https://www.jusentrerios.gov.ar/jurisprudencia/" TargetMode="External"/><Relationship Id="rId28" Type="http://schemas.openxmlformats.org/officeDocument/2006/relationships/hyperlink" Target="https://jurispenal.jusneuquen.gov.ar/" TargetMode="External"/><Relationship Id="rId36" Type="http://schemas.openxmlformats.org/officeDocument/2006/relationships/hyperlink" Target="http://fallos-sumarios.jussantiago.gov.ar/" TargetMode="External"/><Relationship Id="rId49" Type="http://schemas.openxmlformats.org/officeDocument/2006/relationships/hyperlink" Target="https://civil.justicialapampa.gob.ar/Autenticacion.aspx?ReturnUrl=%2f" TargetMode="External"/><Relationship Id="rId57" Type="http://schemas.openxmlformats.org/officeDocument/2006/relationships/hyperlink" Target="https://publico.justiciasanluis.gov.ar/" TargetMode="External"/><Relationship Id="rId10" Type="http://schemas.openxmlformats.org/officeDocument/2006/relationships/hyperlink" Target="https://scw.pjn.gov.ar/scw/home.seam" TargetMode="External"/><Relationship Id="rId31" Type="http://schemas.openxmlformats.org/officeDocument/2006/relationships/hyperlink" Target="https://www.justiciasalta.gov.ar/es/jurisprudencia-inicio" TargetMode="External"/><Relationship Id="rId44" Type="http://schemas.openxmlformats.org/officeDocument/2006/relationships/hyperlink" Target="https://eje.juscaba.gob.ar/iol-ui/p/inicio" TargetMode="External"/><Relationship Id="rId52" Type="http://schemas.openxmlformats.org/officeDocument/2006/relationships/hyperlink" Target="https://www.jusmisiones.gov.ar/consultas_online/forms/expedientes/listado.php" TargetMode="External"/><Relationship Id="rId60" Type="http://schemas.openxmlformats.org/officeDocument/2006/relationships/hyperlink" Target="https://oficinavirtual.jussantiago.gov.ar/index.php"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j.gov.ar/sentencias" TargetMode="External"/><Relationship Id="rId13" Type="http://schemas.openxmlformats.org/officeDocument/2006/relationships/hyperlink" Target="mailto:boletinjudicial@justiciacordoba.gob.ar" TargetMode="External"/><Relationship Id="rId18" Type="http://schemas.openxmlformats.org/officeDocument/2006/relationships/hyperlink" Target="https://www.justiciachaco.gov.ar/busquedas/Busqueda_Jurisprudencia/buscador/" TargetMode="External"/><Relationship Id="rId39" Type="http://schemas.openxmlformats.org/officeDocument/2006/relationships/hyperlink" Target="https://scw.pjn.gov.ar/scw/home.sea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sjn.gov.ar/documentos/descargar?ID=148639" TargetMode="External"/><Relationship Id="rId2" Type="http://schemas.openxmlformats.org/officeDocument/2006/relationships/hyperlink" Target="https://www.csjn.gov.ar/documentos/descargar?ID=144715" TargetMode="External"/><Relationship Id="rId1" Type="http://schemas.openxmlformats.org/officeDocument/2006/relationships/hyperlink" Target="https://www.corteconstitucional.gov.co/relatoria/2025/t-067-25.htm" TargetMode="External"/><Relationship Id="rId5" Type="http://schemas.openxmlformats.org/officeDocument/2006/relationships/hyperlink" Target="https://www.justiciacordoba.gob.ar/justiciacordoba/inicio/indexDetalle.aspx?codNovedad=43859" TargetMode="External"/><Relationship Id="rId4" Type="http://schemas.openxmlformats.org/officeDocument/2006/relationships/hyperlink" Target="https://sjconsulta.csjn.gov.ar/sjconsulta/documentos/verDocumentoByIdLinksJSP.html?idDocumento=7813661&amp;cache=17560404684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4A582-C2E7-2E4D-A1AD-A9D9F32A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16362</Words>
  <Characters>89995</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emiliano</dc:creator>
  <cp:keywords/>
  <dc:description/>
  <cp:lastModifiedBy>Juan Pablo Gaido</cp:lastModifiedBy>
  <cp:revision>3</cp:revision>
  <dcterms:created xsi:type="dcterms:W3CDTF">2025-09-20T19:39:00Z</dcterms:created>
  <dcterms:modified xsi:type="dcterms:W3CDTF">2025-09-20T19:40:00Z</dcterms:modified>
</cp:coreProperties>
</file>