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A5F25" w14:textId="09DF5A37" w:rsidR="00127864" w:rsidRPr="00127864" w:rsidRDefault="00127864">
      <w:pPr>
        <w:rPr>
          <w:b/>
          <w:bCs/>
          <w:u w:val="single"/>
        </w:rPr>
      </w:pPr>
      <w:r w:rsidRPr="00127864">
        <w:rPr>
          <w:b/>
          <w:bCs/>
          <w:u w:val="single"/>
        </w:rPr>
        <w:t>LA REGLA DE LA INMEDIACIÓN. ACTUALIDAD. ¿UN PELIGRO PROCESAL?</w:t>
      </w:r>
    </w:p>
    <w:p w14:paraId="2039F0D3" w14:textId="77777777" w:rsidR="002342E2" w:rsidRDefault="002342E2" w:rsidP="00127864">
      <w:pPr>
        <w:jc w:val="right"/>
        <w:rPr>
          <w:b/>
          <w:bCs/>
        </w:rPr>
      </w:pPr>
    </w:p>
    <w:p w14:paraId="6A2AC3F6" w14:textId="367E240E" w:rsidR="00127864" w:rsidRPr="00127864" w:rsidRDefault="008A6186" w:rsidP="00127864">
      <w:pPr>
        <w:jc w:val="right"/>
        <w:rPr>
          <w:b/>
          <w:bCs/>
        </w:rPr>
      </w:pPr>
      <w:r>
        <w:rPr>
          <w:b/>
          <w:bCs/>
        </w:rPr>
        <w:t xml:space="preserve">XIX </w:t>
      </w:r>
      <w:r w:rsidR="00127864" w:rsidRPr="00127864">
        <w:rPr>
          <w:b/>
          <w:bCs/>
        </w:rPr>
        <w:t xml:space="preserve">Congreso de Derecho Procesal Garantista </w:t>
      </w:r>
    </w:p>
    <w:p w14:paraId="0B063808" w14:textId="03DFC377" w:rsidR="00127864" w:rsidRDefault="00127864" w:rsidP="00127864">
      <w:pPr>
        <w:pBdr>
          <w:bottom w:val="single" w:sz="6" w:space="1" w:color="auto"/>
        </w:pBdr>
        <w:jc w:val="right"/>
        <w:rPr>
          <w:b/>
          <w:bCs/>
        </w:rPr>
      </w:pPr>
      <w:r w:rsidRPr="00127864">
        <w:rPr>
          <w:b/>
          <w:bCs/>
        </w:rPr>
        <w:t>Azul, octubre 2025</w:t>
      </w:r>
    </w:p>
    <w:p w14:paraId="135B7402" w14:textId="77777777" w:rsidR="002342E2" w:rsidRDefault="002342E2" w:rsidP="00127864">
      <w:pPr>
        <w:pBdr>
          <w:bottom w:val="single" w:sz="6" w:space="1" w:color="auto"/>
        </w:pBdr>
        <w:jc w:val="right"/>
        <w:rPr>
          <w:b/>
          <w:bCs/>
        </w:rPr>
      </w:pPr>
    </w:p>
    <w:p w14:paraId="2D9601D4" w14:textId="4DC18015" w:rsidR="002342E2" w:rsidRPr="00127864" w:rsidRDefault="002342E2" w:rsidP="00127864">
      <w:pPr>
        <w:pBdr>
          <w:bottom w:val="single" w:sz="6" w:space="1" w:color="auto"/>
        </w:pBdr>
        <w:jc w:val="right"/>
        <w:rPr>
          <w:b/>
          <w:bCs/>
        </w:rPr>
      </w:pPr>
      <w:proofErr w:type="spellStart"/>
      <w:r>
        <w:rPr>
          <w:b/>
          <w:bCs/>
        </w:rPr>
        <w:t>Mag</w:t>
      </w:r>
      <w:proofErr w:type="spellEnd"/>
      <w:r>
        <w:rPr>
          <w:b/>
          <w:bCs/>
        </w:rPr>
        <w:t>. Carolina GIUFFRA</w:t>
      </w:r>
    </w:p>
    <w:p w14:paraId="6C0677A4" w14:textId="1882869A" w:rsidR="00127864" w:rsidRPr="0026458E" w:rsidRDefault="00127864" w:rsidP="00127864">
      <w:pPr>
        <w:pStyle w:val="Prrafodelista"/>
        <w:numPr>
          <w:ilvl w:val="0"/>
          <w:numId w:val="1"/>
        </w:numPr>
        <w:rPr>
          <w:b/>
          <w:bCs/>
          <w:u w:val="single"/>
        </w:rPr>
      </w:pPr>
      <w:r w:rsidRPr="0026458E">
        <w:rPr>
          <w:b/>
          <w:bCs/>
          <w:u w:val="single"/>
        </w:rPr>
        <w:t>Introducción</w:t>
      </w:r>
    </w:p>
    <w:p w14:paraId="37BAB14F" w14:textId="58E4F37A" w:rsidR="00044E66" w:rsidRDefault="008A153F" w:rsidP="008A153F">
      <w:pPr>
        <w:spacing w:after="0"/>
        <w:ind w:firstLine="1134"/>
        <w:jc w:val="both"/>
      </w:pPr>
      <w:r>
        <w:t xml:space="preserve">La sola lectura del título de esta ponencia puede despertar aún en el lector más desprevenido, la inquietud de interrogarse acerca de cuáles pueden ser los peligros de la regla de la inmediación, de la que </w:t>
      </w:r>
      <w:r w:rsidR="00301323">
        <w:t>todos estamos de acuerdo</w:t>
      </w:r>
      <w:r w:rsidR="00AA2A11">
        <w:t xml:space="preserve"> y respecto de la cual todos </w:t>
      </w:r>
      <w:r w:rsidR="00E215C0">
        <w:t>advertimos bondades</w:t>
      </w:r>
      <w:r>
        <w:t>. ¿Acaso puede derivarse algún peligro de esta regla</w:t>
      </w:r>
      <w:r w:rsidR="00AA2A11">
        <w:t xml:space="preserve">? </w:t>
      </w:r>
    </w:p>
    <w:p w14:paraId="3D067B59" w14:textId="6661BE48" w:rsidR="00F9183A" w:rsidRDefault="00F9183A" w:rsidP="00FD2951">
      <w:pPr>
        <w:spacing w:after="0"/>
        <w:ind w:firstLine="1134"/>
        <w:jc w:val="both"/>
      </w:pPr>
      <w:r>
        <w:t xml:space="preserve">Pues bien, la respuesta es </w:t>
      </w:r>
      <w:r w:rsidR="008A153F">
        <w:t xml:space="preserve">definitivamente </w:t>
      </w:r>
      <w:r>
        <w:t xml:space="preserve">afirmativa y en la presente charla habré de exponer </w:t>
      </w:r>
      <w:r w:rsidR="000C42B4">
        <w:t>-</w:t>
      </w:r>
      <w:r>
        <w:t>al menos sucintamente</w:t>
      </w:r>
      <w:r w:rsidR="000C42B4">
        <w:t xml:space="preserve"> </w:t>
      </w:r>
      <w:r w:rsidR="0099351C">
        <w:t xml:space="preserve">debido al </w:t>
      </w:r>
      <w:r w:rsidR="000C42B4">
        <w:t>tiempo asignado-</w:t>
      </w:r>
      <w:r>
        <w:t xml:space="preserve"> dos de los </w:t>
      </w:r>
      <w:r w:rsidR="00843EC1">
        <w:t xml:space="preserve">peligros que advierto pueden verificarse cuando de inmediación hablamos. </w:t>
      </w:r>
    </w:p>
    <w:p w14:paraId="5216AD95" w14:textId="5405AFE0" w:rsidR="00CB0C8C" w:rsidRDefault="00A53996" w:rsidP="0053092A">
      <w:pPr>
        <w:spacing w:after="0"/>
        <w:ind w:firstLine="1134"/>
        <w:jc w:val="both"/>
      </w:pPr>
      <w:r>
        <w:t>Avanzaré en el tratamiento de los problemas planteados a través del método de las aproximaciones sucesivas, por lo que, e</w:t>
      </w:r>
      <w:r w:rsidR="00CB0C8C">
        <w:t>n</w:t>
      </w:r>
      <w:r w:rsidR="00EF5BA3">
        <w:t xml:space="preserve"> </w:t>
      </w:r>
      <w:r w:rsidR="00CB0C8C">
        <w:t>forma previa</w:t>
      </w:r>
      <w:r w:rsidR="009F1591">
        <w:t>,</w:t>
      </w:r>
      <w:r w:rsidR="00CB0C8C">
        <w:t xml:space="preserve"> </w:t>
      </w:r>
      <w:r w:rsidR="00875E92">
        <w:t>abo</w:t>
      </w:r>
      <w:r w:rsidR="00CB0C8C">
        <w:t>rdaré,</w:t>
      </w:r>
      <w:r w:rsidR="00875E92">
        <w:t xml:space="preserve"> en una primera parte, </w:t>
      </w:r>
      <w:r w:rsidR="004E5D23">
        <w:t>su</w:t>
      </w:r>
      <w:r w:rsidR="002C585D">
        <w:t xml:space="preserve"> concepto y alcance, así como </w:t>
      </w:r>
      <w:r w:rsidR="00FF1D84">
        <w:t xml:space="preserve">sus </w:t>
      </w:r>
      <w:r w:rsidR="002C585D">
        <w:t xml:space="preserve">enormes </w:t>
      </w:r>
      <w:r w:rsidR="00FF1D84">
        <w:t>ventajas</w:t>
      </w:r>
      <w:r w:rsidR="002C585D">
        <w:t xml:space="preserve"> en comparación con la mediación</w:t>
      </w:r>
      <w:r w:rsidR="00790A3F">
        <w:t>, para luego</w:t>
      </w:r>
      <w:r w:rsidR="004E5D23">
        <w:t>,</w:t>
      </w:r>
      <w:r w:rsidR="00790A3F">
        <w:t xml:space="preserve"> en una segunda parte, adentrarnos a dos peligros que </w:t>
      </w:r>
      <w:r w:rsidR="006E35AA">
        <w:t>pueden visualizarse entorno a esta regla: por un lado, el riesgo de</w:t>
      </w:r>
      <w:r w:rsidR="0053092A">
        <w:t xml:space="preserve"> aplicar interpretaciones rigurosas de la regla que pueden derivar en </w:t>
      </w:r>
      <w:r w:rsidR="001A209D">
        <w:t xml:space="preserve">una escasa </w:t>
      </w:r>
      <w:r w:rsidR="00FB1939">
        <w:t xml:space="preserve">motivación </w:t>
      </w:r>
      <w:r w:rsidR="0053092A">
        <w:t>de</w:t>
      </w:r>
      <w:r w:rsidR="00FB1939">
        <w:t xml:space="preserve"> las sentencias</w:t>
      </w:r>
      <w:r w:rsidR="008A153F">
        <w:t xml:space="preserve"> </w:t>
      </w:r>
      <w:r w:rsidR="0053092A">
        <w:t xml:space="preserve">y una </w:t>
      </w:r>
      <w:r w:rsidR="0053092A">
        <w:t xml:space="preserve">imposibilidad de control en instancias ulteriores del razonamiento probatorio y de la valoración de la prueba realizada en </w:t>
      </w:r>
      <w:r w:rsidR="0053092A">
        <w:t>el</w:t>
      </w:r>
      <w:r w:rsidR="0053092A">
        <w:t xml:space="preserve"> grado anterior</w:t>
      </w:r>
      <w:r w:rsidR="0053092A">
        <w:t xml:space="preserve"> </w:t>
      </w:r>
      <w:r w:rsidR="005867F0">
        <w:t>y</w:t>
      </w:r>
      <w:r w:rsidR="0021444E">
        <w:t>,</w:t>
      </w:r>
      <w:r w:rsidR="005867F0">
        <w:t xml:space="preserve"> por otro lado, analizaré </w:t>
      </w:r>
      <w:r w:rsidR="00FD2951">
        <w:t xml:space="preserve">los peligros que </w:t>
      </w:r>
      <w:r w:rsidR="009D1D81">
        <w:t xml:space="preserve">en la actualidad </w:t>
      </w:r>
      <w:r w:rsidR="002D7379">
        <w:t xml:space="preserve">supone la aplicación de las </w:t>
      </w:r>
      <w:r w:rsidR="00161E65">
        <w:t xml:space="preserve">tecnologías de la información y comunicación </w:t>
      </w:r>
      <w:r w:rsidR="002D7379">
        <w:t>para la referida regla</w:t>
      </w:r>
      <w:r w:rsidR="00161E65">
        <w:t>.</w:t>
      </w:r>
    </w:p>
    <w:p w14:paraId="736533AA" w14:textId="77777777" w:rsidR="00250E65" w:rsidRPr="00FD2951" w:rsidRDefault="00250E65" w:rsidP="00242EEF">
      <w:pPr>
        <w:spacing w:after="0"/>
        <w:ind w:firstLine="1134"/>
        <w:jc w:val="both"/>
      </w:pPr>
    </w:p>
    <w:p w14:paraId="495BD16B" w14:textId="46F8EA6C" w:rsidR="00C725AE" w:rsidRDefault="0038054C" w:rsidP="00D13EDA">
      <w:pPr>
        <w:tabs>
          <w:tab w:val="left" w:pos="1134"/>
        </w:tabs>
        <w:rPr>
          <w:b/>
          <w:bCs/>
        </w:rPr>
      </w:pPr>
      <w:r w:rsidRPr="004459E3">
        <w:rPr>
          <w:b/>
        </w:rPr>
        <w:t>I</w:t>
      </w:r>
      <w:r w:rsidR="00140D50">
        <w:rPr>
          <w:b/>
        </w:rPr>
        <w:t>I</w:t>
      </w:r>
      <w:r w:rsidR="0026458E" w:rsidRPr="0026458E">
        <w:rPr>
          <w:b/>
          <w:bCs/>
        </w:rPr>
        <w:t xml:space="preserve">. </w:t>
      </w:r>
      <w:r w:rsidR="006F50B2">
        <w:rPr>
          <w:b/>
          <w:bCs/>
        </w:rPr>
        <w:tab/>
      </w:r>
      <w:r w:rsidR="006F50B2" w:rsidRPr="009A186D">
        <w:rPr>
          <w:b/>
          <w:bCs/>
          <w:u w:val="single"/>
        </w:rPr>
        <w:t>Inmediación. Categorización y concepto</w:t>
      </w:r>
      <w:r w:rsidR="0026458E" w:rsidRPr="0026458E">
        <w:rPr>
          <w:b/>
          <w:bCs/>
        </w:rPr>
        <w:tab/>
      </w:r>
    </w:p>
    <w:p w14:paraId="0E6D3CAA" w14:textId="06983BDE" w:rsidR="00C01B3D" w:rsidRDefault="00140D50" w:rsidP="00D13EDA">
      <w:pPr>
        <w:tabs>
          <w:tab w:val="left" w:pos="1148"/>
        </w:tabs>
        <w:jc w:val="both"/>
      </w:pPr>
      <w:r w:rsidRPr="00140D50">
        <w:tab/>
        <w:t xml:space="preserve">Antes de abordar </w:t>
      </w:r>
      <w:r>
        <w:t xml:space="preserve">el concepto de inmediación, </w:t>
      </w:r>
      <w:r w:rsidR="00575DC8">
        <w:t>resulta necesario realizar un abordaje previo que refiere a la categorización de la inmediación</w:t>
      </w:r>
      <w:r w:rsidR="00C53384">
        <w:t xml:space="preserve"> y aclararemos que</w:t>
      </w:r>
      <w:r w:rsidR="0067485E">
        <w:t>,</w:t>
      </w:r>
      <w:r w:rsidR="00C53384">
        <w:t xml:space="preserve"> </w:t>
      </w:r>
      <w:r w:rsidR="00C01B3D">
        <w:t>contrariamente a lo que se afirma</w:t>
      </w:r>
      <w:r w:rsidR="006F30D0">
        <w:t xml:space="preserve"> por gran parte de la doctrina</w:t>
      </w:r>
      <w:r w:rsidR="0067485E">
        <w:t>,</w:t>
      </w:r>
      <w:r w:rsidR="00C01B3D">
        <w:t xml:space="preserve"> no constituye un principio procesal sino más bien una regla</w:t>
      </w:r>
      <w:r w:rsidR="0067485E">
        <w:t>,</w:t>
      </w:r>
      <w:r w:rsidR="00C01B3D">
        <w:t xml:space="preserve"> lo cual nos obliga a detenernos</w:t>
      </w:r>
      <w:r w:rsidR="006F30D0">
        <w:t>,</w:t>
      </w:r>
      <w:r w:rsidR="00C01B3D">
        <w:t xml:space="preserve"> </w:t>
      </w:r>
      <w:r w:rsidR="006F30D0">
        <w:t xml:space="preserve">aunque sea </w:t>
      </w:r>
      <w:r w:rsidR="00C01B3D">
        <w:t>por un instante</w:t>
      </w:r>
      <w:r w:rsidR="006F30D0">
        <w:t>,</w:t>
      </w:r>
      <w:r w:rsidR="00C01B3D">
        <w:t xml:space="preserve"> para </w:t>
      </w:r>
      <w:r w:rsidR="0067485E">
        <w:t xml:space="preserve">visualizar tal diferenciación. </w:t>
      </w:r>
    </w:p>
    <w:p w14:paraId="7D762BFC" w14:textId="41409BA0" w:rsidR="00127864" w:rsidRPr="006F50B2" w:rsidRDefault="00C725AE" w:rsidP="00D13EDA">
      <w:pPr>
        <w:tabs>
          <w:tab w:val="left" w:pos="1134"/>
        </w:tabs>
        <w:rPr>
          <w:b/>
          <w:bCs/>
        </w:rPr>
      </w:pPr>
      <w:r>
        <w:rPr>
          <w:b/>
          <w:bCs/>
        </w:rPr>
        <w:t xml:space="preserve">II.1 </w:t>
      </w:r>
      <w:r w:rsidR="006F50B2">
        <w:rPr>
          <w:b/>
          <w:bCs/>
        </w:rPr>
        <w:tab/>
      </w:r>
      <w:r w:rsidR="00D13EDA">
        <w:rPr>
          <w:b/>
          <w:bCs/>
        </w:rPr>
        <w:t>La inmediación como regla</w:t>
      </w:r>
    </w:p>
    <w:p w14:paraId="0EBBB829" w14:textId="7418204C" w:rsidR="004459E3" w:rsidRDefault="00235157" w:rsidP="00D13A09">
      <w:pPr>
        <w:ind w:firstLine="1134"/>
        <w:jc w:val="both"/>
      </w:pPr>
      <w:r>
        <w:t xml:space="preserve">Es sabido que existe una </w:t>
      </w:r>
      <w:r w:rsidR="00127864" w:rsidRPr="00127864">
        <w:t xml:space="preserve">corriente doctrinal que </w:t>
      </w:r>
      <w:r w:rsidRPr="00127864">
        <w:t>denomina</w:t>
      </w:r>
      <w:r w:rsidR="00127864" w:rsidRPr="00127864">
        <w:t xml:space="preserve"> </w:t>
      </w:r>
      <w:r w:rsidR="00127864" w:rsidRPr="004459E3">
        <w:rPr>
          <w:bCs/>
        </w:rPr>
        <w:t>principios</w:t>
      </w:r>
      <w:r w:rsidR="00127864" w:rsidRPr="00127864">
        <w:t xml:space="preserve"> a ciertas cosas que no lo son. </w:t>
      </w:r>
      <w:r w:rsidR="00B5674D">
        <w:t xml:space="preserve">En rigor de verdad, </w:t>
      </w:r>
      <w:r w:rsidR="00D13A09">
        <w:t xml:space="preserve">solo merece la calificación de </w:t>
      </w:r>
      <w:r w:rsidR="00D13A09">
        <w:lastRenderedPageBreak/>
        <w:t>principio a aquel que e</w:t>
      </w:r>
      <w:r w:rsidR="00E134AE">
        <w:t xml:space="preserve">s esencial al proceso, a la noción de debido proceso y la defensa en juicio. Ostenta </w:t>
      </w:r>
      <w:r w:rsidR="00127864" w:rsidRPr="00127864">
        <w:t>siempre un carácter unitario y, sin su presencia efectiva, no puede hablarse seriamente de proceso</w:t>
      </w:r>
      <w:r w:rsidR="00A35D17">
        <w:rPr>
          <w:rStyle w:val="Refdenotaalpie"/>
        </w:rPr>
        <w:footnoteReference w:id="1"/>
      </w:r>
      <w:r w:rsidR="00127864" w:rsidRPr="00127864">
        <w:t xml:space="preserve">. </w:t>
      </w:r>
    </w:p>
    <w:p w14:paraId="2D5849DC" w14:textId="29D2F8BF" w:rsidR="004459E3" w:rsidRDefault="00AE069B" w:rsidP="00916FE7">
      <w:pPr>
        <w:ind w:firstLine="1134"/>
        <w:jc w:val="both"/>
      </w:pPr>
      <w:r>
        <w:t xml:space="preserve">Ahora bien, </w:t>
      </w:r>
      <w:r w:rsidR="00127864" w:rsidRPr="00127864">
        <w:t xml:space="preserve">existen otras líneas directrices que se presentan siempre </w:t>
      </w:r>
      <w:proofErr w:type="spellStart"/>
      <w:r w:rsidR="00127864" w:rsidRPr="00127864">
        <w:t>e</w:t>
      </w:r>
      <w:proofErr w:type="spellEnd"/>
      <w:r w:rsidR="00127864" w:rsidRPr="00127864">
        <w:t xml:space="preserve"> invariablemente en forma bi</w:t>
      </w:r>
      <w:r w:rsidR="004459E3">
        <w:t>naria o como pares antinómicos</w:t>
      </w:r>
      <w:r w:rsidR="00916FE7">
        <w:t xml:space="preserve">, por lo </w:t>
      </w:r>
      <w:r w:rsidR="004850E3">
        <w:t>que,</w:t>
      </w:r>
      <w:r w:rsidR="00916FE7">
        <w:t xml:space="preserve"> </w:t>
      </w:r>
      <w:proofErr w:type="spellStart"/>
      <w:r w:rsidR="00916FE7">
        <w:t>a</w:t>
      </w:r>
      <w:proofErr w:type="spellEnd"/>
      <w:r w:rsidR="00916FE7">
        <w:t xml:space="preserve"> contrario de los principios, las reglas son duales. </w:t>
      </w:r>
      <w:r w:rsidR="004459E3">
        <w:t xml:space="preserve">A saber: </w:t>
      </w:r>
      <w:r w:rsidR="00127864" w:rsidRPr="00127864">
        <w:t>oralidad o escritu</w:t>
      </w:r>
      <w:r w:rsidR="004459E3">
        <w:t>ra; mediación o inmediación; entre otros</w:t>
      </w:r>
      <w:r w:rsidR="001411F2">
        <w:t xml:space="preserve">. </w:t>
      </w:r>
      <w:r w:rsidR="003B5ED9">
        <w:t xml:space="preserve">El legislador puede optar entre una y otra de las reglas y ninguna de ellas afecta el debido proceso. </w:t>
      </w:r>
    </w:p>
    <w:p w14:paraId="33F926DE" w14:textId="5B4688CB" w:rsidR="004459E3" w:rsidRDefault="003B5ED9" w:rsidP="004459E3">
      <w:pPr>
        <w:ind w:firstLine="1134"/>
        <w:jc w:val="both"/>
      </w:pPr>
      <w:r>
        <w:t>C</w:t>
      </w:r>
      <w:r w:rsidR="00127864" w:rsidRPr="00127864">
        <w:t xml:space="preserve">uando el legislador opta por una de ellas desplaza automáticamente a la otra, </w:t>
      </w:r>
      <w:r w:rsidR="00D30D0B" w:rsidRPr="00127864">
        <w:t>debido a</w:t>
      </w:r>
      <w:r w:rsidR="00127864" w:rsidRPr="00127864">
        <w:t xml:space="preserve"> que no pueden coexistir actitudes que se excluyen. Esto no implica que no puedan sucederse en etapas diversas del proceso (por ej</w:t>
      </w:r>
      <w:r w:rsidR="00F1657C">
        <w:t xml:space="preserve">., </w:t>
      </w:r>
      <w:r w:rsidR="00127864" w:rsidRPr="00127864">
        <w:t>una</w:t>
      </w:r>
      <w:r w:rsidR="00F1657C">
        <w:t xml:space="preserve"> etapa</w:t>
      </w:r>
      <w:r w:rsidR="00127864" w:rsidRPr="00127864">
        <w:t xml:space="preserve"> es</w:t>
      </w:r>
      <w:r w:rsidR="00127864" w:rsidRPr="00990602">
        <w:t xml:space="preserve"> escrita</w:t>
      </w:r>
      <w:r w:rsidR="00127864" w:rsidRPr="00127864">
        <w:t xml:space="preserve"> y la siguiente oral). A estas líneas directrices les asignamos la denominación de </w:t>
      </w:r>
      <w:r w:rsidR="00127864" w:rsidRPr="004459E3">
        <w:rPr>
          <w:bCs/>
        </w:rPr>
        <w:t>reglas técnicas</w:t>
      </w:r>
      <w:r w:rsidR="00127864" w:rsidRPr="00127864">
        <w:t xml:space="preserve"> del debate procesal y, por razones obvias, ostentan una importancia sensiblemente menor que la de los principios: sin éstos no hay proceso; pero habiéndolo, poco importa ontológicamente que el medio de expresión ante el juzgador sea la oralidad o la escritura, por ejemplo, en tanto que la respectiva regla no desnaturali</w:t>
      </w:r>
      <w:r w:rsidR="00A1401E">
        <w:t>za</w:t>
      </w:r>
      <w:r w:rsidR="00127864" w:rsidRPr="00127864">
        <w:t xml:space="preserve"> la esencia misma del proceso. </w:t>
      </w:r>
    </w:p>
    <w:p w14:paraId="4B4617D6" w14:textId="3CB59DFA" w:rsidR="00D12889" w:rsidRDefault="009A5FE4" w:rsidP="00D12889">
      <w:pPr>
        <w:ind w:firstLine="1134"/>
        <w:jc w:val="both"/>
      </w:pPr>
      <w:r>
        <w:t xml:space="preserve">Aclarado lo anterior entonces, </w:t>
      </w:r>
      <w:r w:rsidR="00405C27">
        <w:t xml:space="preserve">la inmediación no es </w:t>
      </w:r>
      <w:r w:rsidR="004459E3">
        <w:t>-</w:t>
      </w:r>
      <w:r w:rsidR="00405C27">
        <w:t>bajo este entendimiento</w:t>
      </w:r>
      <w:r w:rsidR="004459E3">
        <w:t>-</w:t>
      </w:r>
      <w:r w:rsidR="00405C27">
        <w:t xml:space="preserve"> un principio</w:t>
      </w:r>
      <w:r w:rsidR="004459E3">
        <w:t>,</w:t>
      </w:r>
      <w:r w:rsidR="00405C27">
        <w:t xml:space="preserve"> pues admite un par antinómico, es decir, la mediación; razón por la cual no cabe más que concluir que </w:t>
      </w:r>
      <w:r w:rsidR="00C803E5">
        <w:t xml:space="preserve">ésta </w:t>
      </w:r>
      <w:r w:rsidR="00DD3D7F">
        <w:t>constit</w:t>
      </w:r>
      <w:r w:rsidR="004459E3">
        <w:t>uye una regla o línea directriz</w:t>
      </w:r>
      <w:r w:rsidR="00C803E5">
        <w:t xml:space="preserve"> </w:t>
      </w:r>
      <w:r w:rsidR="004459E3">
        <w:t xml:space="preserve">respecto de la cual el legislador opta y lo ha hecho en la gran mayoría de los sistemas procesales modernos.  </w:t>
      </w:r>
      <w:r w:rsidR="00DD3D7F">
        <w:t xml:space="preserve"> </w:t>
      </w:r>
    </w:p>
    <w:p w14:paraId="38DC8225" w14:textId="243D03B1" w:rsidR="00DA5DBC" w:rsidRPr="00D12889" w:rsidRDefault="00D12889" w:rsidP="00D12889">
      <w:pPr>
        <w:tabs>
          <w:tab w:val="left" w:pos="1134"/>
        </w:tabs>
        <w:jc w:val="both"/>
      </w:pPr>
      <w:r w:rsidRPr="00D12889">
        <w:rPr>
          <w:b/>
          <w:bCs/>
        </w:rPr>
        <w:t xml:space="preserve">II.2 </w:t>
      </w:r>
      <w:r>
        <w:rPr>
          <w:b/>
          <w:bCs/>
        </w:rPr>
        <w:tab/>
      </w:r>
      <w:r w:rsidRPr="00D12889">
        <w:rPr>
          <w:b/>
          <w:bCs/>
        </w:rPr>
        <w:t xml:space="preserve">Noción de </w:t>
      </w:r>
      <w:r w:rsidR="004459E3" w:rsidRPr="00D12889">
        <w:rPr>
          <w:b/>
          <w:bCs/>
        </w:rPr>
        <w:t xml:space="preserve">inmediación </w:t>
      </w:r>
      <w:r w:rsidR="009552D2" w:rsidRPr="00D12889">
        <w:rPr>
          <w:b/>
          <w:bCs/>
        </w:rPr>
        <w:t xml:space="preserve"> </w:t>
      </w:r>
    </w:p>
    <w:p w14:paraId="29B0A90F" w14:textId="024233BF" w:rsidR="004459E3" w:rsidRDefault="00435442" w:rsidP="004459E3">
      <w:pPr>
        <w:ind w:firstLine="1134"/>
        <w:jc w:val="both"/>
      </w:pPr>
      <w:r>
        <w:t>Al amparo de lo anterior, vemos que la i</w:t>
      </w:r>
      <w:r w:rsidR="00956F07">
        <w:t xml:space="preserve">nmediación constituye una regla y no un principio, </w:t>
      </w:r>
      <w:r>
        <w:t xml:space="preserve">por lo que </w:t>
      </w:r>
      <w:r w:rsidR="00956F07">
        <w:t>e</w:t>
      </w:r>
      <w:r w:rsidR="004459E3">
        <w:t>s hora entonces de preguntarnos acerca del concepto de inmediación</w:t>
      </w:r>
      <w:r w:rsidR="00956F07">
        <w:t>,</w:t>
      </w:r>
      <w:r w:rsidR="004459E3">
        <w:t xml:space="preserve"> para poder así visualizar las problemáticas que en torno a </w:t>
      </w:r>
      <w:r w:rsidR="00E73E97">
        <w:t>é</w:t>
      </w:r>
      <w:r w:rsidR="004459E3">
        <w:t xml:space="preserve">ste se plantean. </w:t>
      </w:r>
    </w:p>
    <w:p w14:paraId="2B85AF6C" w14:textId="7952712C" w:rsidR="00A81205" w:rsidRDefault="009552D2" w:rsidP="004459E3">
      <w:pPr>
        <w:ind w:firstLine="1134"/>
        <w:jc w:val="both"/>
      </w:pPr>
      <w:r w:rsidRPr="009552D2">
        <w:t xml:space="preserve">El vocablo </w:t>
      </w:r>
      <w:r w:rsidRPr="00E73E97">
        <w:rPr>
          <w:i/>
          <w:iCs/>
        </w:rPr>
        <w:t>inmediación</w:t>
      </w:r>
      <w:r w:rsidRPr="009552D2">
        <w:t xml:space="preserve"> expresa convencionalmente proximidad o contigüidad a algo, cercanía física a un objeto material que es susceptible de convertirse en un método de conocimiento e interacción con el objeto de que se trate. </w:t>
      </w:r>
    </w:p>
    <w:p w14:paraId="31C8D2B2" w14:textId="6248853E" w:rsidR="00655C25" w:rsidRDefault="009552D2" w:rsidP="00D04AF3">
      <w:pPr>
        <w:ind w:firstLine="1134"/>
        <w:jc w:val="both"/>
      </w:pPr>
      <w:r w:rsidRPr="009552D2">
        <w:t xml:space="preserve">Desde una perspectiva procesal, la inmediación se ubica dentro de la categoría de </w:t>
      </w:r>
      <w:r w:rsidR="003F1AD5">
        <w:t>reglas</w:t>
      </w:r>
      <w:r w:rsidR="00A76750">
        <w:t xml:space="preserve"> pues</w:t>
      </w:r>
      <w:r w:rsidR="002B4800">
        <w:t>,</w:t>
      </w:r>
      <w:r w:rsidR="00A76750">
        <w:t xml:space="preserve"> </w:t>
      </w:r>
      <w:r w:rsidR="002B4800">
        <w:t xml:space="preserve">como ya adelantamos, </w:t>
      </w:r>
      <w:r w:rsidR="00A76750">
        <w:t>admite</w:t>
      </w:r>
      <w:r w:rsidR="002B4800">
        <w:t xml:space="preserve"> </w:t>
      </w:r>
      <w:r w:rsidR="00D04AF3">
        <w:t>como contracara la mediación</w:t>
      </w:r>
      <w:r w:rsidR="00D04AF3">
        <w:rPr>
          <w:rStyle w:val="Refdenotaalpie"/>
        </w:rPr>
        <w:footnoteReference w:id="2"/>
      </w:r>
      <w:r w:rsidR="00D04AF3">
        <w:t xml:space="preserve"> y se encuentra </w:t>
      </w:r>
      <w:r w:rsidRPr="009552D2">
        <w:t xml:space="preserve">particularmente </w:t>
      </w:r>
      <w:r w:rsidR="002F198D">
        <w:t>en estrecha relación con la oralidad</w:t>
      </w:r>
      <w:r w:rsidR="00B758CD">
        <w:rPr>
          <w:rStyle w:val="Refdenotaalpie"/>
        </w:rPr>
        <w:footnoteReference w:id="3"/>
      </w:r>
      <w:r w:rsidR="00F04115">
        <w:t>,</w:t>
      </w:r>
      <w:r w:rsidR="007C6A59">
        <w:t xml:space="preserve"> </w:t>
      </w:r>
      <w:r w:rsidR="000B1E51">
        <w:lastRenderedPageBreak/>
        <w:t>se dice</w:t>
      </w:r>
      <w:r w:rsidR="002B4800">
        <w:t xml:space="preserve"> incluso</w:t>
      </w:r>
      <w:r w:rsidR="000B1E51">
        <w:t xml:space="preserve"> que es una “compañera de viaje” de </w:t>
      </w:r>
      <w:r w:rsidR="00D12502">
        <w:t>ésta</w:t>
      </w:r>
      <w:r w:rsidR="00F04115">
        <w:t xml:space="preserve"> y </w:t>
      </w:r>
      <w:r w:rsidR="00B112E9">
        <w:t xml:space="preserve">exige </w:t>
      </w:r>
      <w:r w:rsidR="00B112E9" w:rsidRPr="003A6BCD">
        <w:t>el contacto directo y personal del juez con las partes y con todo el material del proceso, excluyendo cualquier medio indirecto de conocimiento judicial</w:t>
      </w:r>
      <w:r w:rsidR="00B112E9">
        <w:t>.</w:t>
      </w:r>
    </w:p>
    <w:p w14:paraId="2DA95D13" w14:textId="32666118" w:rsidR="00141098" w:rsidRDefault="00141098" w:rsidP="00141098">
      <w:pPr>
        <w:ind w:firstLine="1134"/>
        <w:jc w:val="both"/>
      </w:pPr>
      <w:r>
        <w:t>Cierto es, que ha costado muchos siglos conseguir que los jueces estuvieran presentes en la práctica de la prueba</w:t>
      </w:r>
      <w:r>
        <w:rPr>
          <w:rStyle w:val="Refdenotaalpie"/>
        </w:rPr>
        <w:footnoteReference w:id="4"/>
      </w:r>
      <w:r>
        <w:t xml:space="preserve"> y en la actualidad, en la gran mayoría de los ordenamientos jurídicos</w:t>
      </w:r>
      <w:r w:rsidR="00B3130B">
        <w:t>,</w:t>
      </w:r>
      <w:r>
        <w:t xml:space="preserve"> se consagra la regla de la inmediación. </w:t>
      </w:r>
    </w:p>
    <w:p w14:paraId="36DB88DE" w14:textId="515082E1" w:rsidR="00681AD8" w:rsidRDefault="00D84069" w:rsidP="00655C25">
      <w:pPr>
        <w:ind w:firstLine="1134"/>
        <w:jc w:val="both"/>
      </w:pPr>
      <w:r>
        <w:t>E</w:t>
      </w:r>
      <w:r w:rsidR="005F5D3C">
        <w:t xml:space="preserve">l propio </w:t>
      </w:r>
      <w:r w:rsidR="009512A9">
        <w:t>CALAMANDREI</w:t>
      </w:r>
      <w:r w:rsidR="00CA41AE">
        <w:rPr>
          <w:rStyle w:val="Refdenotaalpie"/>
        </w:rPr>
        <w:footnoteReference w:id="5"/>
      </w:r>
      <w:r w:rsidR="009512A9">
        <w:t xml:space="preserve"> </w:t>
      </w:r>
      <w:r w:rsidR="005F5D3C">
        <w:t xml:space="preserve">la </w:t>
      </w:r>
      <w:r w:rsidR="009512A9">
        <w:t xml:space="preserve">define como presencia </w:t>
      </w:r>
      <w:r w:rsidR="004266D5">
        <w:t xml:space="preserve">simultánea de los varios sujetos del proceso en el mismo lugar, </w:t>
      </w:r>
      <w:r w:rsidR="00EA4025">
        <w:t xml:space="preserve">con la posibilidad consiguiente de intercambiar oralmente sus comunicaciones. </w:t>
      </w:r>
    </w:p>
    <w:p w14:paraId="3D67FF0C" w14:textId="53DE0BB4" w:rsidR="00D84069" w:rsidRDefault="005F5D3C" w:rsidP="00655C25">
      <w:pPr>
        <w:ind w:firstLine="1134"/>
        <w:jc w:val="both"/>
      </w:pPr>
      <w:r>
        <w:t>Por su parte, l</w:t>
      </w:r>
      <w:r w:rsidR="00DF71EB">
        <w:t xml:space="preserve">a doctrina en general hace hincapié en </w:t>
      </w:r>
      <w:r>
        <w:t>el carácter de l</w:t>
      </w:r>
      <w:r w:rsidR="004733CE">
        <w:t>a relación del juez con las fuentes de prueba</w:t>
      </w:r>
      <w:r w:rsidR="000D3FDC">
        <w:t xml:space="preserve">, afirmándose </w:t>
      </w:r>
      <w:r w:rsidR="00554B9C">
        <w:t>la superioridad del juicio presencial, en tiempo real, que ofrece la ventaja de que</w:t>
      </w:r>
      <w:r w:rsidR="0013284C">
        <w:t>,</w:t>
      </w:r>
      <w:r w:rsidR="00554B9C">
        <w:t xml:space="preserve"> en la viva voz</w:t>
      </w:r>
      <w:r w:rsidR="00590019">
        <w:t>,</w:t>
      </w:r>
      <w:r w:rsidR="00554B9C">
        <w:t xml:space="preserve"> hablan también </w:t>
      </w:r>
      <w:r w:rsidR="00B011F7">
        <w:t xml:space="preserve">el rostro, los ojos, el color, el movimiento, el tono de voz, el modo de decir, y tantas otras pequeñas circunstancias </w:t>
      </w:r>
      <w:r w:rsidR="009B79BB">
        <w:t>que</w:t>
      </w:r>
      <w:r w:rsidR="004E618B">
        <w:t xml:space="preserve"> </w:t>
      </w:r>
      <w:r w:rsidR="009B79BB">
        <w:t>desarrollan</w:t>
      </w:r>
      <w:r w:rsidR="004E618B">
        <w:t xml:space="preserve"> e incluso pueden modificar</w:t>
      </w:r>
      <w:r w:rsidR="009B79BB">
        <w:t xml:space="preserve"> el sentido de las palabras</w:t>
      </w:r>
      <w:r w:rsidR="00090953">
        <w:t>.</w:t>
      </w:r>
      <w:r w:rsidR="009B79BB">
        <w:t xml:space="preserve"> </w:t>
      </w:r>
      <w:r w:rsidR="004D0E3B">
        <w:t xml:space="preserve">Por tanto, </w:t>
      </w:r>
      <w:r w:rsidR="00486CC6">
        <w:t xml:space="preserve">se entiende la </w:t>
      </w:r>
      <w:r w:rsidR="004D0E3B">
        <w:t xml:space="preserve">inmediación como observación inmediata, o como forma de acortar las distancias, </w:t>
      </w:r>
      <w:r w:rsidR="00CA41AE">
        <w:t>o de integral y directa percepción de la prueba por parte del juez.</w:t>
      </w:r>
    </w:p>
    <w:p w14:paraId="01DA4258" w14:textId="0E846343" w:rsidR="00655C25" w:rsidRDefault="00B112E9" w:rsidP="00655C25">
      <w:pPr>
        <w:ind w:firstLine="1134"/>
        <w:jc w:val="both"/>
      </w:pPr>
      <w:r>
        <w:t xml:space="preserve">En este sentido se requiere que </w:t>
      </w:r>
      <w:r w:rsidR="00B11072">
        <w:t>los actos procesales y la producción de la prueba transcurran ante la presencia directa del órgano jurisdiccional</w:t>
      </w:r>
      <w:r w:rsidR="00B952A0">
        <w:t xml:space="preserve">. </w:t>
      </w:r>
      <w:r w:rsidR="00C538AA">
        <w:t>Y ello por cuanto</w:t>
      </w:r>
      <w:r w:rsidR="00655C25">
        <w:t xml:space="preserve"> s</w:t>
      </w:r>
      <w:r w:rsidR="00B952A0">
        <w:t>e entiende</w:t>
      </w:r>
      <w:r w:rsidR="00655C25">
        <w:t>,</w:t>
      </w:r>
      <w:r w:rsidR="00B952A0">
        <w:t xml:space="preserve"> que el </w:t>
      </w:r>
      <w:r w:rsidR="006878D2" w:rsidRPr="007A5E38">
        <w:t xml:space="preserve">contacto directo con las fuentes de conocimiento judicial </w:t>
      </w:r>
      <w:r w:rsidR="006878D2">
        <w:t xml:space="preserve">posee mayores ventajas que </w:t>
      </w:r>
      <w:r w:rsidR="006878D2" w:rsidRPr="007A5E38">
        <w:t>cualquier tra</w:t>
      </w:r>
      <w:r w:rsidR="00CE3A70">
        <w:t>n</w:t>
      </w:r>
      <w:r w:rsidR="006878D2" w:rsidRPr="007A5E38">
        <w:t xml:space="preserve">scripción escrita o, en su caso, reproducción mecánica o electrónica, ya que elimina intermediarios que pudieran </w:t>
      </w:r>
      <w:r w:rsidR="00655C25">
        <w:t>-</w:t>
      </w:r>
      <w:r w:rsidR="006878D2" w:rsidRPr="007A5E38">
        <w:t>de algún modo</w:t>
      </w:r>
      <w:r w:rsidR="00655C25">
        <w:t>-</w:t>
      </w:r>
      <w:r w:rsidR="006878D2" w:rsidRPr="007A5E38">
        <w:t xml:space="preserve"> viciar la transmisión, posibilitando</w:t>
      </w:r>
      <w:r w:rsidR="006878D2">
        <w:t>,</w:t>
      </w:r>
      <w:r w:rsidR="006878D2" w:rsidRPr="007A5E38">
        <w:t xml:space="preserve"> además, como es común destacar, la percepción de elementos paralingüísticos, ligados al lenguaje corporal, cuya plasmació</w:t>
      </w:r>
      <w:r w:rsidR="00655C25">
        <w:t>n en las actas manuscritas resulta</w:t>
      </w:r>
      <w:r w:rsidR="006878D2" w:rsidRPr="007A5E38">
        <w:t xml:space="preserve"> inviable</w:t>
      </w:r>
      <w:r w:rsidR="006878D2">
        <w:t>.</w:t>
      </w:r>
      <w:r w:rsidR="006878D2" w:rsidRPr="007A5E38">
        <w:t xml:space="preserve"> </w:t>
      </w:r>
    </w:p>
    <w:p w14:paraId="76CC6C7B" w14:textId="53A11F20" w:rsidR="00C538AA" w:rsidRDefault="006878D2" w:rsidP="00316743">
      <w:pPr>
        <w:ind w:firstLine="1134"/>
        <w:jc w:val="both"/>
      </w:pPr>
      <w:r>
        <w:t>E</w:t>
      </w:r>
      <w:r w:rsidR="00165AD5">
        <w:t>ntonces, s</w:t>
      </w:r>
      <w:r>
        <w:t xml:space="preserve">e ha dicho que </w:t>
      </w:r>
      <w:r w:rsidRPr="007A5E38">
        <w:t>lo fundamental es comprender que el juez no</w:t>
      </w:r>
      <w:r>
        <w:t xml:space="preserve"> </w:t>
      </w:r>
      <w:r w:rsidRPr="007A5E38">
        <w:t>se basa en el acta para dictar la resolución, sino en el acto</w:t>
      </w:r>
      <w:r>
        <w:t>,</w:t>
      </w:r>
      <w:r w:rsidRPr="007A5E38">
        <w:t xml:space="preserve"> esto es, en la fuente de conocimiento originaria. </w:t>
      </w:r>
      <w:r w:rsidR="0046206C">
        <w:t>Por esta razón, la</w:t>
      </w:r>
      <w:r w:rsidRPr="007A5E38">
        <w:t xml:space="preserve"> convicción judicial fundada en datos percibidos directamente</w:t>
      </w:r>
      <w:r>
        <w:t xml:space="preserve"> por el tribunal</w:t>
      </w:r>
      <w:r w:rsidR="002C3A54">
        <w:t xml:space="preserve">, esto es, por </w:t>
      </w:r>
      <w:r w:rsidR="00316743">
        <w:t xml:space="preserve">lo que </w:t>
      </w:r>
      <w:r w:rsidR="00BB57F2">
        <w:t xml:space="preserve">ven y </w:t>
      </w:r>
      <w:r w:rsidR="00316743">
        <w:t xml:space="preserve">oyen lo que ya después otros ojos y otros oídos no percibirán, </w:t>
      </w:r>
      <w:r w:rsidRPr="007A5E38">
        <w:t xml:space="preserve">gozará </w:t>
      </w:r>
      <w:r w:rsidR="00687501">
        <w:t xml:space="preserve">para algunos, </w:t>
      </w:r>
      <w:r w:rsidRPr="007A5E38">
        <w:t xml:space="preserve">de una </w:t>
      </w:r>
      <w:r w:rsidRPr="007A5E38">
        <w:lastRenderedPageBreak/>
        <w:t xml:space="preserve">fiabilidad comparativamente </w:t>
      </w:r>
      <w:r w:rsidR="00A73C16">
        <w:t>superior</w:t>
      </w:r>
      <w:r w:rsidRPr="007A5E38">
        <w:t xml:space="preserve"> que la obtenida por cualquier otra vía de adquisición de esas informaciones, simplemente porque será la más próxima a los hechos cuya realid</w:t>
      </w:r>
      <w:r w:rsidR="00C538AA">
        <w:t xml:space="preserve">ad se pretende comprobar. </w:t>
      </w:r>
    </w:p>
    <w:p w14:paraId="09374BEA" w14:textId="06DA8340" w:rsidR="00C538AA" w:rsidRDefault="008403BB" w:rsidP="00C538AA">
      <w:pPr>
        <w:ind w:firstLine="1134"/>
        <w:jc w:val="both"/>
      </w:pPr>
      <w:r>
        <w:t xml:space="preserve">De ello se deriva que el juez deba presenciar la </w:t>
      </w:r>
      <w:r w:rsidR="00AE6118">
        <w:t xml:space="preserve">producción de la </w:t>
      </w:r>
      <w:r>
        <w:t>prueba bajo sanción de nulidad del acto</w:t>
      </w:r>
      <w:r w:rsidR="00AE6118">
        <w:t xml:space="preserve">, salvo limitadas </w:t>
      </w:r>
      <w:r>
        <w:t>excepciones en las que no sea posible la presencia del ju</w:t>
      </w:r>
      <w:r w:rsidR="001144BD">
        <w:t>zgador</w:t>
      </w:r>
      <w:r>
        <w:t xml:space="preserve">. </w:t>
      </w:r>
    </w:p>
    <w:p w14:paraId="71CB87AE" w14:textId="259E563C" w:rsidR="001E46A3" w:rsidRDefault="00AC7856" w:rsidP="001E46A3">
      <w:pPr>
        <w:ind w:firstLine="1134"/>
        <w:jc w:val="both"/>
      </w:pPr>
      <w:r>
        <w:t xml:space="preserve">Por lo demás, la regla exige que entre dicha valoración de la prueba y el pronunciamiento del juez transcurra el menor plazo posible, </w:t>
      </w:r>
      <w:r w:rsidR="001E46A3">
        <w:t>pues l</w:t>
      </w:r>
      <w:r>
        <w:t>a inmediación es enemiga de la dilación. Los resultados favorables de aqu</w:t>
      </w:r>
      <w:r w:rsidR="001144BD">
        <w:t>é</w:t>
      </w:r>
      <w:r>
        <w:t xml:space="preserve">lla, </w:t>
      </w:r>
      <w:r w:rsidR="001144BD">
        <w:t xml:space="preserve">esto es, </w:t>
      </w:r>
      <w:r>
        <w:t xml:space="preserve">las impresiones y recuerdos se borran o desaparecen de la mente del </w:t>
      </w:r>
      <w:r w:rsidR="008B2559">
        <w:t>decisor</w:t>
      </w:r>
      <w:r>
        <w:t xml:space="preserve">, en la medida en que el </w:t>
      </w:r>
      <w:r w:rsidR="003F3540">
        <w:t>lapso</w:t>
      </w:r>
      <w:r>
        <w:t xml:space="preserve"> que pueda transcurrir entre la práctica y la valoración de la </w:t>
      </w:r>
      <w:r w:rsidR="003F3540">
        <w:t>prueba</w:t>
      </w:r>
      <w:r>
        <w:t xml:space="preserve"> sea excesivamente </w:t>
      </w:r>
      <w:r w:rsidR="003F3540">
        <w:t>largo</w:t>
      </w:r>
      <w:r>
        <w:t xml:space="preserve">. </w:t>
      </w:r>
    </w:p>
    <w:p w14:paraId="403ED011" w14:textId="7E8D4B58" w:rsidR="00AD4AF4" w:rsidRDefault="00DE29D4" w:rsidP="00C843BE">
      <w:pPr>
        <w:ind w:firstLine="1134"/>
        <w:jc w:val="both"/>
      </w:pPr>
      <w:r>
        <w:t xml:space="preserve">Ahora bien, </w:t>
      </w:r>
      <w:r w:rsidR="00C1477E">
        <w:t>hasta ahora</w:t>
      </w:r>
      <w:r w:rsidR="003F3540">
        <w:t xml:space="preserve"> hemos visto que la inmediación tendría </w:t>
      </w:r>
      <w:r w:rsidR="005C09CB">
        <w:t xml:space="preserve">grandes virtudes y ventajas sustanciales respecto de la mediación. Corresponde </w:t>
      </w:r>
      <w:r w:rsidR="00D642FB">
        <w:t>ahora detenernos al menos por un instante para analizar un</w:t>
      </w:r>
      <w:r w:rsidR="00755B14">
        <w:t>a interpretación que algunos han realizado de la inmediación y sus consecuencias</w:t>
      </w:r>
      <w:r w:rsidR="00AD4AF4">
        <w:t xml:space="preserve"> a la hora de la</w:t>
      </w:r>
      <w:r w:rsidR="00EF4FCD">
        <w:t xml:space="preserve"> motivación de la sentencia y de la</w:t>
      </w:r>
      <w:r w:rsidR="00AD4AF4">
        <w:t xml:space="preserve"> valoración de la prueba. Y aquí está, precisamente</w:t>
      </w:r>
      <w:r w:rsidR="00EB59FF">
        <w:t>,</w:t>
      </w:r>
      <w:r w:rsidR="00AD4AF4">
        <w:t xml:space="preserve"> el primero de los peligros que se advierten </w:t>
      </w:r>
      <w:r w:rsidR="00E557C9">
        <w:t xml:space="preserve">cuando posamos la mirada en esta regla que solo en apariencia luce sencilla. </w:t>
      </w:r>
    </w:p>
    <w:p w14:paraId="6B38472C" w14:textId="3290DE13" w:rsidR="00C843BE" w:rsidRPr="00C843BE" w:rsidRDefault="00C843BE" w:rsidP="00E322DB">
      <w:pPr>
        <w:tabs>
          <w:tab w:val="left" w:pos="1134"/>
        </w:tabs>
        <w:jc w:val="both"/>
        <w:rPr>
          <w:b/>
          <w:bCs/>
        </w:rPr>
      </w:pPr>
      <w:r w:rsidRPr="00C843BE">
        <w:rPr>
          <w:b/>
          <w:bCs/>
        </w:rPr>
        <w:t>III.</w:t>
      </w:r>
      <w:r>
        <w:rPr>
          <w:b/>
          <w:bCs/>
        </w:rPr>
        <w:tab/>
      </w:r>
      <w:r w:rsidRPr="009A186D">
        <w:rPr>
          <w:b/>
          <w:bCs/>
          <w:u w:val="single"/>
        </w:rPr>
        <w:t>L</w:t>
      </w:r>
      <w:r w:rsidR="00944876" w:rsidRPr="009A186D">
        <w:rPr>
          <w:b/>
          <w:bCs/>
          <w:u w:val="single"/>
        </w:rPr>
        <w:t xml:space="preserve">os </w:t>
      </w:r>
      <w:r w:rsidRPr="009A186D">
        <w:rPr>
          <w:b/>
          <w:bCs/>
          <w:u w:val="single"/>
        </w:rPr>
        <w:t>peligro</w:t>
      </w:r>
      <w:r w:rsidR="00944876" w:rsidRPr="009A186D">
        <w:rPr>
          <w:b/>
          <w:bCs/>
          <w:u w:val="single"/>
        </w:rPr>
        <w:t>s de interpretaciones rigurosas</w:t>
      </w:r>
      <w:r w:rsidRPr="009A186D">
        <w:rPr>
          <w:b/>
          <w:bCs/>
          <w:u w:val="single"/>
        </w:rPr>
        <w:t xml:space="preserve"> </w:t>
      </w:r>
      <w:r w:rsidR="000508BD" w:rsidRPr="009A186D">
        <w:rPr>
          <w:b/>
          <w:bCs/>
          <w:u w:val="single"/>
        </w:rPr>
        <w:t>de la inmediación</w:t>
      </w:r>
    </w:p>
    <w:p w14:paraId="3FBF0975" w14:textId="2288E4B9" w:rsidR="008659E6" w:rsidRPr="00F80A6B" w:rsidRDefault="00E322DB" w:rsidP="007939A3">
      <w:pPr>
        <w:ind w:firstLine="1134"/>
        <w:jc w:val="both"/>
      </w:pPr>
      <w:r>
        <w:t>Los invito a detenernos a a</w:t>
      </w:r>
      <w:r w:rsidR="00B350D8">
        <w:t xml:space="preserve">nalizar las </w:t>
      </w:r>
      <w:r w:rsidR="00D0326F">
        <w:t>voces</w:t>
      </w:r>
      <w:r w:rsidR="00D000F8">
        <w:t xml:space="preserve"> </w:t>
      </w:r>
      <w:r w:rsidR="00B350D8">
        <w:t xml:space="preserve">-todas ellas </w:t>
      </w:r>
      <w:r w:rsidR="00D000F8">
        <w:t>muy reconocidas</w:t>
      </w:r>
      <w:r w:rsidR="00623922">
        <w:rPr>
          <w:rStyle w:val="Refdenotaalpie"/>
        </w:rPr>
        <w:footnoteReference w:id="6"/>
      </w:r>
      <w:r w:rsidR="00B350D8">
        <w:t>-</w:t>
      </w:r>
      <w:r w:rsidR="00D0326F">
        <w:t xml:space="preserve"> que plantean </w:t>
      </w:r>
      <w:r>
        <w:t>ciertos</w:t>
      </w:r>
      <w:r w:rsidR="00D0326F">
        <w:t xml:space="preserve"> peligros de la inmediación</w:t>
      </w:r>
      <w:r>
        <w:t xml:space="preserve"> o más </w:t>
      </w:r>
      <w:r w:rsidR="003E2046">
        <w:t xml:space="preserve">precisamente, </w:t>
      </w:r>
      <w:r w:rsidR="00557B7B">
        <w:t>sobre algunas interpretaciones rigurosas que de la inmediación se han realizado</w:t>
      </w:r>
      <w:r w:rsidR="002E0B72">
        <w:t xml:space="preserve">, las cuales </w:t>
      </w:r>
      <w:r w:rsidR="007939A3">
        <w:t xml:space="preserve">derivan </w:t>
      </w:r>
      <w:r w:rsidR="009B2926" w:rsidRPr="009B2926">
        <w:rPr>
          <w:i/>
          <w:iCs/>
        </w:rPr>
        <w:t>peligrosamente</w:t>
      </w:r>
      <w:r w:rsidR="009B2926">
        <w:t xml:space="preserve"> </w:t>
      </w:r>
      <w:r w:rsidR="007939A3">
        <w:t xml:space="preserve">en una reserva </w:t>
      </w:r>
      <w:r w:rsidR="002E0B72">
        <w:t>-</w:t>
      </w:r>
      <w:r w:rsidR="007939A3">
        <w:t>casi en exclusividad</w:t>
      </w:r>
      <w:r w:rsidR="002E0B72">
        <w:t>-</w:t>
      </w:r>
      <w:r w:rsidR="007939A3">
        <w:t xml:space="preserve"> al </w:t>
      </w:r>
      <w:r w:rsidR="008659E6">
        <w:t xml:space="preserve">decisor de primer </w:t>
      </w:r>
      <w:r w:rsidR="00F54194">
        <w:t xml:space="preserve">grado </w:t>
      </w:r>
      <w:r w:rsidR="007939A3">
        <w:t xml:space="preserve">de </w:t>
      </w:r>
      <w:r w:rsidR="008659E6">
        <w:t>la valoración de la prueba</w:t>
      </w:r>
      <w:r w:rsidR="008A5D5D">
        <w:t>,</w:t>
      </w:r>
      <w:r w:rsidR="008659E6">
        <w:t xml:space="preserve"> </w:t>
      </w:r>
      <w:r w:rsidR="008A5D5D">
        <w:t xml:space="preserve">así como en </w:t>
      </w:r>
      <w:r w:rsidR="001F2FF9">
        <w:t>exigencia</w:t>
      </w:r>
      <w:r w:rsidR="008A5D5D">
        <w:t>s</w:t>
      </w:r>
      <w:r w:rsidR="001F2FF9">
        <w:t xml:space="preserve"> d</w:t>
      </w:r>
      <w:r w:rsidR="008A5D5D">
        <w:t>ébiles o nulas de</w:t>
      </w:r>
      <w:r w:rsidR="001F2FF9">
        <w:t xml:space="preserve"> motivación </w:t>
      </w:r>
      <w:r w:rsidR="00F54194">
        <w:t>de los hechos probados</w:t>
      </w:r>
      <w:r w:rsidR="00666CC2">
        <w:t xml:space="preserve"> y </w:t>
      </w:r>
      <w:r w:rsidR="001F2FF9">
        <w:t xml:space="preserve">un sistema de recursos que </w:t>
      </w:r>
      <w:r w:rsidR="009B2926">
        <w:t>dificulta</w:t>
      </w:r>
      <w:r w:rsidR="00666CC2">
        <w:t xml:space="preserve"> a menudo</w:t>
      </w:r>
      <w:r w:rsidR="009B2926">
        <w:t xml:space="preserve"> </w:t>
      </w:r>
      <w:r w:rsidR="00B92448">
        <w:t>la valoración de l</w:t>
      </w:r>
      <w:r w:rsidR="009B2926">
        <w:t xml:space="preserve">a prueba </w:t>
      </w:r>
      <w:r w:rsidR="00B92448">
        <w:t xml:space="preserve">en instancias superiores. </w:t>
      </w:r>
    </w:p>
    <w:p w14:paraId="45806801" w14:textId="08F86D5E" w:rsidR="00A7025A" w:rsidRDefault="00E22727" w:rsidP="00C076A8">
      <w:pPr>
        <w:ind w:firstLine="1134"/>
        <w:jc w:val="both"/>
      </w:pPr>
      <w:r>
        <w:t>El primero de los aspectos para tomar</w:t>
      </w:r>
      <w:r w:rsidR="00FE5394">
        <w:t xml:space="preserve"> en consideración hace al</w:t>
      </w:r>
      <w:r w:rsidR="00FE5394" w:rsidRPr="00C076A8">
        <w:t xml:space="preserve"> </w:t>
      </w:r>
      <w:r w:rsidR="00FE5394" w:rsidRPr="00C076A8">
        <w:rPr>
          <w:i/>
          <w:iCs/>
        </w:rPr>
        <w:t>acto</w:t>
      </w:r>
      <w:r w:rsidR="00FE5394">
        <w:t xml:space="preserve"> mismo </w:t>
      </w:r>
      <w:r w:rsidR="00D0326F">
        <w:t xml:space="preserve">del contacto directo del juzgador con la producción de los medios de prueba. </w:t>
      </w:r>
      <w:r w:rsidR="00A7025A">
        <w:t>Aquí</w:t>
      </w:r>
      <w:r w:rsidR="00A70075">
        <w:t>,</w:t>
      </w:r>
      <w:r w:rsidR="00A7025A">
        <w:t xml:space="preserve"> entonces</w:t>
      </w:r>
      <w:r w:rsidR="00A70075">
        <w:t>,</w:t>
      </w:r>
      <w:r w:rsidR="00A7025A">
        <w:t xml:space="preserve"> radica la primera precisión a realizar: se afirma </w:t>
      </w:r>
      <w:r w:rsidR="00B350D8">
        <w:t xml:space="preserve">que </w:t>
      </w:r>
      <w:r w:rsidR="00D0326F">
        <w:t>el lenguaje gestual</w:t>
      </w:r>
      <w:r w:rsidR="00EC4E1A">
        <w:t xml:space="preserve"> y la </w:t>
      </w:r>
      <w:r w:rsidR="00D0326F">
        <w:t>actitud de</w:t>
      </w:r>
      <w:r w:rsidR="00EC4E1A">
        <w:t xml:space="preserve">l declarante </w:t>
      </w:r>
      <w:r w:rsidR="00D0326F">
        <w:t>está</w:t>
      </w:r>
      <w:r w:rsidR="00E526D1">
        <w:t>n</w:t>
      </w:r>
      <w:r w:rsidR="00D0326F">
        <w:t xml:space="preserve"> compuesto</w:t>
      </w:r>
      <w:r w:rsidR="00E526D1">
        <w:t>s</w:t>
      </w:r>
      <w:r w:rsidR="00D0326F">
        <w:t xml:space="preserve"> de una imprecisa significación y </w:t>
      </w:r>
      <w:r w:rsidR="00E526D1">
        <w:t xml:space="preserve">es </w:t>
      </w:r>
      <w:r w:rsidR="00D0326F">
        <w:t xml:space="preserve">por ello </w:t>
      </w:r>
      <w:r w:rsidR="002444D9">
        <w:t>por lo que</w:t>
      </w:r>
      <w:r w:rsidR="00E526D1">
        <w:t xml:space="preserve"> </w:t>
      </w:r>
      <w:r w:rsidR="00D0326F">
        <w:t xml:space="preserve">se abre un abanico </w:t>
      </w:r>
      <w:r w:rsidR="00E526D1">
        <w:t xml:space="preserve">muy variado </w:t>
      </w:r>
      <w:r w:rsidR="00D0326F">
        <w:t>de interpretaciones</w:t>
      </w:r>
      <w:r w:rsidR="00A7025A">
        <w:t xml:space="preserve">, siendo </w:t>
      </w:r>
      <w:r w:rsidR="00EA48B4">
        <w:t xml:space="preserve">sencillamente absurdo sostener </w:t>
      </w:r>
      <w:r w:rsidR="002444D9">
        <w:t>que,</w:t>
      </w:r>
      <w:r w:rsidR="00EA48B4">
        <w:t xml:space="preserve"> si el declarante es </w:t>
      </w:r>
      <w:r w:rsidR="00EA48B4">
        <w:lastRenderedPageBreak/>
        <w:t>vehement</w:t>
      </w:r>
      <w:r w:rsidR="000402AF">
        <w:t>e</w:t>
      </w:r>
      <w:r w:rsidR="00581372">
        <w:t xml:space="preserve">, </w:t>
      </w:r>
      <w:r w:rsidR="000402AF">
        <w:t>muy seguro de sí mismo y mira a los ojos</w:t>
      </w:r>
      <w:r w:rsidR="00F97743">
        <w:t>,</w:t>
      </w:r>
      <w:r w:rsidR="000402AF">
        <w:t xml:space="preserve"> está diciendo la verdad</w:t>
      </w:r>
      <w:r w:rsidR="007A17EB">
        <w:t>,</w:t>
      </w:r>
      <w:r w:rsidR="000402AF">
        <w:t xml:space="preserve"> </w:t>
      </w:r>
      <w:r w:rsidR="007A17EB">
        <w:t xml:space="preserve">mientras que si </w:t>
      </w:r>
      <w:r w:rsidR="00A1754A">
        <w:t xml:space="preserve">titubea y desvía la mirada está mintiendo. </w:t>
      </w:r>
    </w:p>
    <w:p w14:paraId="2FE55E6F" w14:textId="77777777" w:rsidR="005227A3" w:rsidRDefault="00A1754A" w:rsidP="005227A3">
      <w:pPr>
        <w:ind w:firstLine="1134"/>
        <w:jc w:val="both"/>
      </w:pPr>
      <w:r>
        <w:t>L</w:t>
      </w:r>
      <w:r w:rsidR="00D0326F">
        <w:t>a palidez de</w:t>
      </w:r>
      <w:r w:rsidR="007A17EB">
        <w:t>l</w:t>
      </w:r>
      <w:r w:rsidR="00D0326F">
        <w:t xml:space="preserve"> rostro, la tartamudez </w:t>
      </w:r>
      <w:r w:rsidR="007A17EB">
        <w:t xml:space="preserve">o la </w:t>
      </w:r>
      <w:r w:rsidR="00D0326F">
        <w:t xml:space="preserve">inseguridad en la expresión del declarante o lo que haga con las manos, puede, al menos para </w:t>
      </w:r>
      <w:r w:rsidR="00F4658D">
        <w:t>l</w:t>
      </w:r>
      <w:r w:rsidR="00D0326F">
        <w:t>os ojos de un observador no especializado en esa clase de exámenes, significar miedo del culpable a ser descubierto en su escenificación de la mentira o pavor del inocente a no ser creído en la afirmación de la verdad.</w:t>
      </w:r>
      <w:r w:rsidR="00F1093F">
        <w:t xml:space="preserve"> </w:t>
      </w:r>
      <w:r w:rsidR="005227A3">
        <w:t xml:space="preserve">Es por todo lo anterior que se afirma que los jueces deberían conocer de psicología del testimonio, para evitar recurrir -sin más- a su mera intuición que por muy afinada que sea, no deja de constituir un espacio subjetivo e incontrolable. </w:t>
      </w:r>
    </w:p>
    <w:p w14:paraId="2120C614" w14:textId="0E6F1C3A" w:rsidR="00AB04E0" w:rsidRDefault="005227A3" w:rsidP="00774A3B">
      <w:pPr>
        <w:ind w:firstLine="1134"/>
        <w:jc w:val="both"/>
      </w:pPr>
      <w:r>
        <w:t xml:space="preserve">Por ende, </w:t>
      </w:r>
      <w:r w:rsidR="00F1093F">
        <w:t xml:space="preserve">si </w:t>
      </w:r>
      <w:r w:rsidR="00F1093F" w:rsidRPr="00D61530">
        <w:t>un testigo se muestra manifiestamente nervioso</w:t>
      </w:r>
      <w:r w:rsidR="00F1093F">
        <w:t xml:space="preserve">, de ello no se deriva ineluctablemente que miente. La </w:t>
      </w:r>
      <w:r w:rsidR="00F1093F" w:rsidRPr="00D61530">
        <w:t xml:space="preserve">inferencia </w:t>
      </w:r>
      <w:r w:rsidR="00F1093F">
        <w:t xml:space="preserve">de que miente </w:t>
      </w:r>
      <w:r w:rsidR="00F1093F" w:rsidRPr="00D61530">
        <w:t xml:space="preserve">no depende en absoluto de la </w:t>
      </w:r>
      <w:r w:rsidR="00F1093F" w:rsidRPr="0017114E">
        <w:rPr>
          <w:i/>
          <w:iCs/>
        </w:rPr>
        <w:t>percepción</w:t>
      </w:r>
      <w:r w:rsidR="00F1093F" w:rsidRPr="00D61530">
        <w:t xml:space="preserve">, sino de generalizaciones o máximas de experiencia </w:t>
      </w:r>
      <w:r w:rsidR="00F1093F">
        <w:t xml:space="preserve">del juzgador que, por lo demás, han sido </w:t>
      </w:r>
      <w:r w:rsidR="00F1093F" w:rsidRPr="00D61530">
        <w:t xml:space="preserve">estudiadas por la psicología del testimonio </w:t>
      </w:r>
      <w:r w:rsidR="0017114E">
        <w:t xml:space="preserve">que no siempre son acertadas </w:t>
      </w:r>
      <w:r w:rsidR="00646ADB">
        <w:t>y menos aún</w:t>
      </w:r>
      <w:r w:rsidR="0017114E">
        <w:t xml:space="preserve"> fundadas.</w:t>
      </w:r>
    </w:p>
    <w:p w14:paraId="7060040D" w14:textId="5775AEA1" w:rsidR="00F1093F" w:rsidRDefault="00774A3B" w:rsidP="005320D7">
      <w:pPr>
        <w:ind w:firstLine="1134"/>
        <w:jc w:val="both"/>
      </w:pPr>
      <w:r>
        <w:t xml:space="preserve">A la luz de lo antes mencionado, </w:t>
      </w:r>
      <w:r w:rsidR="00CF40BD">
        <w:t>el juzgador de primera instancia</w:t>
      </w:r>
      <w:r w:rsidR="00E22727">
        <w:t>,</w:t>
      </w:r>
      <w:r w:rsidR="00CF40BD">
        <w:t xml:space="preserve"> al amparo de la regla de la inmediación, esto es, del contacto directo que tiene con la producción de la prueba, no puede escudarse en ésta como forma de </w:t>
      </w:r>
      <w:r w:rsidR="00A8218B">
        <w:t>no motivar adecuadamente su decisión</w:t>
      </w:r>
      <w:r w:rsidR="001465C3">
        <w:t xml:space="preserve"> en cuanto a los hechos que da por probados</w:t>
      </w:r>
      <w:r w:rsidR="00B62393">
        <w:t>,</w:t>
      </w:r>
      <w:r w:rsidR="00A8218B">
        <w:t xml:space="preserve"> ni tampoco </w:t>
      </w:r>
      <w:r w:rsidR="00676509">
        <w:t xml:space="preserve">se </w:t>
      </w:r>
      <w:r w:rsidR="00A8218B">
        <w:t xml:space="preserve">puede </w:t>
      </w:r>
      <w:r w:rsidR="00713E6C">
        <w:t>justificar</w:t>
      </w:r>
      <w:r w:rsidR="00676509">
        <w:t xml:space="preserve"> con ello la </w:t>
      </w:r>
      <w:r w:rsidR="00CF40BD">
        <w:t xml:space="preserve">imposibilidad de control en </w:t>
      </w:r>
      <w:r w:rsidR="00713E6C">
        <w:t xml:space="preserve">instancias ulteriores </w:t>
      </w:r>
      <w:r w:rsidR="00CF40BD">
        <w:t>del</w:t>
      </w:r>
      <w:r w:rsidR="00713E6C">
        <w:t xml:space="preserve"> razonamiento probatorio y de l</w:t>
      </w:r>
      <w:r w:rsidR="00CF40BD">
        <w:t>a valoración de la prueba</w:t>
      </w:r>
      <w:r w:rsidR="00713E6C">
        <w:t xml:space="preserve"> realizada en un grado anterior</w:t>
      </w:r>
      <w:r w:rsidR="00CF40BD">
        <w:rPr>
          <w:rStyle w:val="Refdenotaalpie"/>
        </w:rPr>
        <w:footnoteReference w:id="7"/>
      </w:r>
      <w:r w:rsidR="001D1F16">
        <w:t>,</w:t>
      </w:r>
      <w:r w:rsidR="005320D7">
        <w:t xml:space="preserve"> por no haber </w:t>
      </w:r>
      <w:r w:rsidR="00FE0850">
        <w:t xml:space="preserve">el decisor de </w:t>
      </w:r>
      <w:r w:rsidR="00713E6C">
        <w:t xml:space="preserve">ulterior instancia </w:t>
      </w:r>
      <w:r w:rsidR="005320D7">
        <w:t xml:space="preserve">presenciado la </w:t>
      </w:r>
      <w:r w:rsidR="00B0754D">
        <w:t>práctica de la prueba</w:t>
      </w:r>
      <w:r w:rsidR="005320D7">
        <w:t xml:space="preserve">, pues puede </w:t>
      </w:r>
      <w:r w:rsidR="00F1093F">
        <w:t>igualmente demostrar la</w:t>
      </w:r>
      <w:r w:rsidR="00F1093F" w:rsidRPr="00D61530">
        <w:t xml:space="preserve"> incorrección de una valoración t</w:t>
      </w:r>
      <w:r w:rsidR="00F1093F">
        <w:t>estimonial</w:t>
      </w:r>
      <w:r w:rsidR="00F1093F" w:rsidRPr="00D61530">
        <w:t xml:space="preserve"> basada en una generalización falsa </w:t>
      </w:r>
      <w:r w:rsidR="00FF550B">
        <w:t>o incluso de una errónea percepción del acto</w:t>
      </w:r>
      <w:r w:rsidR="00E467FB">
        <w:t>,</w:t>
      </w:r>
      <w:r w:rsidR="00FF550B">
        <w:t xml:space="preserve"> </w:t>
      </w:r>
      <w:r w:rsidR="00A00E11">
        <w:t xml:space="preserve">aun cuando no lo haya </w:t>
      </w:r>
      <w:r w:rsidR="00FF550B">
        <w:t>presenciado</w:t>
      </w:r>
      <w:r w:rsidR="00A00E11">
        <w:t>,</w:t>
      </w:r>
      <w:r w:rsidR="00FF550B">
        <w:t xml:space="preserve"> pues el mecanismo de la grabación de las audiencias permite subsanar cualquier defecto de percepción en que haya incurrido el juez de primera instancia que </w:t>
      </w:r>
      <w:r w:rsidR="001D1F16">
        <w:t>estuvo presente en la práctica de la prueba</w:t>
      </w:r>
      <w:r w:rsidR="00F1093F" w:rsidRPr="00D61530">
        <w:t xml:space="preserve">. </w:t>
      </w:r>
    </w:p>
    <w:p w14:paraId="2F0A5F22" w14:textId="1FC95733" w:rsidR="00D45D1B" w:rsidRDefault="00AE6210" w:rsidP="00753C9D">
      <w:pPr>
        <w:spacing w:after="0"/>
        <w:ind w:firstLine="1134"/>
        <w:jc w:val="both"/>
      </w:pPr>
      <w:r>
        <w:t>En</w:t>
      </w:r>
      <w:r w:rsidR="000A3695">
        <w:t xml:space="preserve"> otras palabras</w:t>
      </w:r>
      <w:r w:rsidR="00442417">
        <w:t xml:space="preserve">, </w:t>
      </w:r>
      <w:r w:rsidR="00E17BFF">
        <w:t xml:space="preserve">si bien es cierto que </w:t>
      </w:r>
      <w:r w:rsidR="006D3FFB">
        <w:t xml:space="preserve">al amparo de la regla de la inmediación, el </w:t>
      </w:r>
      <w:r w:rsidR="000A3695" w:rsidRPr="000A3695">
        <w:t>juez</w:t>
      </w:r>
      <w:r w:rsidR="00071F9E">
        <w:t xml:space="preserve"> de primer grado</w:t>
      </w:r>
      <w:r w:rsidR="000A3695" w:rsidRPr="000A3695">
        <w:t xml:space="preserve"> t</w:t>
      </w:r>
      <w:r w:rsidR="000A3695">
        <w:t xml:space="preserve">iene </w:t>
      </w:r>
      <w:r w:rsidR="000A3695" w:rsidRPr="000A3695">
        <w:t>una percepción directa de la pr</w:t>
      </w:r>
      <w:r w:rsidR="000A3695">
        <w:t xml:space="preserve">oducción </w:t>
      </w:r>
      <w:r w:rsidR="000A3695" w:rsidRPr="000A3695">
        <w:t xml:space="preserve">de las pruebas </w:t>
      </w:r>
      <w:r w:rsidR="006D3FFB">
        <w:t>y</w:t>
      </w:r>
      <w:r w:rsidR="00B72789">
        <w:t xml:space="preserve">, </w:t>
      </w:r>
      <w:r w:rsidR="006D3FFB">
        <w:t>por ende</w:t>
      </w:r>
      <w:r w:rsidR="00B72789">
        <w:t>, tendrá</w:t>
      </w:r>
      <w:r w:rsidR="006D3FFB">
        <w:t xml:space="preserve"> </w:t>
      </w:r>
      <w:r w:rsidR="000A3695" w:rsidRPr="000A3695">
        <w:t xml:space="preserve">la mejor posición epistemológica </w:t>
      </w:r>
      <w:r w:rsidR="000A3695" w:rsidRPr="000A3695">
        <w:lastRenderedPageBreak/>
        <w:t>para valorarlas</w:t>
      </w:r>
      <w:r w:rsidR="00E17BFF">
        <w:t xml:space="preserve">, </w:t>
      </w:r>
      <w:r w:rsidR="00753C9D">
        <w:t xml:space="preserve">de ello no se deriva la imposibilidad de </w:t>
      </w:r>
      <w:r w:rsidR="00031648" w:rsidRPr="00F43F19">
        <w:t>revisión de la valoración de la prueba realizada por el juez de primera instancia, suponiendo que</w:t>
      </w:r>
      <w:r w:rsidR="00442417">
        <w:t>,</w:t>
      </w:r>
      <w:r w:rsidR="00031648" w:rsidRPr="00F43F19">
        <w:t xml:space="preserve"> siempre y en cualquier caso</w:t>
      </w:r>
      <w:r w:rsidR="00031648">
        <w:t>,</w:t>
      </w:r>
      <w:r w:rsidR="00031648" w:rsidRPr="00F43F19">
        <w:t xml:space="preserve"> aquél estará en mejor posición </w:t>
      </w:r>
      <w:r w:rsidR="00005577" w:rsidRPr="00F43F19">
        <w:t>cognoscitiva</w:t>
      </w:r>
      <w:r w:rsidR="00031648" w:rsidRPr="00F43F19">
        <w:t xml:space="preserve"> que cualquier otro juez o tribunal que pudiera revisar la valoración de la prueba realizada en la primera instancia</w:t>
      </w:r>
      <w:r w:rsidR="0090310D">
        <w:t xml:space="preserve">, </w:t>
      </w:r>
      <w:r w:rsidR="00AA3580">
        <w:t xml:space="preserve">pues de lo contrario, </w:t>
      </w:r>
      <w:r w:rsidR="00F65848">
        <w:t xml:space="preserve">la inmediación </w:t>
      </w:r>
      <w:r w:rsidR="008F65D5">
        <w:t>a</w:t>
      </w:r>
      <w:r w:rsidR="000A3695" w:rsidRPr="000A3695">
        <w:t>caba</w:t>
      </w:r>
      <w:r w:rsidR="00AA3580">
        <w:t>ría</w:t>
      </w:r>
      <w:r w:rsidR="000A3695" w:rsidRPr="000A3695">
        <w:t xml:space="preserve"> </w:t>
      </w:r>
      <w:r w:rsidR="002B6826">
        <w:t>siendo</w:t>
      </w:r>
      <w:r w:rsidR="00AA3580">
        <w:t xml:space="preserve"> </w:t>
      </w:r>
      <w:r w:rsidR="000A3695" w:rsidRPr="000A3695">
        <w:t>un “cheque en blanco para motivar menos</w:t>
      </w:r>
      <w:r w:rsidR="008F65D5">
        <w:t xml:space="preserve">, </w:t>
      </w:r>
      <w:r w:rsidR="000A3695" w:rsidRPr="000A3695">
        <w:t>consiguiendo además evitar el control de las partes y de los órganos jurisdiccionales”</w:t>
      </w:r>
      <w:r w:rsidR="00282755">
        <w:rPr>
          <w:rStyle w:val="Refdenotaalpie"/>
        </w:rPr>
        <w:footnoteReference w:id="8"/>
      </w:r>
      <w:r w:rsidR="00C20E5C">
        <w:t xml:space="preserve">, </w:t>
      </w:r>
      <w:r w:rsidR="00F1475F">
        <w:t>creando una zona opaca al control racional que contradice la cultura de la motivación, puesto que s</w:t>
      </w:r>
      <w:r w:rsidR="001A504E">
        <w:t xml:space="preserve">i bien es cierto que </w:t>
      </w:r>
      <w:r w:rsidR="006B5A9B">
        <w:t xml:space="preserve">en </w:t>
      </w:r>
      <w:r w:rsidR="001A504E" w:rsidRPr="001A504E">
        <w:t>el proceso de valoración las intuiciones exist</w:t>
      </w:r>
      <w:r w:rsidR="006B5A9B">
        <w:t>e</w:t>
      </w:r>
      <w:r w:rsidR="001A504E" w:rsidRPr="001A504E">
        <w:t>n y tal vez sean inevitables</w:t>
      </w:r>
      <w:r w:rsidR="006B5A9B">
        <w:t>, ello</w:t>
      </w:r>
      <w:r w:rsidR="001A504E" w:rsidRPr="001A504E">
        <w:t xml:space="preserve"> no significa que puedan ser esgrimidas como excusa para la no justificación.</w:t>
      </w:r>
    </w:p>
    <w:p w14:paraId="2A6D2A4D" w14:textId="335845B6" w:rsidR="00F90446" w:rsidRDefault="00567D16" w:rsidP="00567D16">
      <w:pPr>
        <w:ind w:firstLine="1134"/>
        <w:jc w:val="both"/>
      </w:pPr>
      <w:r>
        <w:t xml:space="preserve">Algunos autores </w:t>
      </w:r>
      <w:r w:rsidR="00A83333">
        <w:t>incluso</w:t>
      </w:r>
      <w:r>
        <w:t xml:space="preserve"> llegan a decir que, en el fondo, por más difícil que sea asumirlo y más reconocerlo, la situación actual no es diversa de lo que ocurría a principios del siglo XIX con la aplicación de la prueba legal. Lo que buscaban los jueces con la aplicación de la prueba legal era</w:t>
      </w:r>
      <w:r w:rsidR="004C2838">
        <w:t>,</w:t>
      </w:r>
      <w:r>
        <w:t xml:space="preserve"> precisamente</w:t>
      </w:r>
      <w:r w:rsidR="004C2838">
        <w:t>,</w:t>
      </w:r>
      <w:r>
        <w:t xml:space="preserve"> lo mismo que lo que pretenden ahora con la inmediación: eludir la motivación</w:t>
      </w:r>
      <w:r>
        <w:rPr>
          <w:rStyle w:val="Refdenotaalpie"/>
        </w:rPr>
        <w:footnoteReference w:id="9"/>
      </w:r>
      <w:r>
        <w:t xml:space="preserve">, pues </w:t>
      </w:r>
      <w:r>
        <w:rPr>
          <w:bCs/>
        </w:rPr>
        <w:t>la convicción que a través de la inmediación forma el tribunal de la prueba directa practicada en su presencia, depende de una serie de circunstancias de percepción, experiencia y hasta intuición que</w:t>
      </w:r>
      <w:r w:rsidR="00D16023">
        <w:rPr>
          <w:bCs/>
        </w:rPr>
        <w:t xml:space="preserve"> </w:t>
      </w:r>
      <w:r>
        <w:rPr>
          <w:bCs/>
        </w:rPr>
        <w:t xml:space="preserve">son </w:t>
      </w:r>
      <w:r w:rsidR="005D37C6">
        <w:rPr>
          <w:bCs/>
        </w:rPr>
        <w:t xml:space="preserve">difíciles </w:t>
      </w:r>
      <w:r w:rsidR="00752574">
        <w:rPr>
          <w:bCs/>
        </w:rPr>
        <w:t xml:space="preserve">de </w:t>
      </w:r>
      <w:r>
        <w:rPr>
          <w:bCs/>
        </w:rPr>
        <w:t>expresa</w:t>
      </w:r>
      <w:r w:rsidR="00752574">
        <w:rPr>
          <w:bCs/>
        </w:rPr>
        <w:t>r</w:t>
      </w:r>
      <w:r>
        <w:rPr>
          <w:bCs/>
        </w:rPr>
        <w:t xml:space="preserve"> a través de la motivación. </w:t>
      </w:r>
    </w:p>
    <w:p w14:paraId="7AC063E9" w14:textId="580F11F8" w:rsidR="00DD1B00" w:rsidRDefault="00B62393" w:rsidP="00343C17">
      <w:pPr>
        <w:ind w:firstLine="1134"/>
        <w:jc w:val="both"/>
      </w:pPr>
      <w:r>
        <w:t>GARCÍA AMADO</w:t>
      </w:r>
      <w:r w:rsidR="007D629E">
        <w:rPr>
          <w:rStyle w:val="Refdenotaalpie"/>
        </w:rPr>
        <w:footnoteReference w:id="10"/>
      </w:r>
      <w:r w:rsidR="00926DCB">
        <w:t xml:space="preserve"> afirma </w:t>
      </w:r>
      <w:r w:rsidR="00281D6D">
        <w:t xml:space="preserve">incluso </w:t>
      </w:r>
      <w:r w:rsidR="00926DCB">
        <w:t>que existe un</w:t>
      </w:r>
      <w:r w:rsidR="00FE192B">
        <w:t xml:space="preserve"> mito</w:t>
      </w:r>
      <w:r w:rsidR="004A3324">
        <w:t xml:space="preserve"> </w:t>
      </w:r>
      <w:r w:rsidR="00FE192B">
        <w:t>en la inmediación y un</w:t>
      </w:r>
      <w:r w:rsidR="00926DCB">
        <w:t>a aporía</w:t>
      </w:r>
      <w:r w:rsidR="004A3324">
        <w:t xml:space="preserve"> en la teoría de la prueba, avizorando</w:t>
      </w:r>
      <w:r>
        <w:t xml:space="preserve"> que </w:t>
      </w:r>
      <w:r w:rsidR="00892170">
        <w:t xml:space="preserve">estamos </w:t>
      </w:r>
      <w:r w:rsidRPr="00B82BBD">
        <w:t>en un callejón sin salida por causa del papel que se sigue atribuyendo a la inmediación</w:t>
      </w:r>
      <w:r w:rsidR="00892170">
        <w:t xml:space="preserve">, </w:t>
      </w:r>
      <w:r w:rsidR="004A3324">
        <w:t>ya que</w:t>
      </w:r>
      <w:r w:rsidR="00892170">
        <w:t xml:space="preserve"> constituye una mi</w:t>
      </w:r>
      <w:r w:rsidR="00D45D1B" w:rsidRPr="00B82BBD">
        <w:t xml:space="preserve">sión imposible pretender que argumentativamente se acredite la certeza objetiva sobre una impresión que a la vez se reconoce como intrínsecamente subjetiva, </w:t>
      </w:r>
      <w:r w:rsidR="001A00E2">
        <w:t>p</w:t>
      </w:r>
      <w:r w:rsidR="00D45D1B" w:rsidRPr="00B82BBD">
        <w:t>orque</w:t>
      </w:r>
      <w:r w:rsidR="00C9688D">
        <w:t xml:space="preserve"> -</w:t>
      </w:r>
      <w:r w:rsidR="00C74438">
        <w:t>remata el autor</w:t>
      </w:r>
      <w:r w:rsidR="00C9688D">
        <w:t xml:space="preserve">- </w:t>
      </w:r>
      <w:r w:rsidR="00D45D1B" w:rsidRPr="00B82BBD">
        <w:t xml:space="preserve">decir que no </w:t>
      </w:r>
      <w:r w:rsidR="00610E5F">
        <w:t xml:space="preserve">se </w:t>
      </w:r>
      <w:r w:rsidR="00D45D1B" w:rsidRPr="00B82BBD">
        <w:t>cre</w:t>
      </w:r>
      <w:r w:rsidR="00610E5F">
        <w:t>yó</w:t>
      </w:r>
      <w:r w:rsidR="00D45D1B" w:rsidRPr="00B82BBD">
        <w:t xml:space="preserve"> aquel testimonio porque </w:t>
      </w:r>
      <w:r w:rsidR="0084789A">
        <w:t xml:space="preserve">al testigo le </w:t>
      </w:r>
      <w:r w:rsidR="00D45D1B" w:rsidRPr="00B82BBD">
        <w:t xml:space="preserve">temblaba la voz y </w:t>
      </w:r>
      <w:r w:rsidR="003F2341">
        <w:t>extraer de ello que el testigo pro</w:t>
      </w:r>
      <w:r w:rsidR="00D45D1B" w:rsidRPr="00B82BBD">
        <w:t>bablemente m</w:t>
      </w:r>
      <w:r w:rsidR="0084789A">
        <w:t>intió</w:t>
      </w:r>
      <w:r w:rsidR="003F2341">
        <w:t>,</w:t>
      </w:r>
      <w:r w:rsidR="00D45D1B" w:rsidRPr="00B82BBD">
        <w:t xml:space="preserve"> no es objetivar nada</w:t>
      </w:r>
      <w:r w:rsidR="00E33A72">
        <w:t xml:space="preserve">. </w:t>
      </w:r>
      <w:r w:rsidR="00343C17">
        <w:t>En la misma línea se ubica DE LA OLIVA</w:t>
      </w:r>
      <w:r w:rsidR="00DD1B00">
        <w:rPr>
          <w:rStyle w:val="Refdenotaalpie"/>
        </w:rPr>
        <w:footnoteReference w:id="11"/>
      </w:r>
      <w:r w:rsidR="00343C17">
        <w:t xml:space="preserve"> para quien n</w:t>
      </w:r>
      <w:r w:rsidR="00343C17" w:rsidRPr="00343C17">
        <w:t xml:space="preserve">o parece razonable pedir que se exprese lo que pertenece a </w:t>
      </w:r>
      <w:r w:rsidR="00343C17" w:rsidRPr="00343C17">
        <w:lastRenderedPageBreak/>
        <w:t>los internos procesos psicológicos de convicción, muchas veces parcialmente objetivables</w:t>
      </w:r>
      <w:r w:rsidR="00343C17">
        <w:t xml:space="preserve"> y</w:t>
      </w:r>
      <w:r w:rsidR="00343C17" w:rsidRPr="00343C17">
        <w:t xml:space="preserve"> tambi</w:t>
      </w:r>
      <w:r w:rsidR="00C83F0A">
        <w:t>én pertenecientes al</w:t>
      </w:r>
      <w:r w:rsidR="00343C17" w:rsidRPr="00343C17">
        <w:t xml:space="preserve"> ámbito de lo inefable. </w:t>
      </w:r>
    </w:p>
    <w:p w14:paraId="25C8D1C9" w14:textId="71F14FA7" w:rsidR="000702E4" w:rsidRPr="004E1DA9" w:rsidRDefault="00EF437F" w:rsidP="004E1DA9">
      <w:pPr>
        <w:ind w:firstLine="1134"/>
        <w:jc w:val="both"/>
        <w:rPr>
          <w:bCs/>
        </w:rPr>
      </w:pPr>
      <w:r>
        <w:rPr>
          <w:bCs/>
        </w:rPr>
        <w:t xml:space="preserve">Independientemente de </w:t>
      </w:r>
      <w:r w:rsidR="000D39FA">
        <w:t>estas posiciones</w:t>
      </w:r>
      <w:r w:rsidR="006A3E41">
        <w:t>, algunas</w:t>
      </w:r>
      <w:r w:rsidR="000D39FA">
        <w:t xml:space="preserve"> </w:t>
      </w:r>
      <w:r w:rsidR="003824C3">
        <w:t xml:space="preserve">con aspectos </w:t>
      </w:r>
      <w:r w:rsidR="000D39FA">
        <w:t xml:space="preserve">crudamente </w:t>
      </w:r>
      <w:r w:rsidR="003824C3">
        <w:t xml:space="preserve">ciertos, </w:t>
      </w:r>
      <w:r w:rsidR="000D39FA">
        <w:t xml:space="preserve">podemos decir que, </w:t>
      </w:r>
      <w:r w:rsidR="00FF2FA4">
        <w:t xml:space="preserve">en aras de </w:t>
      </w:r>
      <w:r w:rsidR="005A4AA3">
        <w:t>respetar el derecho fundamental al debido proceso y de acuerdo con una concepción racionalista de la prueba, corresponde</w:t>
      </w:r>
      <w:r w:rsidR="009D4711">
        <w:t xml:space="preserve"> interpretar a la inmediación </w:t>
      </w:r>
      <w:r w:rsidR="0023027F">
        <w:t xml:space="preserve">con un alcance </w:t>
      </w:r>
      <w:r w:rsidR="004E1DA9">
        <w:t>más limitado</w:t>
      </w:r>
      <w:r w:rsidR="0023027F">
        <w:t xml:space="preserve">, en el sentido de que, si bien </w:t>
      </w:r>
      <w:r w:rsidR="00DC1BD7">
        <w:t xml:space="preserve">la </w:t>
      </w:r>
      <w:r w:rsidR="000702E4">
        <w:rPr>
          <w:bCs/>
        </w:rPr>
        <w:t xml:space="preserve">práctica de la prueba debe realizarse en presencia del juzgador, </w:t>
      </w:r>
      <w:r w:rsidR="00DC1BD7">
        <w:rPr>
          <w:bCs/>
        </w:rPr>
        <w:t xml:space="preserve">de ello no se deriva </w:t>
      </w:r>
      <w:r w:rsidR="00BD62E7">
        <w:rPr>
          <w:bCs/>
        </w:rPr>
        <w:t>la imposibilidad de control o revisión d</w:t>
      </w:r>
      <w:r w:rsidR="000702E4" w:rsidRPr="0075348A">
        <w:rPr>
          <w:bCs/>
        </w:rPr>
        <w:t xml:space="preserve">el razonamiento probatorio del juzgador realizado a partir de las pruebas practicadas y de lo percibido a partir de ellas. </w:t>
      </w:r>
      <w:r w:rsidR="000702E4">
        <w:rPr>
          <w:bCs/>
        </w:rPr>
        <w:t>Debido a lo anterior</w:t>
      </w:r>
      <w:r w:rsidR="0023027F">
        <w:rPr>
          <w:bCs/>
        </w:rPr>
        <w:t>,</w:t>
      </w:r>
      <w:r w:rsidR="000702E4">
        <w:rPr>
          <w:bCs/>
        </w:rPr>
        <w:t xml:space="preserve"> existirán p</w:t>
      </w:r>
      <w:r w:rsidR="000702E4" w:rsidRPr="0075348A">
        <w:rPr>
          <w:bCs/>
        </w:rPr>
        <w:t xml:space="preserve">reguntas </w:t>
      </w:r>
      <w:r w:rsidR="000702E4">
        <w:rPr>
          <w:bCs/>
        </w:rPr>
        <w:t xml:space="preserve">ineludibles que debe realizarse el órgano de alzada cuando está siendo impugnada la valoración de la prueba y que no afectan esta regla de la inmediación. A saber: las conclusiones a las que se arribó sobre la fiabilidad de las pruebas </w:t>
      </w:r>
      <w:r w:rsidR="004E1DA9">
        <w:rPr>
          <w:bCs/>
        </w:rPr>
        <w:t>¿</w:t>
      </w:r>
      <w:r w:rsidR="000702E4">
        <w:rPr>
          <w:bCs/>
        </w:rPr>
        <w:t xml:space="preserve">resultan de generalizaciones bien soportadas por </w:t>
      </w:r>
      <w:r w:rsidR="009557EB">
        <w:rPr>
          <w:bCs/>
        </w:rPr>
        <w:t>reglas de la lógica</w:t>
      </w:r>
      <w:r w:rsidR="002A6CD6">
        <w:rPr>
          <w:bCs/>
        </w:rPr>
        <w:t xml:space="preserve"> y de la experiencia? </w:t>
      </w:r>
      <w:r w:rsidR="000702E4">
        <w:rPr>
          <w:bCs/>
        </w:rPr>
        <w:t>¿existen otras hipótesis posibles que pueden explicar los hechos conocidos? ¿hay lagunas probatorias</w:t>
      </w:r>
      <w:r w:rsidR="00A70CD1">
        <w:rPr>
          <w:rStyle w:val="Refdenotaalpie"/>
          <w:bCs/>
        </w:rPr>
        <w:footnoteReference w:id="12"/>
      </w:r>
      <w:r w:rsidR="000702E4">
        <w:rPr>
          <w:bCs/>
        </w:rPr>
        <w:t>?</w:t>
      </w:r>
      <w:r w:rsidR="00C83F0A">
        <w:rPr>
          <w:bCs/>
        </w:rPr>
        <w:t xml:space="preserve"> En la reconstrucción del razonamiento probatorio ¿existen errores en la </w:t>
      </w:r>
      <w:r w:rsidR="00C83F0A" w:rsidRPr="00C83F0A">
        <w:rPr>
          <w:bCs/>
        </w:rPr>
        <w:t>cadena inferencial</w:t>
      </w:r>
      <w:r w:rsidR="00C83F0A">
        <w:rPr>
          <w:bCs/>
        </w:rPr>
        <w:t>?</w:t>
      </w:r>
    </w:p>
    <w:p w14:paraId="04514F93" w14:textId="4A1D09B7" w:rsidR="00FC0E98" w:rsidRDefault="001A76E2" w:rsidP="00ED5476">
      <w:pPr>
        <w:ind w:firstLine="1134"/>
        <w:jc w:val="both"/>
        <w:rPr>
          <w:bCs/>
        </w:rPr>
      </w:pPr>
      <w:r>
        <w:rPr>
          <w:bCs/>
        </w:rPr>
        <w:t xml:space="preserve">No puede entenderse que </w:t>
      </w:r>
      <w:r w:rsidR="009C1F94">
        <w:rPr>
          <w:bCs/>
        </w:rPr>
        <w:t xml:space="preserve">la regla de la inmediación es incompatible con </w:t>
      </w:r>
      <w:r w:rsidR="00E61FEF">
        <w:rPr>
          <w:bCs/>
        </w:rPr>
        <w:t xml:space="preserve">el control </w:t>
      </w:r>
      <w:r>
        <w:rPr>
          <w:bCs/>
        </w:rPr>
        <w:t>de</w:t>
      </w:r>
      <w:r w:rsidR="00E61FEF">
        <w:rPr>
          <w:bCs/>
        </w:rPr>
        <w:t xml:space="preserve"> la valoración de la prueba que debe realizar el juez de </w:t>
      </w:r>
      <w:r w:rsidR="00281D6D">
        <w:rPr>
          <w:bCs/>
        </w:rPr>
        <w:t xml:space="preserve">ulterior instancia. </w:t>
      </w:r>
      <w:r w:rsidR="00A76829">
        <w:rPr>
          <w:bCs/>
        </w:rPr>
        <w:t>Tanto</w:t>
      </w:r>
      <w:r w:rsidR="00E61FEF">
        <w:rPr>
          <w:bCs/>
        </w:rPr>
        <w:t xml:space="preserve"> los errores de percepción </w:t>
      </w:r>
      <w:r w:rsidR="00504640">
        <w:rPr>
          <w:bCs/>
        </w:rPr>
        <w:t xml:space="preserve">(que son aquellos que </w:t>
      </w:r>
      <w:r w:rsidR="00715286">
        <w:rPr>
          <w:bCs/>
        </w:rPr>
        <w:t>aquejan</w:t>
      </w:r>
      <w:r w:rsidR="00504640">
        <w:rPr>
          <w:bCs/>
        </w:rPr>
        <w:t xml:space="preserve"> la valoración de la prueba porque el juez comprendió deficientemente una declaración testimonial</w:t>
      </w:r>
      <w:r w:rsidR="00F4241A">
        <w:rPr>
          <w:bCs/>
        </w:rPr>
        <w:t>,</w:t>
      </w:r>
      <w:r w:rsidR="00504640">
        <w:rPr>
          <w:bCs/>
        </w:rPr>
        <w:t xml:space="preserve"> por ejemplo</w:t>
      </w:r>
      <w:r w:rsidR="00757595">
        <w:rPr>
          <w:bCs/>
        </w:rPr>
        <w:t>)</w:t>
      </w:r>
      <w:r w:rsidR="00F4241A">
        <w:rPr>
          <w:bCs/>
        </w:rPr>
        <w:t>,</w:t>
      </w:r>
      <w:r w:rsidR="00757595">
        <w:rPr>
          <w:bCs/>
        </w:rPr>
        <w:t xml:space="preserve"> como los errores de inferencia (que </w:t>
      </w:r>
      <w:r w:rsidR="00513F53">
        <w:rPr>
          <w:bCs/>
        </w:rPr>
        <w:t xml:space="preserve">no dependen de la percepción sino que son aquellos que </w:t>
      </w:r>
      <w:r w:rsidR="00446EE7">
        <w:rPr>
          <w:bCs/>
        </w:rPr>
        <w:t>afectan</w:t>
      </w:r>
      <w:r w:rsidR="00513F53">
        <w:rPr>
          <w:bCs/>
        </w:rPr>
        <w:t xml:space="preserve"> </w:t>
      </w:r>
      <w:r w:rsidR="00CA0288">
        <w:rPr>
          <w:bCs/>
        </w:rPr>
        <w:t>el razonamiento de lo percibido</w:t>
      </w:r>
      <w:r w:rsidR="002E28E3">
        <w:rPr>
          <w:bCs/>
        </w:rPr>
        <w:t xml:space="preserve"> </w:t>
      </w:r>
      <w:r w:rsidR="00FF488F">
        <w:rPr>
          <w:bCs/>
        </w:rPr>
        <w:t>a las conclusiones probatorias)</w:t>
      </w:r>
      <w:r w:rsidR="00446EE7">
        <w:rPr>
          <w:bCs/>
        </w:rPr>
        <w:t>,</w:t>
      </w:r>
      <w:r w:rsidR="00FF488F">
        <w:rPr>
          <w:bCs/>
        </w:rPr>
        <w:t xml:space="preserve"> pueden ser </w:t>
      </w:r>
      <w:r w:rsidR="00715286">
        <w:rPr>
          <w:bCs/>
        </w:rPr>
        <w:t xml:space="preserve">controlados y corregidos en </w:t>
      </w:r>
      <w:r w:rsidR="00281D6D">
        <w:rPr>
          <w:bCs/>
        </w:rPr>
        <w:t>el grado superior</w:t>
      </w:r>
      <w:r w:rsidR="00715286">
        <w:rPr>
          <w:bCs/>
        </w:rPr>
        <w:t xml:space="preserve">, </w:t>
      </w:r>
      <w:r w:rsidR="00446EE7">
        <w:rPr>
          <w:bCs/>
        </w:rPr>
        <w:t>aun cuando</w:t>
      </w:r>
      <w:r w:rsidR="00532C7E">
        <w:rPr>
          <w:bCs/>
        </w:rPr>
        <w:t>,</w:t>
      </w:r>
      <w:r w:rsidR="00446EE7">
        <w:rPr>
          <w:bCs/>
        </w:rPr>
        <w:t xml:space="preserve"> </w:t>
      </w:r>
      <w:r w:rsidR="00123E4E">
        <w:rPr>
          <w:bCs/>
        </w:rPr>
        <w:t xml:space="preserve">como </w:t>
      </w:r>
      <w:r w:rsidR="00446EE7">
        <w:rPr>
          <w:bCs/>
        </w:rPr>
        <w:t>en el primer caso</w:t>
      </w:r>
      <w:r w:rsidR="00123E4E">
        <w:rPr>
          <w:bCs/>
        </w:rPr>
        <w:t>,</w:t>
      </w:r>
      <w:r w:rsidR="00446EE7">
        <w:rPr>
          <w:bCs/>
        </w:rPr>
        <w:t xml:space="preserve"> </w:t>
      </w:r>
      <w:r w:rsidR="00C4534E">
        <w:rPr>
          <w:bCs/>
        </w:rPr>
        <w:t xml:space="preserve">el </w:t>
      </w:r>
      <w:r w:rsidR="00281D6D">
        <w:rPr>
          <w:bCs/>
        </w:rPr>
        <w:t xml:space="preserve">decisor de ulterior instancia </w:t>
      </w:r>
      <w:r w:rsidR="00C4534E">
        <w:rPr>
          <w:bCs/>
        </w:rPr>
        <w:t xml:space="preserve">no haya participado al momento de la producción misma del medio </w:t>
      </w:r>
      <w:r w:rsidR="00ED5476">
        <w:rPr>
          <w:bCs/>
        </w:rPr>
        <w:t>p</w:t>
      </w:r>
      <w:r w:rsidR="005E157A">
        <w:rPr>
          <w:bCs/>
        </w:rPr>
        <w:t>ero</w:t>
      </w:r>
      <w:r w:rsidR="00ED5476">
        <w:rPr>
          <w:bCs/>
        </w:rPr>
        <w:t xml:space="preserve"> </w:t>
      </w:r>
      <w:r w:rsidR="00532C7E">
        <w:rPr>
          <w:bCs/>
        </w:rPr>
        <w:t xml:space="preserve">la grabación de las audiencias </w:t>
      </w:r>
      <w:r w:rsidR="005E157A">
        <w:rPr>
          <w:bCs/>
        </w:rPr>
        <w:t xml:space="preserve">le </w:t>
      </w:r>
      <w:r w:rsidR="00532C7E">
        <w:rPr>
          <w:bCs/>
        </w:rPr>
        <w:t xml:space="preserve">permite perfectamente </w:t>
      </w:r>
      <w:r w:rsidR="005E157A">
        <w:rPr>
          <w:bCs/>
        </w:rPr>
        <w:t>su</w:t>
      </w:r>
      <w:r w:rsidR="00532C7E">
        <w:rPr>
          <w:bCs/>
        </w:rPr>
        <w:t xml:space="preserve"> revisión</w:t>
      </w:r>
      <w:r w:rsidR="007625FD">
        <w:rPr>
          <w:bCs/>
        </w:rPr>
        <w:t xml:space="preserve"> </w:t>
      </w:r>
      <w:r w:rsidR="00123E4E">
        <w:rPr>
          <w:bCs/>
        </w:rPr>
        <w:t>y</w:t>
      </w:r>
      <w:r w:rsidR="00532C7E">
        <w:rPr>
          <w:bCs/>
        </w:rPr>
        <w:t>,</w:t>
      </w:r>
      <w:r w:rsidR="00123E4E">
        <w:rPr>
          <w:bCs/>
        </w:rPr>
        <w:t xml:space="preserve"> en el segundo caso, </w:t>
      </w:r>
      <w:r w:rsidR="006C72F8">
        <w:rPr>
          <w:bCs/>
        </w:rPr>
        <w:t xml:space="preserve">no resulta necesario </w:t>
      </w:r>
      <w:r w:rsidR="00377CEE" w:rsidRPr="00377CEE">
        <w:rPr>
          <w:rFonts w:hint="cs"/>
          <w:bCs/>
        </w:rPr>
        <w:t xml:space="preserve">haber estado presente en la práctica de la prueba para poder decir que es infundada la inferencia </w:t>
      </w:r>
      <w:r w:rsidR="006C72F8">
        <w:rPr>
          <w:bCs/>
        </w:rPr>
        <w:t xml:space="preserve">efectuada por el juez </w:t>
      </w:r>
      <w:r w:rsidR="006C72F8" w:rsidRPr="006C72F8">
        <w:rPr>
          <w:bCs/>
          <w:i/>
          <w:iCs/>
        </w:rPr>
        <w:t>a quo</w:t>
      </w:r>
      <w:r w:rsidR="006C72F8">
        <w:rPr>
          <w:bCs/>
        </w:rPr>
        <w:t xml:space="preserve"> por no </w:t>
      </w:r>
      <w:r w:rsidR="00FC0E98">
        <w:rPr>
          <w:bCs/>
        </w:rPr>
        <w:t xml:space="preserve">estar soportada </w:t>
      </w:r>
      <w:r w:rsidR="00377CEE" w:rsidRPr="00377CEE">
        <w:rPr>
          <w:rFonts w:hint="cs"/>
          <w:bCs/>
        </w:rPr>
        <w:t xml:space="preserve">por las reglas de la lógica, ni de la ciencia ni de la experiencia. </w:t>
      </w:r>
    </w:p>
    <w:p w14:paraId="370B9B21" w14:textId="570A99DB" w:rsidR="00F74118" w:rsidRDefault="00532C7E" w:rsidP="004C52A0">
      <w:pPr>
        <w:ind w:firstLine="1134"/>
        <w:jc w:val="both"/>
        <w:rPr>
          <w:bCs/>
        </w:rPr>
      </w:pPr>
      <w:r>
        <w:rPr>
          <w:bCs/>
        </w:rPr>
        <w:t xml:space="preserve">Ahora bien, expuestas entonces las inquietudes antes mencionadas, vemos que </w:t>
      </w:r>
      <w:r w:rsidR="00B1300C">
        <w:rPr>
          <w:bCs/>
        </w:rPr>
        <w:t>la inmediación</w:t>
      </w:r>
      <w:r w:rsidR="00281D6D">
        <w:rPr>
          <w:bCs/>
        </w:rPr>
        <w:t>,</w:t>
      </w:r>
      <w:r w:rsidR="00B1300C">
        <w:rPr>
          <w:bCs/>
        </w:rPr>
        <w:t xml:space="preserve"> </w:t>
      </w:r>
      <w:r w:rsidR="008F4043">
        <w:rPr>
          <w:bCs/>
        </w:rPr>
        <w:t xml:space="preserve">a pesar de los problemas que puede aparejar es, sin duda, </w:t>
      </w:r>
      <w:r w:rsidR="00247ED6">
        <w:rPr>
          <w:bCs/>
        </w:rPr>
        <w:t>preferible frente a la mediación, pues será siempre mejor tener al juzgador presente en la práctica de la prueba</w:t>
      </w:r>
      <w:r w:rsidR="00700160">
        <w:rPr>
          <w:bCs/>
        </w:rPr>
        <w:t xml:space="preserve"> que no tenerlo y recordemos que constituye una </w:t>
      </w:r>
      <w:r w:rsidR="00247ED6">
        <w:rPr>
          <w:bCs/>
        </w:rPr>
        <w:t>batalla que nos ha costado mucho lograr y a la que no podemos renunciar tan rápidamente.</w:t>
      </w:r>
    </w:p>
    <w:p w14:paraId="7AC7A7F6" w14:textId="70CCDB9F" w:rsidR="00E81136" w:rsidRPr="006B73BB" w:rsidRDefault="004C52A0" w:rsidP="000E3206">
      <w:pPr>
        <w:pStyle w:val="Prrafodelista"/>
        <w:ind w:left="0" w:firstLine="1080"/>
        <w:jc w:val="both"/>
      </w:pPr>
      <w:r>
        <w:lastRenderedPageBreak/>
        <w:t>Y esto no</w:t>
      </w:r>
      <w:r w:rsidR="00C30123">
        <w:t xml:space="preserve">s introduce en </w:t>
      </w:r>
      <w:r>
        <w:t>el segundo de los problemas que abordaremos en esta charla</w:t>
      </w:r>
      <w:r w:rsidR="00C30123">
        <w:t>,</w:t>
      </w:r>
      <w:r>
        <w:t xml:space="preserve"> en la que trataremos los </w:t>
      </w:r>
      <w:r w:rsidR="002D12C7">
        <w:t xml:space="preserve">peligros </w:t>
      </w:r>
      <w:r w:rsidR="00444875">
        <w:t>a los que la regla de la inmediación se ve enfrentad</w:t>
      </w:r>
      <w:r w:rsidR="00C30123">
        <w:t>a en la actualidad</w:t>
      </w:r>
      <w:r w:rsidR="00444875">
        <w:t>.</w:t>
      </w:r>
    </w:p>
    <w:p w14:paraId="6F6E9BD2" w14:textId="77777777" w:rsidR="00C64601" w:rsidRDefault="00C64601" w:rsidP="00C64601">
      <w:pPr>
        <w:pStyle w:val="Prrafodelista"/>
        <w:ind w:left="0" w:firstLine="1080"/>
        <w:jc w:val="both"/>
      </w:pPr>
    </w:p>
    <w:p w14:paraId="56C7D74B" w14:textId="66EB2B37" w:rsidR="00B64DDA" w:rsidRPr="009A186D" w:rsidRDefault="00AD6FE3" w:rsidP="00AD6FE3">
      <w:pPr>
        <w:tabs>
          <w:tab w:val="left" w:pos="1134"/>
        </w:tabs>
        <w:jc w:val="both"/>
        <w:rPr>
          <w:b/>
          <w:u w:val="single"/>
        </w:rPr>
      </w:pPr>
      <w:r>
        <w:rPr>
          <w:b/>
        </w:rPr>
        <w:t>IV.</w:t>
      </w:r>
      <w:r>
        <w:rPr>
          <w:b/>
        </w:rPr>
        <w:tab/>
      </w:r>
      <w:r w:rsidR="00577562" w:rsidRPr="009A186D">
        <w:rPr>
          <w:b/>
          <w:u w:val="single"/>
        </w:rPr>
        <w:t xml:space="preserve">La regla de la inmediación: consagración normativa y situación post pandemia  </w:t>
      </w:r>
    </w:p>
    <w:p w14:paraId="57943EAF" w14:textId="279655CE" w:rsidR="003D3D22" w:rsidRDefault="00AD6FE3" w:rsidP="00AD6FE3">
      <w:pPr>
        <w:ind w:firstLine="1134"/>
        <w:jc w:val="both"/>
      </w:pPr>
      <w:r>
        <w:t>A</w:t>
      </w:r>
      <w:r w:rsidR="003D3D22">
        <w:t xml:space="preserve"> modo introductorio, podemos decir </w:t>
      </w:r>
      <w:r>
        <w:t>que,</w:t>
      </w:r>
      <w:r w:rsidR="003D3D22">
        <w:t xml:space="preserve"> en el último siglo, es sabido que la sociedad humana ha cambiado más que en cualquier otro momento de su historia, transformando la existencia humana en todos los aspectos, incluyendo, naturalmente y como no podía ser de otra manera, el derecho, la moral y la forma de pensar al individuo. </w:t>
      </w:r>
    </w:p>
    <w:p w14:paraId="48E49942" w14:textId="77777777" w:rsidR="003D3D22" w:rsidRDefault="003D3D22" w:rsidP="003D3D22">
      <w:pPr>
        <w:ind w:firstLine="1134"/>
        <w:jc w:val="both"/>
      </w:pPr>
      <w:r>
        <w:t>De hecho, hay quienes hablan de la cuarta revolución industrial</w:t>
      </w:r>
      <w:r>
        <w:rPr>
          <w:rStyle w:val="Refdenotaalpie"/>
        </w:rPr>
        <w:footnoteReference w:id="13"/>
      </w:r>
      <w:r>
        <w:t xml:space="preserve"> y otros afirman que existe una nueva forma de afrontar la organización social, fenómeno al que BARONA VILAR denomina la </w:t>
      </w:r>
      <w:r w:rsidRPr="003D3D22">
        <w:rPr>
          <w:i/>
          <w:iCs/>
        </w:rPr>
        <w:t>“algoritmización de la vida”</w:t>
      </w:r>
      <w:r>
        <w:rPr>
          <w:rStyle w:val="Refdenotaalpie"/>
        </w:rPr>
        <w:footnoteReference w:id="14"/>
      </w:r>
      <w:r>
        <w:t xml:space="preserve">, en el que los algoritmos pasan a infiltrarse con las nuevas tecnologías, a todas las ramas de la vida y actividad humanas. </w:t>
      </w:r>
    </w:p>
    <w:p w14:paraId="3BEF4D52" w14:textId="4D0B6312" w:rsidR="003D3D22" w:rsidRDefault="003D3D22" w:rsidP="003D3D22">
      <w:pPr>
        <w:ind w:firstLine="1134"/>
        <w:jc w:val="both"/>
      </w:pPr>
      <w:r>
        <w:t>El Derecho y el proceso no pueden escapar a tal revolución en la que el Poder Judicial asiste -a menudo atónito-, a la implementación de herramientas que han sido disruptivas y que a la vez de servir de apoyo en las tan diversas actividades procesales, también amenazan con sustituir la actividad de los jueces, poniendo en jaque la tutela jurisdiccional efectiva entendida como derecho fundamental resultado de la transición de la justicia privada realizada por el propio interesado u ofendido, a una justicia estatizada, cuyo titular pasó a ser el Estado</w:t>
      </w:r>
      <w:r>
        <w:rPr>
          <w:rStyle w:val="Refdenotaalpie"/>
        </w:rPr>
        <w:footnoteReference w:id="15"/>
      </w:r>
      <w:r>
        <w:rPr>
          <w:rStyle w:val="Refdenotaalpie"/>
        </w:rPr>
        <w:footnoteReference w:id="16"/>
      </w:r>
      <w:r>
        <w:t xml:space="preserve">.  </w:t>
      </w:r>
    </w:p>
    <w:p w14:paraId="2C3C18AA" w14:textId="37060D4F" w:rsidR="001E46A3" w:rsidRDefault="005E7FD6" w:rsidP="001E46A3">
      <w:pPr>
        <w:ind w:firstLine="1134"/>
        <w:jc w:val="both"/>
      </w:pPr>
      <w:r>
        <w:lastRenderedPageBreak/>
        <w:t xml:space="preserve">En el Uruguay </w:t>
      </w:r>
      <w:r w:rsidR="005B37AD">
        <w:t xml:space="preserve">la inmediación, </w:t>
      </w:r>
      <w:r>
        <w:t>erigid</w:t>
      </w:r>
      <w:r w:rsidR="005B37AD">
        <w:t>a</w:t>
      </w:r>
      <w:r>
        <w:t xml:space="preserve"> como principio</w:t>
      </w:r>
      <w:r w:rsidR="005B37AD">
        <w:t>,</w:t>
      </w:r>
      <w:r>
        <w:t xml:space="preserve"> está consagrado en e</w:t>
      </w:r>
      <w:r w:rsidR="00086D26">
        <w:t>l art</w:t>
      </w:r>
      <w:r>
        <w:t xml:space="preserve">. 8 del CGP el cual, </w:t>
      </w:r>
      <w:r w:rsidR="00086D26">
        <w:t>bajo el acápite</w:t>
      </w:r>
      <w:r w:rsidR="00086D26" w:rsidRPr="00086D26">
        <w:t xml:space="preserve"> </w:t>
      </w:r>
      <w:r w:rsidR="00086D26" w:rsidRPr="005E7FD6">
        <w:rPr>
          <w:i/>
        </w:rPr>
        <w:t>"Inmediación procesal”</w:t>
      </w:r>
      <w:r>
        <w:t>,</w:t>
      </w:r>
      <w:r w:rsidR="00086D26">
        <w:t xml:space="preserve"> dispone que </w:t>
      </w:r>
      <w:r w:rsidR="00086D26" w:rsidRPr="005E7FD6">
        <w:rPr>
          <w:i/>
        </w:rPr>
        <w:t>“tanto las audiencias como las diligencias de prueba que así lo permitan, deben realizarse por el tribunal, no pudiendo éste delegarlas so pena de nulidad absoluta, salvo cuando la diligencia debe celebrarse en territorio distinto al de su competencia"</w:t>
      </w:r>
      <w:r w:rsidR="00086D26" w:rsidRPr="00086D26">
        <w:t xml:space="preserve">. </w:t>
      </w:r>
    </w:p>
    <w:p w14:paraId="480B21C4" w14:textId="10B3F7C4" w:rsidR="001E46A3" w:rsidRDefault="00673C5A" w:rsidP="001E46A3">
      <w:pPr>
        <w:ind w:firstLine="1134"/>
        <w:jc w:val="both"/>
      </w:pPr>
      <w:r>
        <w:t xml:space="preserve">La disposición implica </w:t>
      </w:r>
      <w:r w:rsidR="00086D26" w:rsidRPr="00086D26">
        <w:t xml:space="preserve">la obligatoria presencia del juez en todas las audiencias sin excepción y diligencias de prueba que </w:t>
      </w:r>
      <w:r w:rsidR="005B37AD" w:rsidRPr="005B37AD">
        <w:rPr>
          <w:i/>
          <w:iCs/>
        </w:rPr>
        <w:t>“</w:t>
      </w:r>
      <w:r w:rsidR="00086D26" w:rsidRPr="005B37AD">
        <w:rPr>
          <w:i/>
          <w:iCs/>
        </w:rPr>
        <w:t>así lo permitan</w:t>
      </w:r>
      <w:r w:rsidR="005B37AD" w:rsidRPr="005B37AD">
        <w:rPr>
          <w:i/>
          <w:iCs/>
        </w:rPr>
        <w:t>”</w:t>
      </w:r>
      <w:r w:rsidR="00086D26" w:rsidRPr="00086D26">
        <w:t>, dándosele a</w:t>
      </w:r>
      <w:r w:rsidR="0093232B">
        <w:t xml:space="preserve"> la regla</w:t>
      </w:r>
      <w:r w:rsidR="00086D26" w:rsidRPr="00086D26">
        <w:t xml:space="preserve"> un amplio alcance ya que no se limita a la recepción de las </w:t>
      </w:r>
      <w:r w:rsidR="005B37AD" w:rsidRPr="00086D26">
        <w:t>pruebas,</w:t>
      </w:r>
      <w:r w:rsidR="00086D26" w:rsidRPr="00086D26">
        <w:t xml:space="preserve"> sino que se extiende a todas las audiencias</w:t>
      </w:r>
      <w:r w:rsidR="0093232B">
        <w:t xml:space="preserve">, disponiendo además que </w:t>
      </w:r>
      <w:r w:rsidR="00CC49F5">
        <w:t xml:space="preserve">no puede delegarlas, </w:t>
      </w:r>
      <w:r w:rsidR="00CA67CD">
        <w:t>salvo</w:t>
      </w:r>
      <w:r w:rsidR="00CA67CD" w:rsidRPr="00086D26">
        <w:t xml:space="preserve"> casos excepcionales</w:t>
      </w:r>
      <w:r w:rsidR="00CA67CD">
        <w:t xml:space="preserve">, </w:t>
      </w:r>
      <w:r w:rsidR="00CC49F5">
        <w:t>so pena de que sean declaradas nula</w:t>
      </w:r>
      <w:r w:rsidR="006C3191">
        <w:t>s.</w:t>
      </w:r>
    </w:p>
    <w:p w14:paraId="4B6F7D73" w14:textId="7553C232" w:rsidR="001E46A3" w:rsidRDefault="005B37AD" w:rsidP="001E46A3">
      <w:pPr>
        <w:ind w:firstLine="1134"/>
        <w:jc w:val="both"/>
      </w:pPr>
      <w:r>
        <w:t xml:space="preserve">Ahora bien, </w:t>
      </w:r>
      <w:r w:rsidR="005E7FD6">
        <w:t>¿</w:t>
      </w:r>
      <w:r>
        <w:t>c</w:t>
      </w:r>
      <w:r w:rsidR="005E7FD6">
        <w:t>uál es la situación de la inmediación luego de la emergencia sanitaria?</w:t>
      </w:r>
      <w:r w:rsidR="006333F6">
        <w:t xml:space="preserve"> </w:t>
      </w:r>
    </w:p>
    <w:p w14:paraId="08AD89E1" w14:textId="7D961233" w:rsidR="000C5B8B" w:rsidRDefault="0095620A" w:rsidP="001E46A3">
      <w:pPr>
        <w:ind w:firstLine="1134"/>
        <w:jc w:val="both"/>
      </w:pPr>
      <w:r>
        <w:t>Desde hace ya varios años</w:t>
      </w:r>
      <w:r w:rsidR="00F150A2">
        <w:t xml:space="preserve">, se viene fantaseando con la posibilidad de celebrar juicios por videoconferencia que sería </w:t>
      </w:r>
      <w:r>
        <w:t>-</w:t>
      </w:r>
      <w:r w:rsidR="00F150A2">
        <w:t>para algunos</w:t>
      </w:r>
      <w:r>
        <w:t>-</w:t>
      </w:r>
      <w:r w:rsidR="00F150A2">
        <w:t xml:space="preserve"> un </w:t>
      </w:r>
      <w:r w:rsidR="001E46A3">
        <w:t>“</w:t>
      </w:r>
      <w:r w:rsidR="00F150A2">
        <w:t>bálsamo de fierabrás</w:t>
      </w:r>
      <w:r w:rsidR="001E46A3">
        <w:t>”</w:t>
      </w:r>
      <w:r w:rsidR="00F150A2">
        <w:t xml:space="preserve"> que resolvería los problemas de acumulación</w:t>
      </w:r>
      <w:r w:rsidR="000C5B8B">
        <w:t xml:space="preserve"> de trabajo de los juzgados y sería más eficiente porque evitaría el desplazamiento de profesionales y personas en general (al menos para los abogados), pues el </w:t>
      </w:r>
      <w:r w:rsidR="004F4D50">
        <w:t xml:space="preserve">juzgador </w:t>
      </w:r>
      <w:r w:rsidR="000C5B8B">
        <w:t>debería trasladarse a la sede del juzgado y lo mismo los testigos y peritos deberían</w:t>
      </w:r>
      <w:r w:rsidR="000548DB">
        <w:t xml:space="preserve"> </w:t>
      </w:r>
      <w:r w:rsidR="000C5B8B">
        <w:t xml:space="preserve">también estar en principio en la sede del tribunal para asegurar garantías de identidad y confidencialidad, entre otros aspectos.  </w:t>
      </w:r>
    </w:p>
    <w:p w14:paraId="2790F96A" w14:textId="36184CB9" w:rsidR="000C5B8B" w:rsidRDefault="000C5B8B" w:rsidP="000C5B8B">
      <w:pPr>
        <w:ind w:firstLine="1134"/>
        <w:jc w:val="both"/>
      </w:pPr>
      <w:r>
        <w:t>Para algunos defensores acérrimos de la práctica de audiencias por videoconferencia, encontramos a quienes incluso, se han pronunciado para que el uso de las TIC</w:t>
      </w:r>
      <w:r w:rsidR="00F337EB">
        <w:t>,</w:t>
      </w:r>
      <w:r>
        <w:t xml:space="preserve"> que se dio de forma excepcional en la situación de emergencia sanitaria </w:t>
      </w:r>
      <w:r w:rsidR="005230CB">
        <w:t>durante</w:t>
      </w:r>
      <w:r w:rsidR="00F337EB">
        <w:t xml:space="preserve"> la pandemia del </w:t>
      </w:r>
      <w:proofErr w:type="spellStart"/>
      <w:r w:rsidR="00F337EB">
        <w:t>Covid</w:t>
      </w:r>
      <w:proofErr w:type="spellEnd"/>
      <w:r w:rsidR="00F337EB">
        <w:t xml:space="preserve"> 19, </w:t>
      </w:r>
      <w:r>
        <w:t xml:space="preserve">se convierta en regla y, </w:t>
      </w:r>
      <w:r w:rsidR="00F337EB">
        <w:t xml:space="preserve">en definitiva, </w:t>
      </w:r>
      <w:r>
        <w:t xml:space="preserve">en un proceder ordinario. </w:t>
      </w:r>
      <w:r w:rsidR="001E46A3">
        <w:t xml:space="preserve"> </w:t>
      </w:r>
    </w:p>
    <w:p w14:paraId="05EDB878" w14:textId="4D614E41" w:rsidR="00EA50DA" w:rsidRDefault="00EC3CA2" w:rsidP="00EA50DA">
      <w:pPr>
        <w:ind w:firstLine="1134"/>
        <w:jc w:val="both"/>
      </w:pPr>
      <w:r>
        <w:t>Por lo demás, existen voces muy acertadas que señalan que la</w:t>
      </w:r>
      <w:r w:rsidR="00EA50DA">
        <w:t xml:space="preserve"> audiencia es</w:t>
      </w:r>
      <w:r w:rsidR="008B227D">
        <w:t>, en rigor de verdad, un acto</w:t>
      </w:r>
      <w:r w:rsidR="00EA50DA">
        <w:t xml:space="preserve"> oral, y </w:t>
      </w:r>
      <w:r w:rsidR="008B227D">
        <w:t xml:space="preserve">es un </w:t>
      </w:r>
      <w:r w:rsidR="00EA50DA">
        <w:t xml:space="preserve">todo, en el que la inmediación, contradicción y publicidad asociadas al acto determinan su esencia y su valor. Se trata de un acto que se celebra en un lugar </w:t>
      </w:r>
      <w:r w:rsidR="008B227D">
        <w:t xml:space="preserve">determinado, </w:t>
      </w:r>
      <w:r w:rsidR="00EA50DA">
        <w:t>que es la sede judicial y de un modo</w:t>
      </w:r>
      <w:r w:rsidR="008B227D">
        <w:t xml:space="preserve"> preciso:</w:t>
      </w:r>
      <w:r w:rsidR="00EA50DA">
        <w:t xml:space="preserve"> mediante la declaración oral y espontánea de l</w:t>
      </w:r>
      <w:r w:rsidR="008B227D">
        <w:t xml:space="preserve">as partes, </w:t>
      </w:r>
      <w:r w:rsidR="00EA50DA">
        <w:t>testigos</w:t>
      </w:r>
      <w:r w:rsidR="008B227D">
        <w:t xml:space="preserve"> y perito. </w:t>
      </w:r>
      <w:r w:rsidR="00EA50DA">
        <w:t>Y ello no puede sustituirse por un agregado de imágenes en directo</w:t>
      </w:r>
      <w:r w:rsidR="004F693F">
        <w:t>,</w:t>
      </w:r>
      <w:r w:rsidR="00EA50DA">
        <w:t xml:space="preserve"> visualizadas por los intervinientes en un escenario que no cumple a cabalidad con las reglas propias del proceso civil. </w:t>
      </w:r>
    </w:p>
    <w:p w14:paraId="4362F684" w14:textId="29DF042E" w:rsidR="00577562" w:rsidRDefault="00577562" w:rsidP="00577562">
      <w:pPr>
        <w:ind w:firstLine="1134"/>
        <w:jc w:val="both"/>
      </w:pPr>
      <w:r>
        <w:t>Pero antes de seguir avanzando, podemos echar un vistazo a la regulación del tema en los distintos ordenamientos jurídicos de Europa y la región latinoamericana</w:t>
      </w:r>
      <w:r w:rsidR="005606B7">
        <w:t xml:space="preserve">, para </w:t>
      </w:r>
      <w:r w:rsidR="00C41A6C">
        <w:t>poder luego de ello</w:t>
      </w:r>
      <w:r w:rsidR="005606B7">
        <w:t xml:space="preserve"> extraer </w:t>
      </w:r>
      <w:r w:rsidR="00773441">
        <w:t xml:space="preserve">algunas </w:t>
      </w:r>
      <w:r w:rsidR="005606B7">
        <w:t>conclusiones</w:t>
      </w:r>
      <w:r>
        <w:t>.</w:t>
      </w:r>
    </w:p>
    <w:p w14:paraId="3FE698D0" w14:textId="7401193F" w:rsidR="00E4148A" w:rsidRDefault="00490C97" w:rsidP="00E4148A">
      <w:pPr>
        <w:ind w:firstLine="1134"/>
        <w:jc w:val="both"/>
        <w:rPr>
          <w:rFonts w:cs="Arial"/>
        </w:rPr>
      </w:pPr>
      <w:r w:rsidRPr="00490C97">
        <w:rPr>
          <w:rFonts w:cs="Arial"/>
        </w:rPr>
        <w:lastRenderedPageBreak/>
        <w:t xml:space="preserve">Si </w:t>
      </w:r>
      <w:r>
        <w:rPr>
          <w:rFonts w:cs="Arial"/>
        </w:rPr>
        <w:t>posamos la mirada en Europa</w:t>
      </w:r>
      <w:r w:rsidR="005E7FD6" w:rsidRPr="00490C97">
        <w:rPr>
          <w:rFonts w:cs="Arial"/>
        </w:rPr>
        <w:t xml:space="preserve">, vemos </w:t>
      </w:r>
      <w:r w:rsidR="00766F8C" w:rsidRPr="00490C97">
        <w:rPr>
          <w:rFonts w:cs="Arial"/>
        </w:rPr>
        <w:t>que,</w:t>
      </w:r>
      <w:r w:rsidR="005E7FD6" w:rsidRPr="00490C97">
        <w:rPr>
          <w:rFonts w:cs="Arial"/>
        </w:rPr>
        <w:t xml:space="preserve"> </w:t>
      </w:r>
      <w:r w:rsidR="00856F1D" w:rsidRPr="00490C97">
        <w:rPr>
          <w:rFonts w:cs="Arial"/>
        </w:rPr>
        <w:t>en relación con</w:t>
      </w:r>
      <w:r w:rsidR="005E7FD6" w:rsidRPr="00490C97">
        <w:rPr>
          <w:rFonts w:cs="Arial"/>
        </w:rPr>
        <w:t xml:space="preserve"> este punto, en algunos países</w:t>
      </w:r>
      <w:r w:rsidR="0016254C">
        <w:rPr>
          <w:rFonts w:cs="Arial"/>
        </w:rPr>
        <w:t>,</w:t>
      </w:r>
      <w:r w:rsidR="005E7FD6" w:rsidRPr="00490C97">
        <w:rPr>
          <w:rFonts w:cs="Arial"/>
        </w:rPr>
        <w:t xml:space="preserve"> se permite la realización de audiencias mediante vid</w:t>
      </w:r>
      <w:r>
        <w:rPr>
          <w:rFonts w:cs="Arial"/>
        </w:rPr>
        <w:t>eoconferencia o teleconferencia</w:t>
      </w:r>
      <w:r w:rsidR="005E7FD6" w:rsidRPr="00490C97">
        <w:rPr>
          <w:rFonts w:cs="Arial"/>
        </w:rPr>
        <w:t>.</w:t>
      </w:r>
    </w:p>
    <w:p w14:paraId="7D8367FB" w14:textId="77777777" w:rsidR="00793D8C" w:rsidRDefault="00E4148A" w:rsidP="00793D8C">
      <w:pPr>
        <w:ind w:firstLine="1134"/>
        <w:jc w:val="both"/>
        <w:rPr>
          <w:rFonts w:cs="Arial"/>
        </w:rPr>
      </w:pPr>
      <w:r w:rsidRPr="00793D8C">
        <w:rPr>
          <w:rFonts w:cs="Arial"/>
        </w:rPr>
        <w:t xml:space="preserve">En </w:t>
      </w:r>
      <w:r w:rsidR="00793D8C" w:rsidRPr="00793D8C">
        <w:rPr>
          <w:rFonts w:cs="Arial"/>
          <w:bCs/>
        </w:rPr>
        <w:t xml:space="preserve">Alemania </w:t>
      </w:r>
      <w:r w:rsidRPr="00793D8C">
        <w:rPr>
          <w:rFonts w:cs="Arial"/>
        </w:rPr>
        <w:t xml:space="preserve">está prevista con gran amplitud desde la reforma que </w:t>
      </w:r>
      <w:r w:rsidR="00793D8C" w:rsidRPr="00793D8C">
        <w:rPr>
          <w:rFonts w:cs="Arial"/>
        </w:rPr>
        <w:t>entró en vigor</w:t>
      </w:r>
      <w:r w:rsidRPr="00793D8C">
        <w:rPr>
          <w:rFonts w:cs="Arial"/>
        </w:rPr>
        <w:t xml:space="preserve"> en el año 2002.  De acuerdo con la nueva normativa, si las partes están de acuerdo</w:t>
      </w:r>
      <w:r w:rsidR="00793D8C">
        <w:rPr>
          <w:rFonts w:cs="Arial"/>
        </w:rPr>
        <w:t>,</w:t>
      </w:r>
      <w:r w:rsidRPr="00793D8C">
        <w:rPr>
          <w:rFonts w:cs="Arial"/>
        </w:rPr>
        <w:t xml:space="preserve"> el tribunal puede autorizar la realización de la audiencia sin la presencia física en sala de las partes siempre que se asegure una adecuada técnica de transmisión de la imagen y una simultánea emisión del sonido. </w:t>
      </w:r>
    </w:p>
    <w:p w14:paraId="39F33B1B" w14:textId="41C23A8C" w:rsidR="00E4148A" w:rsidRPr="00793D8C" w:rsidRDefault="00E4148A" w:rsidP="002E109E">
      <w:pPr>
        <w:ind w:firstLine="1134"/>
        <w:jc w:val="both"/>
        <w:rPr>
          <w:rFonts w:cs="Arial"/>
        </w:rPr>
      </w:pPr>
      <w:r w:rsidRPr="00793D8C">
        <w:rPr>
          <w:rFonts w:cs="Arial"/>
        </w:rPr>
        <w:t xml:space="preserve">En </w:t>
      </w:r>
      <w:r w:rsidR="00793D8C">
        <w:rPr>
          <w:rFonts w:cs="Arial"/>
        </w:rPr>
        <w:t xml:space="preserve">Italia </w:t>
      </w:r>
      <w:r w:rsidR="00793D8C" w:rsidRPr="00793D8C">
        <w:rPr>
          <w:rFonts w:cs="Arial"/>
          <w:bCs/>
        </w:rPr>
        <w:t>no exist</w:t>
      </w:r>
      <w:r w:rsidR="00793D8C">
        <w:rPr>
          <w:rFonts w:cs="Arial"/>
          <w:bCs/>
        </w:rPr>
        <w:t xml:space="preserve">e tal </w:t>
      </w:r>
      <w:r w:rsidRPr="00793D8C">
        <w:rPr>
          <w:rFonts w:cs="Arial"/>
        </w:rPr>
        <w:t>regulación, pero se ha admitido su utilización</w:t>
      </w:r>
      <w:r w:rsidR="002E109E">
        <w:rPr>
          <w:rFonts w:cs="Arial"/>
        </w:rPr>
        <w:t>, mientras que, e</w:t>
      </w:r>
      <w:r w:rsidRPr="00793D8C">
        <w:rPr>
          <w:rFonts w:cs="Arial"/>
        </w:rPr>
        <w:t>n</w:t>
      </w:r>
      <w:r w:rsidR="00793D8C">
        <w:rPr>
          <w:rFonts w:cs="Arial"/>
        </w:rPr>
        <w:t xml:space="preserve"> España</w:t>
      </w:r>
      <w:r w:rsidR="002E109E">
        <w:rPr>
          <w:rFonts w:cs="Arial"/>
        </w:rPr>
        <w:t>,</w:t>
      </w:r>
      <w:r w:rsidR="00793D8C">
        <w:rPr>
          <w:rFonts w:cs="Arial"/>
        </w:rPr>
        <w:t xml:space="preserve"> sí</w:t>
      </w:r>
      <w:r w:rsidRPr="00793D8C">
        <w:rPr>
          <w:rFonts w:cs="Arial"/>
        </w:rPr>
        <w:t xml:space="preserve"> existe regulación específica pero la misma tiene un límite objetivo de aplicación: concretamente, la producción de prueba</w:t>
      </w:r>
      <w:r w:rsidR="00BD27C0">
        <w:rPr>
          <w:rFonts w:cs="Arial"/>
        </w:rPr>
        <w:t>.</w:t>
      </w:r>
    </w:p>
    <w:p w14:paraId="49E8DEA9" w14:textId="77777777" w:rsidR="00856F1D" w:rsidRDefault="00E4148A" w:rsidP="00856F1D">
      <w:pPr>
        <w:tabs>
          <w:tab w:val="left" w:pos="1134"/>
        </w:tabs>
        <w:jc w:val="both"/>
        <w:rPr>
          <w:rFonts w:cs="Arial"/>
        </w:rPr>
      </w:pPr>
      <w:r w:rsidRPr="00793D8C">
        <w:rPr>
          <w:rFonts w:cs="Arial"/>
        </w:rPr>
        <w:tab/>
        <w:t xml:space="preserve">En </w:t>
      </w:r>
      <w:r w:rsidR="00BD27C0">
        <w:rPr>
          <w:rFonts w:cs="Arial"/>
        </w:rPr>
        <w:t xml:space="preserve">Portugal </w:t>
      </w:r>
      <w:r w:rsidR="00BD27C0" w:rsidRPr="00BD27C0">
        <w:rPr>
          <w:rFonts w:cs="Arial"/>
          <w:bCs/>
        </w:rPr>
        <w:t>s</w:t>
      </w:r>
      <w:r w:rsidRPr="00793D8C">
        <w:rPr>
          <w:rFonts w:cs="Arial"/>
        </w:rPr>
        <w:t xml:space="preserve">e preveía ya en el anterior código de proceso civil la utilización de la videoconferencia para la producción de los interrogatorios de testigos y partes, solución que se mantiene en el actual Código del año 2013.  </w:t>
      </w:r>
      <w:r w:rsidRPr="00793D8C">
        <w:rPr>
          <w:rFonts w:cs="Arial"/>
        </w:rPr>
        <w:tab/>
      </w:r>
    </w:p>
    <w:p w14:paraId="43E5AE1E" w14:textId="77777777" w:rsidR="00856F1D" w:rsidRDefault="00856F1D" w:rsidP="00856F1D">
      <w:pPr>
        <w:tabs>
          <w:tab w:val="left" w:pos="1134"/>
        </w:tabs>
        <w:jc w:val="both"/>
        <w:rPr>
          <w:rFonts w:cs="Arial"/>
        </w:rPr>
      </w:pPr>
      <w:r>
        <w:rPr>
          <w:rFonts w:cs="Arial"/>
        </w:rPr>
        <w:tab/>
      </w:r>
      <w:r w:rsidR="00BD27C0">
        <w:rPr>
          <w:rFonts w:cs="Arial"/>
        </w:rPr>
        <w:t xml:space="preserve">Si posamos la mirada en América, vemos que en Argentina no </w:t>
      </w:r>
      <w:r w:rsidR="00E4148A" w:rsidRPr="00793D8C">
        <w:rPr>
          <w:rFonts w:cs="Arial"/>
        </w:rPr>
        <w:t xml:space="preserve">existe una regulación legal específica sobre el punto, pero por </w:t>
      </w:r>
      <w:r w:rsidR="00BD27C0">
        <w:rPr>
          <w:rFonts w:cs="Arial"/>
        </w:rPr>
        <w:t>A</w:t>
      </w:r>
      <w:r w:rsidR="00E4148A" w:rsidRPr="00793D8C">
        <w:rPr>
          <w:rFonts w:cs="Arial"/>
        </w:rPr>
        <w:t>cordada del año 2013 se prevé que cuando una persona se halla fuera de la jurisdicción del tribunal y deba comparecer como imputado, testigo o perito y no sea oportuno o posible que acuda personalmente a la sede del tribunal, éste puede disponer la realización de la audiencia por videoconferencia. Si bien la acordada parece quedar acotada al imputado, perito y testigo, lo cierto es que habilita la comparecencia a la audiencia por esta vía con gran amplitud.</w:t>
      </w:r>
    </w:p>
    <w:p w14:paraId="037980FC" w14:textId="5D5592B5" w:rsidR="00E4148A" w:rsidRPr="00793D8C" w:rsidRDefault="00856F1D" w:rsidP="00856F1D">
      <w:pPr>
        <w:tabs>
          <w:tab w:val="left" w:pos="1134"/>
        </w:tabs>
        <w:jc w:val="both"/>
        <w:rPr>
          <w:rFonts w:cs="Arial"/>
        </w:rPr>
      </w:pPr>
      <w:r>
        <w:rPr>
          <w:rFonts w:cs="Arial"/>
        </w:rPr>
        <w:tab/>
      </w:r>
      <w:r w:rsidR="00E4148A" w:rsidRPr="00793D8C">
        <w:rPr>
          <w:rFonts w:cs="Arial"/>
        </w:rPr>
        <w:t xml:space="preserve">En </w:t>
      </w:r>
      <w:r w:rsidR="00B51D12">
        <w:rPr>
          <w:rFonts w:cs="Arial"/>
        </w:rPr>
        <w:t xml:space="preserve">Brasil, </w:t>
      </w:r>
      <w:r w:rsidR="00E4148A" w:rsidRPr="00793D8C">
        <w:rPr>
          <w:rFonts w:cs="Arial"/>
        </w:rPr>
        <w:t>el Código de 2015</w:t>
      </w:r>
      <w:r w:rsidR="00B51D12">
        <w:rPr>
          <w:rFonts w:cs="Arial"/>
        </w:rPr>
        <w:t>,</w:t>
      </w:r>
      <w:r w:rsidR="00E4148A" w:rsidRPr="00793D8C">
        <w:rPr>
          <w:rFonts w:cs="Arial"/>
        </w:rPr>
        <w:t xml:space="preserve"> habilita la realización de los actos procesales mediante videoconferencia u otro recurso tecnológico de transmisión de sonidos e imágenes en tiempo real. Es una formula especialmente amplia porque no se limita a la realización de la audiencia por videoconferencia sino también por cualquier otro recurso tecnológico que permita la transmisión audiovisual en tiempo real</w:t>
      </w:r>
      <w:r w:rsidR="00B51D12">
        <w:rPr>
          <w:rFonts w:cs="Arial"/>
        </w:rPr>
        <w:t>.</w:t>
      </w:r>
    </w:p>
    <w:p w14:paraId="4841D6ED" w14:textId="3686A79E" w:rsidR="00E4148A" w:rsidRPr="00793D8C" w:rsidRDefault="00E4148A" w:rsidP="00E4148A">
      <w:pPr>
        <w:ind w:firstLine="1134"/>
        <w:jc w:val="both"/>
        <w:rPr>
          <w:rFonts w:cs="Arial"/>
        </w:rPr>
      </w:pPr>
      <w:r w:rsidRPr="00793D8C">
        <w:rPr>
          <w:rFonts w:cs="Arial"/>
        </w:rPr>
        <w:t xml:space="preserve">En </w:t>
      </w:r>
      <w:r w:rsidR="00B51D12">
        <w:rPr>
          <w:rFonts w:cs="Arial"/>
        </w:rPr>
        <w:t xml:space="preserve">Costa Rica, </w:t>
      </w:r>
      <w:r w:rsidRPr="00793D8C">
        <w:rPr>
          <w:rFonts w:cs="Arial"/>
        </w:rPr>
        <w:t xml:space="preserve">el Código procesal civil admite en general la actuación procesal por medios tecnológicos lo cual es normativamente suficiente como para poder utilizar medios tecnológicos para realizar una audiencia a distancia.  </w:t>
      </w:r>
    </w:p>
    <w:p w14:paraId="12F76343" w14:textId="79197CEC" w:rsidR="00296EBB" w:rsidRDefault="005E0887" w:rsidP="009E6700">
      <w:pPr>
        <w:ind w:firstLine="1134"/>
        <w:jc w:val="both"/>
        <w:rPr>
          <w:rFonts w:cs="Arial"/>
        </w:rPr>
      </w:pPr>
      <w:r>
        <w:rPr>
          <w:rFonts w:cs="Arial"/>
        </w:rPr>
        <w:t>Finalmente, en el Uruguay</w:t>
      </w:r>
      <w:r w:rsidR="00DF3A78">
        <w:rPr>
          <w:rFonts w:cs="Arial"/>
        </w:rPr>
        <w:t>,</w:t>
      </w:r>
      <w:r>
        <w:rPr>
          <w:rFonts w:cs="Arial"/>
        </w:rPr>
        <w:t xml:space="preserve"> </w:t>
      </w:r>
      <w:r w:rsidR="005E7FD6" w:rsidRPr="00C70DE7">
        <w:rPr>
          <w:rFonts w:cs="Arial"/>
        </w:rPr>
        <w:t xml:space="preserve">no existen normas legales que permitan la realización de audiencias por videoconferencias, no obstante, una interpretación evolutiva de los textos legales </w:t>
      </w:r>
      <w:r w:rsidR="00FF3E95">
        <w:rPr>
          <w:rFonts w:cs="Arial"/>
        </w:rPr>
        <w:t xml:space="preserve">habilita tal solución, </w:t>
      </w:r>
      <w:r w:rsidR="00A62A29">
        <w:rPr>
          <w:rFonts w:cs="Arial"/>
        </w:rPr>
        <w:t>entendiéndose que hoy en día sería</w:t>
      </w:r>
      <w:r w:rsidR="00A62A29" w:rsidRPr="00C70DE7">
        <w:rPr>
          <w:rFonts w:cs="Arial"/>
        </w:rPr>
        <w:t xml:space="preserve"> posible comparecer a cualquier audiencia del p</w:t>
      </w:r>
      <w:r w:rsidR="00A62A29">
        <w:rPr>
          <w:rFonts w:cs="Arial"/>
        </w:rPr>
        <w:t>roceso por videoconferencia, incluso</w:t>
      </w:r>
      <w:r w:rsidR="00A62A29" w:rsidRPr="00C70DE7">
        <w:rPr>
          <w:rFonts w:cs="Arial"/>
        </w:rPr>
        <w:t xml:space="preserve"> aquellas que </w:t>
      </w:r>
      <w:r w:rsidR="00A62A29">
        <w:rPr>
          <w:rFonts w:cs="Arial"/>
        </w:rPr>
        <w:t xml:space="preserve">exigieran </w:t>
      </w:r>
      <w:r w:rsidR="00A62A29" w:rsidRPr="00490C97">
        <w:rPr>
          <w:rFonts w:cs="Arial"/>
        </w:rPr>
        <w:t xml:space="preserve">asistencia personal de las personas físicas (por ej. </w:t>
      </w:r>
      <w:r w:rsidR="00A62A29" w:rsidRPr="00490C97">
        <w:rPr>
          <w:rFonts w:cs="Arial"/>
        </w:rPr>
        <w:lastRenderedPageBreak/>
        <w:t>la audiencia preliminar)</w:t>
      </w:r>
      <w:r w:rsidR="004A1197">
        <w:rPr>
          <w:rStyle w:val="Refdenotaalpie"/>
          <w:rFonts w:cs="Arial"/>
        </w:rPr>
        <w:footnoteReference w:id="17"/>
      </w:r>
      <w:r w:rsidR="009E6700">
        <w:rPr>
          <w:rFonts w:cs="Arial"/>
        </w:rPr>
        <w:t xml:space="preserve">. </w:t>
      </w:r>
      <w:r w:rsidR="00497422">
        <w:rPr>
          <w:rFonts w:cs="Arial"/>
        </w:rPr>
        <w:t>En tal sentido, l</w:t>
      </w:r>
      <w:r w:rsidR="009E6700">
        <w:rPr>
          <w:rFonts w:cs="Arial"/>
        </w:rPr>
        <w:t>a S</w:t>
      </w:r>
      <w:r w:rsidR="00E85F01">
        <w:rPr>
          <w:rFonts w:cs="Arial"/>
        </w:rPr>
        <w:t xml:space="preserve">uprema </w:t>
      </w:r>
      <w:r w:rsidR="009E6700">
        <w:rPr>
          <w:rFonts w:cs="Arial"/>
        </w:rPr>
        <w:t>C</w:t>
      </w:r>
      <w:r w:rsidR="00E85F01">
        <w:rPr>
          <w:rFonts w:cs="Arial"/>
        </w:rPr>
        <w:t xml:space="preserve">orte de </w:t>
      </w:r>
      <w:r w:rsidR="009E6700">
        <w:rPr>
          <w:rFonts w:cs="Arial"/>
        </w:rPr>
        <w:t>J</w:t>
      </w:r>
      <w:r w:rsidR="00E85F01">
        <w:rPr>
          <w:rFonts w:cs="Arial"/>
        </w:rPr>
        <w:t>usticia</w:t>
      </w:r>
      <w:r w:rsidR="00423B1F">
        <w:rPr>
          <w:rStyle w:val="Refdenotaalpie"/>
          <w:rFonts w:cs="Arial"/>
        </w:rPr>
        <w:footnoteReference w:id="18"/>
      </w:r>
      <w:r w:rsidR="009E6700">
        <w:rPr>
          <w:rFonts w:cs="Arial"/>
        </w:rPr>
        <w:t xml:space="preserve"> </w:t>
      </w:r>
      <w:r w:rsidR="002750CF">
        <w:rPr>
          <w:rFonts w:cs="Arial"/>
        </w:rPr>
        <w:t>en dos Acordadas</w:t>
      </w:r>
      <w:r w:rsidR="003440E3">
        <w:rPr>
          <w:rFonts w:cs="Arial"/>
        </w:rPr>
        <w:t>,</w:t>
      </w:r>
      <w:r w:rsidR="002750CF">
        <w:rPr>
          <w:rFonts w:cs="Arial"/>
        </w:rPr>
        <w:t xml:space="preserve"> </w:t>
      </w:r>
      <w:r w:rsidR="009E6700">
        <w:rPr>
          <w:rFonts w:cs="Arial"/>
        </w:rPr>
        <w:t xml:space="preserve">ha definido </w:t>
      </w:r>
      <w:r w:rsidR="00296EBB">
        <w:rPr>
          <w:rFonts w:cs="Arial"/>
        </w:rPr>
        <w:t xml:space="preserve">a la </w:t>
      </w:r>
      <w:r w:rsidR="009E6700">
        <w:rPr>
          <w:rFonts w:cs="Arial"/>
        </w:rPr>
        <w:t xml:space="preserve">videoconferencia </w:t>
      </w:r>
      <w:r w:rsidR="00423B1F">
        <w:rPr>
          <w:rFonts w:cs="Arial"/>
        </w:rPr>
        <w:t xml:space="preserve">como aquel </w:t>
      </w:r>
      <w:r w:rsidR="00296EBB" w:rsidRPr="00C70DE7">
        <w:rPr>
          <w:rFonts w:cs="Arial"/>
        </w:rPr>
        <w:t>sistema interactivo de comunicación que trasmite</w:t>
      </w:r>
      <w:r w:rsidR="009639E4">
        <w:rPr>
          <w:rFonts w:cs="Arial"/>
        </w:rPr>
        <w:t>,</w:t>
      </w:r>
      <w:r w:rsidR="00296EBB" w:rsidRPr="00C70DE7">
        <w:rPr>
          <w:rFonts w:cs="Arial"/>
        </w:rPr>
        <w:t xml:space="preserve"> de forma </w:t>
      </w:r>
      <w:r w:rsidR="00296EBB" w:rsidRPr="00C70DE7">
        <w:rPr>
          <w:rFonts w:cs="Arial"/>
          <w:color w:val="000000" w:themeColor="text1"/>
        </w:rPr>
        <w:t>simultánea y en tiempo real,</w:t>
      </w:r>
      <w:r w:rsidR="00296EBB" w:rsidRPr="00C70DE7">
        <w:rPr>
          <w:rFonts w:cs="Arial"/>
        </w:rPr>
        <w:t xml:space="preserve"> </w:t>
      </w:r>
      <w:r w:rsidR="00296EBB">
        <w:rPr>
          <w:rFonts w:cs="Arial"/>
        </w:rPr>
        <w:t xml:space="preserve">imagen, sonido y datos a distancia, </w:t>
      </w:r>
      <w:r w:rsidR="00296EBB" w:rsidRPr="00C70DE7">
        <w:rPr>
          <w:rFonts w:cs="Arial"/>
        </w:rPr>
        <w:t>de una o más personas que presten declaración en un lugar distinto del tribunal competente</w:t>
      </w:r>
      <w:r w:rsidR="00296EBB">
        <w:rPr>
          <w:rFonts w:cs="Arial"/>
        </w:rPr>
        <w:t xml:space="preserve">, regulando </w:t>
      </w:r>
      <w:r w:rsidR="00296EBB" w:rsidRPr="00C70DE7">
        <w:rPr>
          <w:rFonts w:cs="Arial"/>
        </w:rPr>
        <w:t>el servicio “oficial” de la videoconferencia.</w:t>
      </w:r>
    </w:p>
    <w:p w14:paraId="3906D479" w14:textId="6568554B" w:rsidR="00C266AF" w:rsidRDefault="00CC3B0F" w:rsidP="0005367C">
      <w:pPr>
        <w:ind w:firstLine="1134"/>
        <w:jc w:val="both"/>
        <w:rPr>
          <w:rFonts w:cs="Arial"/>
        </w:rPr>
      </w:pPr>
      <w:r>
        <w:rPr>
          <w:rFonts w:cs="Arial"/>
        </w:rPr>
        <w:t>A la luz de lo anterior</w:t>
      </w:r>
      <w:r w:rsidR="00B46688">
        <w:rPr>
          <w:rFonts w:cs="Arial"/>
        </w:rPr>
        <w:t xml:space="preserve"> y </w:t>
      </w:r>
      <w:r w:rsidR="00A66B9F">
        <w:rPr>
          <w:rFonts w:cs="Arial"/>
        </w:rPr>
        <w:t xml:space="preserve">más allá de haber constituido </w:t>
      </w:r>
      <w:r w:rsidR="0005367C">
        <w:rPr>
          <w:rFonts w:cs="Arial"/>
        </w:rPr>
        <w:t xml:space="preserve">durante la emergencia sanitaria </w:t>
      </w:r>
      <w:r w:rsidR="00A66B9F">
        <w:rPr>
          <w:rFonts w:cs="Arial"/>
        </w:rPr>
        <w:t xml:space="preserve">una solución </w:t>
      </w:r>
      <w:r w:rsidR="0005367C">
        <w:t xml:space="preserve">razonable para evitar la paralización total del servicio de justicia, </w:t>
      </w:r>
      <w:r>
        <w:rPr>
          <w:rFonts w:cs="Arial"/>
        </w:rPr>
        <w:t xml:space="preserve">podemos preguntarnos </w:t>
      </w:r>
      <w:r w:rsidR="0005367C">
        <w:rPr>
          <w:rFonts w:cs="Arial"/>
        </w:rPr>
        <w:t xml:space="preserve">en la actualidad, sobre </w:t>
      </w:r>
      <w:r>
        <w:rPr>
          <w:rFonts w:cs="Arial"/>
        </w:rPr>
        <w:t>cuáles</w:t>
      </w:r>
      <w:r w:rsidR="00B46688">
        <w:rPr>
          <w:rFonts w:cs="Arial"/>
        </w:rPr>
        <w:t xml:space="preserve"> son</w:t>
      </w:r>
      <w:r>
        <w:rPr>
          <w:rFonts w:cs="Arial"/>
        </w:rPr>
        <w:t xml:space="preserve"> las objeciones</w:t>
      </w:r>
      <w:r w:rsidR="000D0855">
        <w:rPr>
          <w:rFonts w:cs="Arial"/>
        </w:rPr>
        <w:t>,</w:t>
      </w:r>
      <w:r>
        <w:rPr>
          <w:rFonts w:cs="Arial"/>
        </w:rPr>
        <w:t xml:space="preserve"> </w:t>
      </w:r>
      <w:r w:rsidR="000D0855">
        <w:rPr>
          <w:rFonts w:cs="Arial"/>
        </w:rPr>
        <w:t xml:space="preserve">si es que las hay, </w:t>
      </w:r>
      <w:r w:rsidR="00290BD0">
        <w:rPr>
          <w:rFonts w:cs="Arial"/>
        </w:rPr>
        <w:t>que puede plantear la realización de l</w:t>
      </w:r>
      <w:r>
        <w:rPr>
          <w:rFonts w:cs="Arial"/>
        </w:rPr>
        <w:t>as audiencias virtuales</w:t>
      </w:r>
      <w:r w:rsidR="00B46688">
        <w:rPr>
          <w:rFonts w:cs="Arial"/>
        </w:rPr>
        <w:t xml:space="preserve">, </w:t>
      </w:r>
      <w:r w:rsidR="000D0855">
        <w:rPr>
          <w:rFonts w:cs="Arial"/>
        </w:rPr>
        <w:t xml:space="preserve">todo </w:t>
      </w:r>
      <w:r w:rsidR="00B46688">
        <w:rPr>
          <w:rFonts w:cs="Arial"/>
        </w:rPr>
        <w:t xml:space="preserve">lo cual </w:t>
      </w:r>
      <w:r>
        <w:rPr>
          <w:rFonts w:cs="Arial"/>
        </w:rPr>
        <w:t xml:space="preserve">nos abre </w:t>
      </w:r>
      <w:r w:rsidR="001A1C1D">
        <w:rPr>
          <w:rFonts w:cs="Arial"/>
        </w:rPr>
        <w:t xml:space="preserve">paso a la última parte de esta charla. </w:t>
      </w:r>
    </w:p>
    <w:p w14:paraId="6400F57E" w14:textId="35CF1C75" w:rsidR="00053B3E" w:rsidRPr="009A186D" w:rsidRDefault="00585CAB" w:rsidP="00053B3E">
      <w:pPr>
        <w:tabs>
          <w:tab w:val="left" w:pos="1134"/>
        </w:tabs>
        <w:jc w:val="both"/>
        <w:rPr>
          <w:b/>
          <w:u w:val="single"/>
        </w:rPr>
      </w:pPr>
      <w:r w:rsidRPr="00585CAB">
        <w:rPr>
          <w:b/>
        </w:rPr>
        <w:t>V.</w:t>
      </w:r>
      <w:r>
        <w:rPr>
          <w:b/>
        </w:rPr>
        <w:tab/>
      </w:r>
      <w:r w:rsidRPr="009A186D">
        <w:rPr>
          <w:b/>
          <w:u w:val="single"/>
        </w:rPr>
        <w:t xml:space="preserve">Las </w:t>
      </w:r>
      <w:r w:rsidR="00053B3E" w:rsidRPr="009A186D">
        <w:rPr>
          <w:b/>
          <w:u w:val="single"/>
        </w:rPr>
        <w:t>audiencias virtuales</w:t>
      </w:r>
      <w:r w:rsidR="00F26E85" w:rsidRPr="009A186D">
        <w:rPr>
          <w:b/>
          <w:u w:val="single"/>
        </w:rPr>
        <w:t>: ¿se cumple con la regla de la inmediación?</w:t>
      </w:r>
    </w:p>
    <w:p w14:paraId="6D03A0E1" w14:textId="72A4CB89" w:rsidR="00053B3E" w:rsidRDefault="00053B3E" w:rsidP="002E473A">
      <w:pPr>
        <w:tabs>
          <w:tab w:val="left" w:pos="1134"/>
        </w:tabs>
        <w:jc w:val="both"/>
      </w:pPr>
      <w:r>
        <w:rPr>
          <w:b/>
        </w:rPr>
        <w:tab/>
      </w:r>
      <w:r w:rsidR="002036A3" w:rsidRPr="00053B3E">
        <w:t>En</w:t>
      </w:r>
      <w:r w:rsidR="002036A3">
        <w:t xml:space="preserve"> relación con</w:t>
      </w:r>
      <w:r w:rsidR="00540080">
        <w:t xml:space="preserve"> la impl</w:t>
      </w:r>
      <w:r w:rsidR="00F26E85">
        <w:t xml:space="preserve">ementación </w:t>
      </w:r>
      <w:r w:rsidR="00540080">
        <w:t>de las audiencias virtuales advertimos que, por un lado, existe un “optimismo desbordante” que vemos</w:t>
      </w:r>
      <w:r w:rsidR="00667136">
        <w:t>,</w:t>
      </w:r>
      <w:r w:rsidR="00540080">
        <w:t xml:space="preserve"> por </w:t>
      </w:r>
      <w:r w:rsidR="00D60350">
        <w:t>ejemplo,</w:t>
      </w:r>
      <w:r w:rsidR="00540080">
        <w:t xml:space="preserve"> en España, </w:t>
      </w:r>
      <w:r w:rsidR="002036A3">
        <w:t>con gran parte de la doctrina y de</w:t>
      </w:r>
      <w:r>
        <w:t xml:space="preserve"> </w:t>
      </w:r>
      <w:r w:rsidR="001D52BA">
        <w:t xml:space="preserve">la </w:t>
      </w:r>
      <w:r>
        <w:t>jurisprudencia del Tribunal Supremo</w:t>
      </w:r>
      <w:r w:rsidR="0011499B">
        <w:t>,</w:t>
      </w:r>
      <w:r w:rsidR="002036A3">
        <w:t xml:space="preserve"> </w:t>
      </w:r>
      <w:r w:rsidR="00D470E9">
        <w:t xml:space="preserve">que </w:t>
      </w:r>
      <w:r w:rsidR="002036A3">
        <w:t xml:space="preserve">se </w:t>
      </w:r>
      <w:r>
        <w:t>muestran favorables a la plena impl</w:t>
      </w:r>
      <w:r w:rsidR="0011499B">
        <w:t xml:space="preserve">ementación </w:t>
      </w:r>
      <w:r>
        <w:t xml:space="preserve">de los procesos </w:t>
      </w:r>
      <w:proofErr w:type="spellStart"/>
      <w:r w:rsidRPr="00053B3E">
        <w:rPr>
          <w:i/>
        </w:rPr>
        <w:t>on</w:t>
      </w:r>
      <w:proofErr w:type="spellEnd"/>
      <w:r w:rsidRPr="00053B3E">
        <w:rPr>
          <w:i/>
        </w:rPr>
        <w:t xml:space="preserve"> line</w:t>
      </w:r>
      <w:r w:rsidR="0011499B">
        <w:t xml:space="preserve">, </w:t>
      </w:r>
      <w:r w:rsidR="00D60350">
        <w:t xml:space="preserve">destacándole </w:t>
      </w:r>
      <w:r w:rsidR="0011499B">
        <w:t>innumerables</w:t>
      </w:r>
      <w:r>
        <w:t xml:space="preserve"> ventajas</w:t>
      </w:r>
      <w:r w:rsidR="00D470E9">
        <w:t xml:space="preserve">, mientras </w:t>
      </w:r>
      <w:r w:rsidR="00281D6D">
        <w:t>que,</w:t>
      </w:r>
      <w:r w:rsidR="00D470E9">
        <w:t xml:space="preserve"> </w:t>
      </w:r>
      <w:r w:rsidR="00D60350">
        <w:t xml:space="preserve">por el contrario, </w:t>
      </w:r>
      <w:r w:rsidR="002E473A">
        <w:t xml:space="preserve">la </w:t>
      </w:r>
      <w:r>
        <w:t xml:space="preserve">experiencia americana </w:t>
      </w:r>
      <w:r w:rsidR="00D60350">
        <w:t xml:space="preserve">no </w:t>
      </w:r>
      <w:r>
        <w:t xml:space="preserve">aporta resultados </w:t>
      </w:r>
      <w:r w:rsidR="00D60350">
        <w:t>demasiado</w:t>
      </w:r>
      <w:r>
        <w:t xml:space="preserve"> halagüeños.</w:t>
      </w:r>
    </w:p>
    <w:p w14:paraId="21D2FC2E" w14:textId="61C73ADB" w:rsidR="008E3DD1" w:rsidRDefault="00053B3E" w:rsidP="00053B3E">
      <w:pPr>
        <w:tabs>
          <w:tab w:val="left" w:pos="1134"/>
        </w:tabs>
        <w:jc w:val="both"/>
      </w:pPr>
      <w:r>
        <w:tab/>
        <w:t>En e</w:t>
      </w:r>
      <w:r w:rsidR="00D60350">
        <w:t>ste último sentido,</w:t>
      </w:r>
      <w:r>
        <w:t xml:space="preserve"> de acuerdo con un estudio publicado por la Stanford </w:t>
      </w:r>
      <w:proofErr w:type="spellStart"/>
      <w:r>
        <w:t>Law</w:t>
      </w:r>
      <w:proofErr w:type="spellEnd"/>
      <w:r>
        <w:t xml:space="preserve"> </w:t>
      </w:r>
      <w:proofErr w:type="spellStart"/>
      <w:r>
        <w:t>School</w:t>
      </w:r>
      <w:proofErr w:type="spellEnd"/>
      <w:r>
        <w:t>, sobre justicia virtual</w:t>
      </w:r>
      <w:r>
        <w:rPr>
          <w:rStyle w:val="Refdenotaalpie"/>
        </w:rPr>
        <w:footnoteReference w:id="19"/>
      </w:r>
      <w:r>
        <w:t xml:space="preserve"> </w:t>
      </w:r>
      <w:r w:rsidR="00D461A9">
        <w:t xml:space="preserve">en agosto de 2021, </w:t>
      </w:r>
      <w:r w:rsidR="008E3DD1">
        <w:t>en el que se entrevistaron abogados defensores penales, jueces, fiscales y personal judicial en tres jurisdicciones</w:t>
      </w:r>
      <w:r w:rsidR="00D00DD8">
        <w:rPr>
          <w:rStyle w:val="Refdenotaalpie"/>
        </w:rPr>
        <w:footnoteReference w:id="20"/>
      </w:r>
      <w:r w:rsidR="00D00DD8">
        <w:t>,</w:t>
      </w:r>
      <w:r w:rsidR="008E3DD1">
        <w:t xml:space="preserve"> </w:t>
      </w:r>
      <w:r w:rsidR="00D461A9">
        <w:t>los 2/3 de los consultados estuvieron de acuerdo en que el cambio a lo virtual de los procedimientos dañan la comunicación con el cliente, indicando</w:t>
      </w:r>
      <w:r w:rsidR="008E3DD1">
        <w:t>,</w:t>
      </w:r>
      <w:r w:rsidR="00D461A9">
        <w:t xml:space="preserve"> la gran mayoría de ellos, que el cambio a los procedimientos virtuales </w:t>
      </w:r>
      <w:r w:rsidR="00D461A9">
        <w:lastRenderedPageBreak/>
        <w:t>inhibió su capacidad para entablar conversaciones confidenciales con sus clientes</w:t>
      </w:r>
      <w:r w:rsidR="008E3DD1">
        <w:t xml:space="preserve">, además de haberse comprometido el acceso a la justicia, en particular, a los ciudadanos con problemas de acceso a las nuevas tecnologías por motivos generacionales, de población con baja conectividad a internet, económicos, entre otros. </w:t>
      </w:r>
    </w:p>
    <w:p w14:paraId="2ADB653A" w14:textId="77777777" w:rsidR="004E1654" w:rsidRDefault="008E3DD1" w:rsidP="004E1654">
      <w:pPr>
        <w:tabs>
          <w:tab w:val="left" w:pos="1134"/>
        </w:tabs>
        <w:jc w:val="both"/>
      </w:pPr>
      <w:r>
        <w:tab/>
        <w:t xml:space="preserve">En definitiva, los encuestados concluyeron que </w:t>
      </w:r>
      <w:r w:rsidR="0058346F">
        <w:t>se ha deshumanizado l</w:t>
      </w:r>
      <w:r>
        <w:t>a justicia</w:t>
      </w:r>
      <w:r w:rsidR="00A449FE">
        <w:t xml:space="preserve"> pues el justiciable deja de tener acceso directo al juez que es quien</w:t>
      </w:r>
      <w:r w:rsidR="00173F97">
        <w:t>,</w:t>
      </w:r>
      <w:r w:rsidR="00A449FE">
        <w:t xml:space="preserve"> en definitiva, resolverá su problema jurídico, enervándose la escucha cercana, similar a</w:t>
      </w:r>
      <w:r w:rsidR="00DA488D">
        <w:t xml:space="preserve"> </w:t>
      </w:r>
      <w:r w:rsidR="00A449FE">
        <w:t>l</w:t>
      </w:r>
      <w:r w:rsidR="00DA488D">
        <w:t>a</w:t>
      </w:r>
      <w:r w:rsidR="00A449FE">
        <w:t xml:space="preserve"> que tiene el médico con su paciente o el profesor con su alumno. Asimismo, destacan la </w:t>
      </w:r>
      <w:r w:rsidR="0058346F">
        <w:t xml:space="preserve">pérdida de datos intangibles que </w:t>
      </w:r>
      <w:r w:rsidR="00A449FE">
        <w:t>no deberían perderse</w:t>
      </w:r>
      <w:r w:rsidR="0058346F">
        <w:t xml:space="preserve">, </w:t>
      </w:r>
      <w:r w:rsidR="0098002C">
        <w:t xml:space="preserve">como lo son </w:t>
      </w:r>
      <w:r w:rsidR="0058346F">
        <w:t>la eliminación de las señales no verbales</w:t>
      </w:r>
      <w:r w:rsidR="007A1942">
        <w:t xml:space="preserve"> y </w:t>
      </w:r>
      <w:r w:rsidR="0058346F">
        <w:t xml:space="preserve">la reducción de las señales físicas de percepción directa de la persona que declara judicialmente. </w:t>
      </w:r>
      <w:r w:rsidR="00AD5B76">
        <w:t>A</w:t>
      </w:r>
      <w:r w:rsidR="0098002C">
        <w:t>demás</w:t>
      </w:r>
      <w:r w:rsidR="00AD5B76">
        <w:t>, l</w:t>
      </w:r>
      <w:r w:rsidR="00FB6DF2">
        <w:t>a colocación y ángulo de visión de una cámara, la intensidad de colores de la pantalla del ordenador a través de la cual se visualiza la declaración de la persona interrogada, el volumen de la voz, son elementos externos a la propia declaración de la persona que condiciona su percepción y valoración judicial. A ello se le ad</w:t>
      </w:r>
      <w:r w:rsidR="009C7D7A">
        <w:t>i</w:t>
      </w:r>
      <w:r w:rsidR="00FB6DF2">
        <w:t>ciona naturalmente las dificultades o p</w:t>
      </w:r>
      <w:r w:rsidR="00AD5B76">
        <w:t>é</w:t>
      </w:r>
      <w:r w:rsidR="00FB6DF2">
        <w:t xml:space="preserve">rdidas de conectividad de internet con paralizaciones de imágenes, o interferencias que dificultan la comunicación y percepción. </w:t>
      </w:r>
    </w:p>
    <w:p w14:paraId="47E06ABC" w14:textId="7709BCBC" w:rsidR="0061654F" w:rsidRDefault="004E1654" w:rsidP="0061654F">
      <w:pPr>
        <w:tabs>
          <w:tab w:val="left" w:pos="1134"/>
        </w:tabs>
        <w:jc w:val="both"/>
      </w:pPr>
      <w:r>
        <w:tab/>
        <w:t>Sobre el particular entiendo que, s</w:t>
      </w:r>
      <w:r w:rsidR="00C04BD9">
        <w:t>i bien durante la emergencia sanitaria la utilización de la videoconferencia para la realización de las audiencias ofreció una solución razonable para evitar la paralización total del servicio de justicia, corresponde</w:t>
      </w:r>
      <w:r w:rsidR="0052130B">
        <w:t xml:space="preserve"> a la hora actual</w:t>
      </w:r>
      <w:r w:rsidR="00C04BD9">
        <w:t xml:space="preserve"> ser cautos a la hora de admitirla</w:t>
      </w:r>
      <w:r w:rsidR="0052130B">
        <w:t xml:space="preserve"> así,</w:t>
      </w:r>
      <w:r w:rsidR="00C04BD9">
        <w:t xml:space="preserve"> sin más, </w:t>
      </w:r>
      <w:r w:rsidR="0052130B">
        <w:t xml:space="preserve">pues </w:t>
      </w:r>
      <w:r w:rsidR="00C04BD9">
        <w:t>comienza a tallar la debida defensa</w:t>
      </w:r>
      <w:r w:rsidR="0052130B">
        <w:t xml:space="preserve"> que no puede ni debe ser horadada en aras de pretender convertir a los procesos en más ágiles</w:t>
      </w:r>
      <w:r w:rsidR="00281D6D">
        <w:t xml:space="preserve"> y</w:t>
      </w:r>
      <w:r w:rsidR="0052130B">
        <w:t xml:space="preserve"> cómodos</w:t>
      </w:r>
      <w:r w:rsidR="00281D6D">
        <w:t xml:space="preserve">, a la vez de mejorar el colapso </w:t>
      </w:r>
      <w:r w:rsidR="008A7986">
        <w:t xml:space="preserve">en </w:t>
      </w:r>
      <w:r w:rsidR="00281D6D">
        <w:t xml:space="preserve">el que están inmersos nuestros tribunales judiciales. </w:t>
      </w:r>
    </w:p>
    <w:p w14:paraId="069C687A" w14:textId="62B8A24B" w:rsidR="004D635A" w:rsidRDefault="0061654F" w:rsidP="004D635A">
      <w:pPr>
        <w:tabs>
          <w:tab w:val="left" w:pos="1134"/>
        </w:tabs>
        <w:jc w:val="both"/>
      </w:pPr>
      <w:r>
        <w:tab/>
      </w:r>
      <w:r w:rsidR="00C00AB9">
        <w:t xml:space="preserve">Si bien es cierto que </w:t>
      </w:r>
      <w:r w:rsidRPr="0061654F">
        <w:rPr>
          <w:rFonts w:cs="Arial"/>
        </w:rPr>
        <w:t>nadie p</w:t>
      </w:r>
      <w:r>
        <w:rPr>
          <w:rFonts w:cs="Arial"/>
        </w:rPr>
        <w:t>uede</w:t>
      </w:r>
      <w:r w:rsidRPr="0061654F">
        <w:rPr>
          <w:rFonts w:cs="Arial"/>
        </w:rPr>
        <w:t xml:space="preserve"> dudar que una declaración testimonial producida a través de una videoconferencia con el mismo juez que conoce del asunto será más respetuosa de la regla de inmediación que si se produjera a través de un tribunal comisionado</w:t>
      </w:r>
      <w:r>
        <w:rPr>
          <w:rFonts w:cs="Arial"/>
        </w:rPr>
        <w:t xml:space="preserve">, </w:t>
      </w:r>
      <w:r w:rsidR="007F0C0C">
        <w:rPr>
          <w:rFonts w:cs="Arial"/>
        </w:rPr>
        <w:t>no menos cierto es que</w:t>
      </w:r>
      <w:r w:rsidR="001B4B02">
        <w:rPr>
          <w:rFonts w:cs="Arial"/>
        </w:rPr>
        <w:t xml:space="preserve"> pueden existir determinados aspectos sensoriales (en cuanto a la visibilidad y audibilidad) que pueden verse afectados en una audiencia virtual</w:t>
      </w:r>
      <w:r w:rsidR="004D635A">
        <w:rPr>
          <w:rFonts w:cs="Arial"/>
        </w:rPr>
        <w:t xml:space="preserve">, a lo que se le adiciona </w:t>
      </w:r>
      <w:r w:rsidR="004D635A">
        <w:t>dificultades</w:t>
      </w:r>
      <w:r w:rsidR="00D205F6">
        <w:t xml:space="preserve"> en la </w:t>
      </w:r>
      <w:r w:rsidR="004D635A">
        <w:t xml:space="preserve">conectividad de internet </w:t>
      </w:r>
      <w:r w:rsidR="00D205F6">
        <w:t>que pueden i</w:t>
      </w:r>
      <w:r w:rsidR="004D635A">
        <w:t>nterfer</w:t>
      </w:r>
      <w:r w:rsidR="00D205F6">
        <w:t>ir</w:t>
      </w:r>
      <w:r w:rsidR="004D635A">
        <w:t xml:space="preserve"> la comunicación y percepción</w:t>
      </w:r>
      <w:r w:rsidR="00D205F6">
        <w:t xml:space="preserve"> de los sujetos </w:t>
      </w:r>
      <w:r w:rsidR="002064C5">
        <w:t xml:space="preserve">del proceso. </w:t>
      </w:r>
    </w:p>
    <w:p w14:paraId="6C4AB4CE" w14:textId="64147CB7" w:rsidR="007E78F9" w:rsidRDefault="002064C5" w:rsidP="004D635A">
      <w:pPr>
        <w:tabs>
          <w:tab w:val="left" w:pos="1134"/>
        </w:tabs>
        <w:jc w:val="both"/>
      </w:pPr>
      <w:r>
        <w:tab/>
        <w:t xml:space="preserve">Pues bien, sostengo y lo he venido haciendo desde hace ya largo tiempo, que las TIC que desembarcaron firmemente durante los años de la emergencia sanitaria y que llegaron para quedarse, son </w:t>
      </w:r>
      <w:r w:rsidR="00D946EE">
        <w:t>apenas una herramienta</w:t>
      </w:r>
      <w:r w:rsidR="001001CB">
        <w:t xml:space="preserve"> </w:t>
      </w:r>
      <w:r w:rsidR="008A7986">
        <w:t xml:space="preserve">de apoyo a </w:t>
      </w:r>
      <w:r w:rsidR="001001CB">
        <w:t>los sistemas de justicia</w:t>
      </w:r>
      <w:r w:rsidR="00D946EE">
        <w:t xml:space="preserve"> y deben</w:t>
      </w:r>
      <w:r w:rsidR="001001CB">
        <w:t xml:space="preserve"> seguir </w:t>
      </w:r>
      <w:r w:rsidR="00D946EE">
        <w:t>siéndol</w:t>
      </w:r>
      <w:r w:rsidR="00164AF0">
        <w:t>o</w:t>
      </w:r>
      <w:r w:rsidR="0026220D">
        <w:t xml:space="preserve">; por lo que su aplicación no puede </w:t>
      </w:r>
      <w:r w:rsidR="008A7986">
        <w:t xml:space="preserve">de modo alguno </w:t>
      </w:r>
      <w:r w:rsidR="0026220D">
        <w:t xml:space="preserve">habilitar </w:t>
      </w:r>
      <w:r w:rsidR="008A7986">
        <w:t xml:space="preserve">a </w:t>
      </w:r>
      <w:r w:rsidR="0026220D">
        <w:t xml:space="preserve">un debilitamiento de </w:t>
      </w:r>
      <w:r>
        <w:t xml:space="preserve">las garantías </w:t>
      </w:r>
      <w:r>
        <w:lastRenderedPageBreak/>
        <w:t>de la debida defensa en juicio</w:t>
      </w:r>
      <w:r w:rsidR="00390E23">
        <w:t xml:space="preserve">, porque </w:t>
      </w:r>
      <w:r w:rsidR="00870F6C">
        <w:t>lo que está en juego es precisamente eso</w:t>
      </w:r>
      <w:r w:rsidR="008A7986">
        <w:t>, ni más ni menos</w:t>
      </w:r>
      <w:r w:rsidR="00870F6C">
        <w:t xml:space="preserve">. </w:t>
      </w:r>
    </w:p>
    <w:p w14:paraId="2DFC8D89" w14:textId="529E030C" w:rsidR="00DF19F5" w:rsidRPr="00015D8C" w:rsidRDefault="00F75CEF" w:rsidP="0058346F">
      <w:pPr>
        <w:tabs>
          <w:tab w:val="left" w:pos="1134"/>
        </w:tabs>
        <w:jc w:val="both"/>
        <w:rPr>
          <w:b/>
          <w:bCs/>
        </w:rPr>
      </w:pPr>
      <w:r>
        <w:rPr>
          <w:b/>
          <w:bCs/>
        </w:rPr>
        <w:t>V</w:t>
      </w:r>
      <w:r w:rsidR="009A186D">
        <w:rPr>
          <w:b/>
          <w:bCs/>
        </w:rPr>
        <w:t>I</w:t>
      </w:r>
      <w:r>
        <w:rPr>
          <w:b/>
          <w:bCs/>
        </w:rPr>
        <w:t>.</w:t>
      </w:r>
      <w:r>
        <w:rPr>
          <w:b/>
          <w:bCs/>
        </w:rPr>
        <w:tab/>
      </w:r>
      <w:r w:rsidR="00DF19F5" w:rsidRPr="009A186D">
        <w:rPr>
          <w:b/>
          <w:bCs/>
          <w:u w:val="single"/>
        </w:rPr>
        <w:t>Conclusiones</w:t>
      </w:r>
    </w:p>
    <w:p w14:paraId="348BB46F" w14:textId="4BE89988" w:rsidR="00B46688" w:rsidRDefault="00B46688" w:rsidP="00B46688">
      <w:pPr>
        <w:ind w:firstLine="1134"/>
        <w:jc w:val="both"/>
      </w:pPr>
      <w:r>
        <w:rPr>
          <w:rFonts w:cs="Arial"/>
        </w:rPr>
        <w:t>A la luz de todo lo</w:t>
      </w:r>
      <w:r w:rsidR="008A7986">
        <w:rPr>
          <w:rFonts w:cs="Arial"/>
        </w:rPr>
        <w:t xml:space="preserve"> expresado en apartados</w:t>
      </w:r>
      <w:r>
        <w:rPr>
          <w:rFonts w:cs="Arial"/>
        </w:rPr>
        <w:t xml:space="preserve"> anterior</w:t>
      </w:r>
      <w:r w:rsidR="008A7986">
        <w:rPr>
          <w:rFonts w:cs="Arial"/>
        </w:rPr>
        <w:t>es</w:t>
      </w:r>
      <w:r>
        <w:rPr>
          <w:rFonts w:cs="Arial"/>
        </w:rPr>
        <w:t xml:space="preserve">, podemos extraer las siguientes conclusiones: </w:t>
      </w:r>
    </w:p>
    <w:p w14:paraId="54DFFE0E" w14:textId="77777777" w:rsidR="00AD0FCB" w:rsidRDefault="00AD0FCB" w:rsidP="00AD0FCB">
      <w:pPr>
        <w:pStyle w:val="Prrafodelista"/>
        <w:numPr>
          <w:ilvl w:val="0"/>
          <w:numId w:val="6"/>
        </w:numPr>
        <w:tabs>
          <w:tab w:val="left" w:pos="1134"/>
        </w:tabs>
        <w:ind w:left="0" w:firstLine="1134"/>
        <w:jc w:val="both"/>
      </w:pPr>
      <w:r>
        <w:t xml:space="preserve">Se debe entender el proceso como un lugar de comunicación entre todos los sujetos que acuden a él para confrontar sus intereses, buscando la pacificación social. </w:t>
      </w:r>
    </w:p>
    <w:p w14:paraId="556E0209" w14:textId="2CA97049" w:rsidR="00AD0FCB" w:rsidRDefault="00AD0FCB" w:rsidP="000771C5">
      <w:pPr>
        <w:pStyle w:val="Prrafodelista"/>
        <w:numPr>
          <w:ilvl w:val="0"/>
          <w:numId w:val="6"/>
        </w:numPr>
        <w:tabs>
          <w:tab w:val="left" w:pos="1134"/>
        </w:tabs>
        <w:ind w:left="0" w:firstLine="1134"/>
        <w:jc w:val="both"/>
      </w:pPr>
      <w:r>
        <w:t>En esa búsqueda de la comunicación es que se plantea que los actos procesales y la producción de la prueba transcurran ante la presencia directa del órgano jurisdiccional.</w:t>
      </w:r>
    </w:p>
    <w:p w14:paraId="01E8B04A" w14:textId="0A439755" w:rsidR="0030581A" w:rsidRPr="0000338D" w:rsidRDefault="00AD0FCB" w:rsidP="0000338D">
      <w:pPr>
        <w:pStyle w:val="Prrafodelista"/>
        <w:numPr>
          <w:ilvl w:val="0"/>
          <w:numId w:val="6"/>
        </w:numPr>
        <w:tabs>
          <w:tab w:val="left" w:pos="1134"/>
        </w:tabs>
        <w:ind w:left="0" w:firstLine="1134"/>
        <w:jc w:val="both"/>
      </w:pPr>
      <w:r>
        <w:t xml:space="preserve">Cierto es que </w:t>
      </w:r>
      <w:r w:rsidRPr="007A5E38">
        <w:t xml:space="preserve">contacto directo con las fuentes de conocimiento judicial </w:t>
      </w:r>
      <w:r>
        <w:t xml:space="preserve">posee mayores ventajas que </w:t>
      </w:r>
      <w:r w:rsidRPr="007A5E38">
        <w:t>cualquier trascripción escrita o, en su caso, reproducción mecánica o electrónica, ya que elimina intermediarios que pu</w:t>
      </w:r>
      <w:r>
        <w:t xml:space="preserve">eden </w:t>
      </w:r>
      <w:r w:rsidRPr="007A5E38">
        <w:t>viciar la transmisión, p</w:t>
      </w:r>
      <w:r>
        <w:t xml:space="preserve">ermitiendo captar </w:t>
      </w:r>
      <w:r w:rsidRPr="007A5E38">
        <w:t>elementos paralingüísticos, ligados al lenguaje corporal</w:t>
      </w:r>
      <w:r>
        <w:t xml:space="preserve">. </w:t>
      </w:r>
      <w:r w:rsidR="00305230">
        <w:t xml:space="preserve"> </w:t>
      </w:r>
    </w:p>
    <w:p w14:paraId="16CAA5FF" w14:textId="11BFCD3B" w:rsidR="007029D7" w:rsidRDefault="008A7986" w:rsidP="00D00A79">
      <w:pPr>
        <w:pStyle w:val="Prrafodelista"/>
        <w:numPr>
          <w:ilvl w:val="0"/>
          <w:numId w:val="6"/>
        </w:numPr>
        <w:ind w:left="0" w:firstLine="1134"/>
        <w:jc w:val="both"/>
      </w:pPr>
      <w:r>
        <w:t>H</w:t>
      </w:r>
      <w:r w:rsidR="00B53300">
        <w:t>emos luchado siglos por tener</w:t>
      </w:r>
      <w:r w:rsidR="0019112B">
        <w:t xml:space="preserve"> el </w:t>
      </w:r>
      <w:r w:rsidR="00241699">
        <w:t>“</w:t>
      </w:r>
      <w:r w:rsidR="0019112B">
        <w:t>milagro</w:t>
      </w:r>
      <w:r w:rsidR="00241699">
        <w:t>”</w:t>
      </w:r>
      <w:r w:rsidR="00B53300">
        <w:t xml:space="preserve"> </w:t>
      </w:r>
      <w:r w:rsidR="0019112B">
        <w:t xml:space="preserve">de tener a un </w:t>
      </w:r>
      <w:r w:rsidR="00B53300">
        <w:t xml:space="preserve">juez presente en las audiencias y </w:t>
      </w:r>
      <w:r w:rsidR="0019112B">
        <w:t xml:space="preserve">presenciando la producción de los medios de prueba, </w:t>
      </w:r>
      <w:r w:rsidR="00413A8D">
        <w:t xml:space="preserve">sigamos protegiendo la regla de la </w:t>
      </w:r>
      <w:r w:rsidR="006906BA">
        <w:t>inmediación,</w:t>
      </w:r>
      <w:r w:rsidR="00413A8D">
        <w:t xml:space="preserve"> </w:t>
      </w:r>
      <w:r w:rsidR="0048001D">
        <w:t>sin dejarnos seducir</w:t>
      </w:r>
      <w:r w:rsidR="00D75BD2">
        <w:t>,</w:t>
      </w:r>
      <w:r w:rsidR="0048001D">
        <w:t xml:space="preserve"> por un lado, por el avance tecnológico </w:t>
      </w:r>
      <w:r w:rsidR="00D00A79">
        <w:t xml:space="preserve">y las bondades de la virtualidad </w:t>
      </w:r>
      <w:r w:rsidR="0088512C">
        <w:t>que no puede</w:t>
      </w:r>
      <w:r w:rsidR="00D00A79">
        <w:t>n</w:t>
      </w:r>
      <w:r w:rsidR="0088512C">
        <w:t xml:space="preserve"> </w:t>
      </w:r>
      <w:r w:rsidR="00D00A79">
        <w:t>generar una degradación de derechos</w:t>
      </w:r>
      <w:r w:rsidR="0048001D">
        <w:t>; y</w:t>
      </w:r>
      <w:r w:rsidR="00D00A79">
        <w:t>,</w:t>
      </w:r>
      <w:r w:rsidR="0048001D">
        <w:t xml:space="preserve"> por otro, </w:t>
      </w:r>
      <w:r w:rsidR="00363496">
        <w:t xml:space="preserve">corresponderá </w:t>
      </w:r>
      <w:r w:rsidR="0048001D">
        <w:t>delinea</w:t>
      </w:r>
      <w:r w:rsidR="00363496">
        <w:t>r</w:t>
      </w:r>
      <w:r w:rsidR="0048001D">
        <w:t xml:space="preserve"> </w:t>
      </w:r>
      <w:r w:rsidR="00363496">
        <w:t xml:space="preserve">razonablemente el </w:t>
      </w:r>
      <w:r w:rsidR="006906BA">
        <w:t>alcance</w:t>
      </w:r>
      <w:r w:rsidR="00363496">
        <w:t xml:space="preserve"> de la inmediación, </w:t>
      </w:r>
      <w:r w:rsidR="00FE6DA1">
        <w:t xml:space="preserve">sin que ello habilite a una </w:t>
      </w:r>
      <w:proofErr w:type="spellStart"/>
      <w:r w:rsidR="00FE6DA1">
        <w:t>infra-motivación</w:t>
      </w:r>
      <w:proofErr w:type="spellEnd"/>
      <w:r w:rsidR="00FE6DA1">
        <w:t xml:space="preserve"> de la</w:t>
      </w:r>
      <w:r>
        <w:t>s</w:t>
      </w:r>
      <w:r w:rsidR="00FE6DA1">
        <w:t xml:space="preserve"> sentencia</w:t>
      </w:r>
      <w:r>
        <w:t>s</w:t>
      </w:r>
      <w:r w:rsidR="00FE6DA1">
        <w:t xml:space="preserve">, ni tampoco </w:t>
      </w:r>
      <w:r w:rsidR="0045564B">
        <w:t>a</w:t>
      </w:r>
      <w:r w:rsidR="00010E9D">
        <w:t xml:space="preserve"> </w:t>
      </w:r>
      <w:r w:rsidR="001A4FBC">
        <w:t xml:space="preserve">una falta de revisión de </w:t>
      </w:r>
      <w:r w:rsidR="00311957">
        <w:t>la valoración de la</w:t>
      </w:r>
      <w:r>
        <w:t xml:space="preserve"> prueba</w:t>
      </w:r>
      <w:r w:rsidR="00311957">
        <w:t xml:space="preserve"> </w:t>
      </w:r>
      <w:r w:rsidR="003D77D8">
        <w:t>por parte de los tribunales superiores</w:t>
      </w:r>
      <w:r w:rsidR="00CD7DF8">
        <w:t xml:space="preserve">. </w:t>
      </w:r>
    </w:p>
    <w:p w14:paraId="7020AA7F" w14:textId="7BBF00E6" w:rsidR="001A4FBC" w:rsidRDefault="001A4FBC" w:rsidP="001A4FBC">
      <w:pPr>
        <w:pStyle w:val="Prrafodelista"/>
        <w:numPr>
          <w:ilvl w:val="0"/>
          <w:numId w:val="6"/>
        </w:numPr>
        <w:tabs>
          <w:tab w:val="left" w:pos="1134"/>
        </w:tabs>
        <w:ind w:left="0" w:firstLine="993"/>
        <w:jc w:val="both"/>
      </w:pPr>
      <w:r>
        <w:t xml:space="preserve">No perdamos </w:t>
      </w:r>
      <w:r w:rsidR="002B788F">
        <w:t xml:space="preserve">de vista en el horizonte </w:t>
      </w:r>
      <w:r w:rsidR="008A7986">
        <w:t>-</w:t>
      </w:r>
      <w:r w:rsidR="002B788F">
        <w:t>a menudo borroso</w:t>
      </w:r>
      <w:r w:rsidR="008A7986">
        <w:t>-</w:t>
      </w:r>
      <w:r w:rsidR="002B788F">
        <w:t xml:space="preserve"> </w:t>
      </w:r>
      <w:r>
        <w:t xml:space="preserve">los territorios que nos llevó siglos conquistar, ni retrocedamos un ápice en los derechos ganados, pues cualquier tipo de mancillamiento redundará en una pérdida </w:t>
      </w:r>
      <w:r w:rsidR="00803FD8">
        <w:t xml:space="preserve">por demás </w:t>
      </w:r>
      <w:r>
        <w:t>desgraciada de garantías para los justiciables</w:t>
      </w:r>
      <w:r w:rsidR="005C0C21">
        <w:t xml:space="preserve"> que no merecen ser horadadas. </w:t>
      </w:r>
      <w:r>
        <w:t xml:space="preserve">  </w:t>
      </w:r>
    </w:p>
    <w:p w14:paraId="7BC92F18" w14:textId="77777777" w:rsidR="001A4FBC" w:rsidRDefault="001A4FBC" w:rsidP="001A4FBC">
      <w:pPr>
        <w:jc w:val="both"/>
      </w:pPr>
    </w:p>
    <w:p w14:paraId="178D5626" w14:textId="77777777" w:rsidR="00F2554A" w:rsidRDefault="00F2554A" w:rsidP="00F2554A">
      <w:pPr>
        <w:jc w:val="both"/>
      </w:pPr>
    </w:p>
    <w:p w14:paraId="764712A0" w14:textId="77777777" w:rsidR="009A186D" w:rsidRDefault="009A186D" w:rsidP="00F2554A">
      <w:pPr>
        <w:jc w:val="both"/>
      </w:pPr>
    </w:p>
    <w:p w14:paraId="38BE3C0F" w14:textId="77777777" w:rsidR="009A186D" w:rsidRDefault="009A186D" w:rsidP="00F2554A">
      <w:pPr>
        <w:jc w:val="both"/>
      </w:pPr>
    </w:p>
    <w:p w14:paraId="6F2C6E7A" w14:textId="77777777" w:rsidR="00F2554A" w:rsidRDefault="00F2554A" w:rsidP="00F2554A">
      <w:pPr>
        <w:jc w:val="both"/>
      </w:pPr>
    </w:p>
    <w:p w14:paraId="42635692" w14:textId="77777777" w:rsidR="00F2554A" w:rsidRDefault="00F2554A" w:rsidP="00F2554A">
      <w:pPr>
        <w:jc w:val="both"/>
      </w:pPr>
    </w:p>
    <w:p w14:paraId="3BDF6433" w14:textId="77777777" w:rsidR="00F2554A" w:rsidRDefault="00F2554A" w:rsidP="00F2554A">
      <w:pPr>
        <w:jc w:val="both"/>
      </w:pPr>
    </w:p>
    <w:p w14:paraId="011D5858" w14:textId="7FE5A97F" w:rsidR="00F2554A" w:rsidRPr="0093136F" w:rsidRDefault="00F2554A" w:rsidP="00F2554A">
      <w:pPr>
        <w:jc w:val="both"/>
        <w:rPr>
          <w:b/>
          <w:bCs/>
        </w:rPr>
      </w:pPr>
      <w:r w:rsidRPr="0093136F">
        <w:rPr>
          <w:b/>
          <w:bCs/>
        </w:rPr>
        <w:lastRenderedPageBreak/>
        <w:t>BIBLIOGRAFÍA</w:t>
      </w:r>
    </w:p>
    <w:p w14:paraId="005DADEE" w14:textId="73F0BE75" w:rsidR="00F2554A" w:rsidRDefault="00F2554A" w:rsidP="005E3796">
      <w:pPr>
        <w:jc w:val="both"/>
      </w:pPr>
      <w:r>
        <w:t xml:space="preserve">ALVARADO VELLOSO, </w:t>
      </w:r>
      <w:r w:rsidR="009F28C3">
        <w:t xml:space="preserve">Adolfo, GIUFFRA, </w:t>
      </w:r>
      <w:r>
        <w:t xml:space="preserve">Carolina, </w:t>
      </w:r>
      <w:r w:rsidRPr="00A35D17">
        <w:rPr>
          <w:i/>
          <w:iCs/>
        </w:rPr>
        <w:t>Manual de Derecho Procesal</w:t>
      </w:r>
      <w:r>
        <w:rPr>
          <w:i/>
          <w:iCs/>
        </w:rPr>
        <w:t>. Teoría General del Proceso</w:t>
      </w:r>
      <w:r>
        <w:t>, FCU, Montevideo, 2024.</w:t>
      </w:r>
    </w:p>
    <w:p w14:paraId="446BD53D" w14:textId="01D37D05" w:rsidR="00700160" w:rsidRPr="00700160" w:rsidRDefault="00700160" w:rsidP="005E3796">
      <w:pPr>
        <w:pStyle w:val="Textonotapie"/>
        <w:jc w:val="both"/>
        <w:rPr>
          <w:sz w:val="24"/>
          <w:szCs w:val="24"/>
        </w:rPr>
      </w:pPr>
      <w:r w:rsidRPr="00700160">
        <w:rPr>
          <w:sz w:val="24"/>
          <w:szCs w:val="24"/>
        </w:rPr>
        <w:t xml:space="preserve">BARONA VILAR, </w:t>
      </w:r>
      <w:r w:rsidR="009F28C3" w:rsidRPr="00700160">
        <w:rPr>
          <w:sz w:val="24"/>
          <w:szCs w:val="24"/>
        </w:rPr>
        <w:t>Silvia</w:t>
      </w:r>
      <w:r w:rsidR="009F28C3">
        <w:rPr>
          <w:sz w:val="24"/>
          <w:szCs w:val="24"/>
        </w:rPr>
        <w:t>,</w:t>
      </w:r>
      <w:r w:rsidR="009F28C3" w:rsidRPr="00700160">
        <w:rPr>
          <w:sz w:val="24"/>
          <w:szCs w:val="24"/>
        </w:rPr>
        <w:t xml:space="preserve"> </w:t>
      </w:r>
      <w:r w:rsidRPr="00700160">
        <w:rPr>
          <w:sz w:val="24"/>
          <w:szCs w:val="24"/>
        </w:rPr>
        <w:t>“Inteligencia artificial o la algoritmización de la vida y de la justicia: ¿solución o problema?”,</w:t>
      </w:r>
      <w:r w:rsidRPr="00700160">
        <w:rPr>
          <w:i/>
          <w:iCs/>
          <w:sz w:val="24"/>
          <w:szCs w:val="24"/>
        </w:rPr>
        <w:t xml:space="preserve"> Revista Bolivariana de Derecho</w:t>
      </w:r>
      <w:r w:rsidRPr="00700160">
        <w:rPr>
          <w:sz w:val="24"/>
          <w:szCs w:val="24"/>
        </w:rPr>
        <w:t>, No. 28, 2019.</w:t>
      </w:r>
    </w:p>
    <w:p w14:paraId="23769A4F" w14:textId="77777777" w:rsidR="008B1476" w:rsidRDefault="008B1476" w:rsidP="005E3796">
      <w:pPr>
        <w:pStyle w:val="Textonotapie"/>
        <w:jc w:val="both"/>
        <w:rPr>
          <w:sz w:val="24"/>
          <w:szCs w:val="24"/>
        </w:rPr>
      </w:pPr>
    </w:p>
    <w:p w14:paraId="2E29A0A9" w14:textId="5FFB3193" w:rsidR="00571E7C" w:rsidRPr="000A6849" w:rsidRDefault="00571E7C" w:rsidP="005E3796">
      <w:pPr>
        <w:pStyle w:val="Textonotapie"/>
        <w:jc w:val="both"/>
        <w:rPr>
          <w:sz w:val="24"/>
          <w:szCs w:val="24"/>
        </w:rPr>
      </w:pPr>
      <w:r w:rsidRPr="000A6849">
        <w:rPr>
          <w:sz w:val="24"/>
          <w:szCs w:val="24"/>
        </w:rPr>
        <w:t xml:space="preserve">CALAMANDREI, </w:t>
      </w:r>
      <w:r w:rsidR="009F28C3" w:rsidRPr="000A6849">
        <w:rPr>
          <w:sz w:val="24"/>
          <w:szCs w:val="24"/>
        </w:rPr>
        <w:t>Piero</w:t>
      </w:r>
      <w:r w:rsidR="009F28C3">
        <w:rPr>
          <w:sz w:val="24"/>
          <w:szCs w:val="24"/>
        </w:rPr>
        <w:t>,</w:t>
      </w:r>
      <w:r w:rsidR="009F28C3" w:rsidRPr="000A6849">
        <w:rPr>
          <w:i/>
          <w:iCs/>
          <w:sz w:val="24"/>
          <w:szCs w:val="24"/>
        </w:rPr>
        <w:t xml:space="preserve"> </w:t>
      </w:r>
      <w:r w:rsidRPr="000A6849">
        <w:rPr>
          <w:i/>
          <w:iCs/>
          <w:sz w:val="24"/>
          <w:szCs w:val="24"/>
        </w:rPr>
        <w:t>Instituciones de derecho procesal civil</w:t>
      </w:r>
      <w:r w:rsidRPr="000A6849">
        <w:rPr>
          <w:sz w:val="24"/>
          <w:szCs w:val="24"/>
        </w:rPr>
        <w:t>, t. I, trad. Santiago SENTÍS MELENDO, E</w:t>
      </w:r>
      <w:r>
        <w:rPr>
          <w:sz w:val="24"/>
          <w:szCs w:val="24"/>
        </w:rPr>
        <w:t>jea</w:t>
      </w:r>
      <w:r w:rsidRPr="000A6849">
        <w:rPr>
          <w:sz w:val="24"/>
          <w:szCs w:val="24"/>
        </w:rPr>
        <w:t>, Buenos Aires, 1973</w:t>
      </w:r>
      <w:r w:rsidR="009A186D">
        <w:rPr>
          <w:sz w:val="24"/>
          <w:szCs w:val="24"/>
        </w:rPr>
        <w:t>.</w:t>
      </w:r>
      <w:r w:rsidRPr="000A6849">
        <w:rPr>
          <w:sz w:val="24"/>
          <w:szCs w:val="24"/>
        </w:rPr>
        <w:t xml:space="preserve">  </w:t>
      </w:r>
    </w:p>
    <w:p w14:paraId="52F00771" w14:textId="77777777" w:rsidR="0093136F" w:rsidRDefault="0093136F" w:rsidP="005E3796">
      <w:pPr>
        <w:spacing w:after="0" w:line="240" w:lineRule="auto"/>
        <w:jc w:val="both"/>
      </w:pPr>
    </w:p>
    <w:p w14:paraId="494D1667" w14:textId="7773EC6D" w:rsidR="000A6849" w:rsidRDefault="000A6849" w:rsidP="005E3796">
      <w:pPr>
        <w:spacing w:after="0" w:line="240" w:lineRule="auto"/>
        <w:jc w:val="both"/>
      </w:pPr>
      <w:r w:rsidRPr="000A6849">
        <w:t xml:space="preserve">CHIOVENDA, </w:t>
      </w:r>
      <w:r w:rsidR="009F28C3" w:rsidRPr="000A6849">
        <w:t>Giuseppe</w:t>
      </w:r>
      <w:r w:rsidR="009F28C3">
        <w:t>,</w:t>
      </w:r>
      <w:r w:rsidR="009F28C3" w:rsidRPr="000A6849">
        <w:rPr>
          <w:i/>
        </w:rPr>
        <w:t xml:space="preserve"> </w:t>
      </w:r>
      <w:r w:rsidRPr="000A6849">
        <w:rPr>
          <w:i/>
        </w:rPr>
        <w:t>Principios de Derecho Procesal Civil</w:t>
      </w:r>
      <w:r w:rsidRPr="000A6849">
        <w:t>, t. II, Instituto Editorial Reus, Madrid, 1977</w:t>
      </w:r>
      <w:r>
        <w:t>.</w:t>
      </w:r>
    </w:p>
    <w:p w14:paraId="266A69DE" w14:textId="77777777" w:rsidR="009F28C3" w:rsidRDefault="009F28C3" w:rsidP="005E3796">
      <w:pPr>
        <w:pStyle w:val="Textonotapie"/>
        <w:jc w:val="both"/>
        <w:rPr>
          <w:sz w:val="24"/>
          <w:szCs w:val="24"/>
        </w:rPr>
      </w:pPr>
    </w:p>
    <w:p w14:paraId="7395B1ED" w14:textId="77777777" w:rsidR="005E3796" w:rsidRDefault="009F28C3" w:rsidP="005E3796">
      <w:pPr>
        <w:pStyle w:val="Textonotapie"/>
        <w:jc w:val="both"/>
        <w:rPr>
          <w:sz w:val="24"/>
          <w:szCs w:val="24"/>
        </w:rPr>
      </w:pPr>
      <w:r w:rsidRPr="00700160">
        <w:rPr>
          <w:sz w:val="24"/>
          <w:szCs w:val="24"/>
        </w:rPr>
        <w:t>COUTURE, Eduardo J.</w:t>
      </w:r>
      <w:r>
        <w:rPr>
          <w:sz w:val="24"/>
          <w:szCs w:val="24"/>
        </w:rPr>
        <w:t xml:space="preserve">, </w:t>
      </w:r>
      <w:r w:rsidRPr="00700160">
        <w:rPr>
          <w:i/>
          <w:iCs/>
          <w:sz w:val="24"/>
          <w:szCs w:val="24"/>
        </w:rPr>
        <w:t>Introducción al estudio del proceso civil</w:t>
      </w:r>
      <w:r w:rsidRPr="00700160">
        <w:rPr>
          <w:sz w:val="24"/>
          <w:szCs w:val="24"/>
        </w:rPr>
        <w:t xml:space="preserve">, </w:t>
      </w:r>
      <w:proofErr w:type="spellStart"/>
      <w:r w:rsidRPr="00700160">
        <w:rPr>
          <w:sz w:val="24"/>
          <w:szCs w:val="24"/>
        </w:rPr>
        <w:t>Depalma</w:t>
      </w:r>
      <w:proofErr w:type="spellEnd"/>
      <w:r w:rsidRPr="00700160">
        <w:rPr>
          <w:sz w:val="24"/>
          <w:szCs w:val="24"/>
        </w:rPr>
        <w:t>, Buenos Aires, 1978.</w:t>
      </w:r>
    </w:p>
    <w:p w14:paraId="5CBED283" w14:textId="77777777" w:rsidR="00DD1B00" w:rsidRDefault="00DD1B00" w:rsidP="005E3796">
      <w:pPr>
        <w:pStyle w:val="Textonotapie"/>
        <w:jc w:val="both"/>
        <w:rPr>
          <w:sz w:val="24"/>
          <w:szCs w:val="24"/>
        </w:rPr>
      </w:pPr>
    </w:p>
    <w:p w14:paraId="7E8BB67F" w14:textId="1C8FBD8E" w:rsidR="005E3796" w:rsidRPr="00DD1B00" w:rsidRDefault="00DD1B00" w:rsidP="005E3796">
      <w:pPr>
        <w:pStyle w:val="Textonotapie"/>
        <w:jc w:val="both"/>
        <w:rPr>
          <w:sz w:val="24"/>
          <w:szCs w:val="24"/>
        </w:rPr>
      </w:pPr>
      <w:r w:rsidRPr="00DD1B00">
        <w:rPr>
          <w:sz w:val="24"/>
          <w:szCs w:val="24"/>
        </w:rPr>
        <w:t>DE LA OLIVA, Andrés</w:t>
      </w:r>
      <w:r>
        <w:rPr>
          <w:sz w:val="24"/>
          <w:szCs w:val="24"/>
        </w:rPr>
        <w:t>,</w:t>
      </w:r>
      <w:r w:rsidRPr="00DD1B00">
        <w:rPr>
          <w:sz w:val="24"/>
          <w:szCs w:val="24"/>
        </w:rPr>
        <w:t xml:space="preserve"> “La sentencia”, en Andrés De la Oliva, Sara Aragoneses, Rafael Hinojosa, Javier </w:t>
      </w:r>
      <w:proofErr w:type="spellStart"/>
      <w:r w:rsidRPr="00DD1B00">
        <w:rPr>
          <w:sz w:val="24"/>
          <w:szCs w:val="24"/>
        </w:rPr>
        <w:t>Muerza</w:t>
      </w:r>
      <w:proofErr w:type="spellEnd"/>
      <w:r w:rsidRPr="00DD1B00">
        <w:rPr>
          <w:sz w:val="24"/>
          <w:szCs w:val="24"/>
        </w:rPr>
        <w:t xml:space="preserve"> y José Antonio Tomé, </w:t>
      </w:r>
      <w:r w:rsidRPr="00DD1B00">
        <w:rPr>
          <w:i/>
          <w:iCs/>
          <w:sz w:val="24"/>
          <w:szCs w:val="24"/>
        </w:rPr>
        <w:t>Derecho procesal penal</w:t>
      </w:r>
      <w:r w:rsidRPr="00DD1B00">
        <w:rPr>
          <w:sz w:val="24"/>
          <w:szCs w:val="24"/>
        </w:rPr>
        <w:t>, 5ª ed., Centro de Estudios Ramón Areces, Madrid, 2002</w:t>
      </w:r>
      <w:r>
        <w:rPr>
          <w:sz w:val="24"/>
          <w:szCs w:val="24"/>
        </w:rPr>
        <w:t>.</w:t>
      </w:r>
    </w:p>
    <w:p w14:paraId="14436DAF" w14:textId="77777777" w:rsidR="00DD1B00" w:rsidRDefault="00DD1B00" w:rsidP="005E3796">
      <w:pPr>
        <w:pStyle w:val="Textonotapie"/>
        <w:jc w:val="both"/>
        <w:rPr>
          <w:sz w:val="24"/>
          <w:szCs w:val="24"/>
        </w:rPr>
      </w:pPr>
    </w:p>
    <w:p w14:paraId="30AB5484" w14:textId="77777777" w:rsidR="009A186D" w:rsidRDefault="008B1476" w:rsidP="009A186D">
      <w:pPr>
        <w:pStyle w:val="Textonotapie"/>
        <w:jc w:val="both"/>
        <w:rPr>
          <w:sz w:val="24"/>
          <w:szCs w:val="24"/>
        </w:rPr>
      </w:pPr>
      <w:r w:rsidRPr="007A7B72">
        <w:rPr>
          <w:sz w:val="24"/>
          <w:szCs w:val="24"/>
        </w:rPr>
        <w:t xml:space="preserve">FERRER BELTRÁN, </w:t>
      </w:r>
      <w:r w:rsidR="009F28C3" w:rsidRPr="007A7B72">
        <w:rPr>
          <w:sz w:val="24"/>
          <w:szCs w:val="24"/>
        </w:rPr>
        <w:t>Jordi</w:t>
      </w:r>
      <w:r w:rsidR="009F28C3">
        <w:t>,</w:t>
      </w:r>
      <w:r w:rsidR="009F28C3" w:rsidRPr="007A7B72">
        <w:rPr>
          <w:sz w:val="24"/>
          <w:szCs w:val="24"/>
        </w:rPr>
        <w:t> </w:t>
      </w:r>
      <w:r w:rsidR="009F28C3" w:rsidRPr="007A7B72">
        <w:t xml:space="preserve"> </w:t>
      </w:r>
      <w:r w:rsidRPr="007A7B72">
        <w:rPr>
          <w:sz w:val="24"/>
          <w:szCs w:val="24"/>
        </w:rPr>
        <w:t>“El control de la valoración de la prueba en segunda instancia. Inmediación e inferencias probatorias”,</w:t>
      </w:r>
      <w:r w:rsidRPr="007A7B72">
        <w:rPr>
          <w:i/>
          <w:iCs/>
          <w:sz w:val="24"/>
          <w:szCs w:val="24"/>
        </w:rPr>
        <w:t xml:space="preserve"> </w:t>
      </w:r>
      <w:proofErr w:type="spellStart"/>
      <w:r w:rsidRPr="007A7B72">
        <w:rPr>
          <w:i/>
          <w:iCs/>
          <w:sz w:val="24"/>
          <w:szCs w:val="24"/>
        </w:rPr>
        <w:t>Revus</w:t>
      </w:r>
      <w:proofErr w:type="spellEnd"/>
      <w:r w:rsidRPr="007A7B72">
        <w:rPr>
          <w:sz w:val="24"/>
          <w:szCs w:val="24"/>
        </w:rPr>
        <w:t xml:space="preserve">, No. 33, 2017, </w:t>
      </w:r>
      <w:hyperlink r:id="rId8" w:history="1">
        <w:r w:rsidRPr="007A7B72">
          <w:rPr>
            <w:rStyle w:val="Hipervnculo"/>
            <w:sz w:val="24"/>
            <w:szCs w:val="24"/>
          </w:rPr>
          <w:t>https://doi.org/10.4000/revus.4016</w:t>
        </w:r>
      </w:hyperlink>
      <w:r w:rsidRPr="007A7B72">
        <w:rPr>
          <w:sz w:val="24"/>
          <w:szCs w:val="24"/>
        </w:rPr>
        <w:t>.</w:t>
      </w:r>
    </w:p>
    <w:p w14:paraId="29196099" w14:textId="77777777" w:rsidR="009A186D" w:rsidRDefault="009A186D" w:rsidP="009A186D">
      <w:pPr>
        <w:pStyle w:val="Textonotapie"/>
        <w:jc w:val="both"/>
        <w:rPr>
          <w:sz w:val="24"/>
          <w:szCs w:val="24"/>
        </w:rPr>
      </w:pPr>
    </w:p>
    <w:p w14:paraId="5B3DFDE0" w14:textId="7A776B41" w:rsidR="003B6D4D" w:rsidRPr="009A186D" w:rsidRDefault="007A7B72" w:rsidP="009A186D">
      <w:pPr>
        <w:pStyle w:val="Textonotapie"/>
        <w:jc w:val="both"/>
        <w:rPr>
          <w:sz w:val="24"/>
          <w:szCs w:val="24"/>
        </w:rPr>
      </w:pPr>
      <w:r w:rsidRPr="007A7B72">
        <w:rPr>
          <w:sz w:val="24"/>
          <w:szCs w:val="24"/>
        </w:rPr>
        <w:t xml:space="preserve">IBAÑEZ, </w:t>
      </w:r>
      <w:r w:rsidR="009F28C3" w:rsidRPr="007A7B72">
        <w:rPr>
          <w:sz w:val="24"/>
          <w:szCs w:val="24"/>
        </w:rPr>
        <w:t>Perfecto Andrés</w:t>
      </w:r>
      <w:r w:rsidR="009A186D">
        <w:rPr>
          <w:sz w:val="24"/>
          <w:szCs w:val="24"/>
        </w:rPr>
        <w:t>,</w:t>
      </w:r>
      <w:r w:rsidR="009F28C3" w:rsidRPr="007A7B72">
        <w:rPr>
          <w:sz w:val="24"/>
          <w:szCs w:val="24"/>
        </w:rPr>
        <w:t xml:space="preserve"> </w:t>
      </w:r>
      <w:r w:rsidRPr="007A7B72">
        <w:rPr>
          <w:sz w:val="24"/>
          <w:szCs w:val="24"/>
        </w:rPr>
        <w:t xml:space="preserve">“Sobre el valor de la inmediación (Una aproximación crítica)”, </w:t>
      </w:r>
      <w:r w:rsidRPr="007A7B72">
        <w:rPr>
          <w:i/>
          <w:iCs/>
          <w:sz w:val="24"/>
          <w:szCs w:val="24"/>
        </w:rPr>
        <w:t>Cuadernos de Doctrina y Jurisprudencia Penal -Casación</w:t>
      </w:r>
      <w:r w:rsidRPr="007A7B72">
        <w:rPr>
          <w:sz w:val="24"/>
          <w:szCs w:val="24"/>
        </w:rPr>
        <w:t>, No. 2001-2007 I – VII (1-6/7)</w:t>
      </w:r>
      <w:r w:rsidR="003B6D4D">
        <w:t>.</w:t>
      </w:r>
    </w:p>
    <w:p w14:paraId="658A01E4" w14:textId="77777777" w:rsidR="009A186D" w:rsidRDefault="009A186D" w:rsidP="005E3796">
      <w:pPr>
        <w:pStyle w:val="Textonotapie"/>
        <w:jc w:val="both"/>
        <w:rPr>
          <w:sz w:val="24"/>
          <w:szCs w:val="24"/>
        </w:rPr>
      </w:pPr>
    </w:p>
    <w:p w14:paraId="00788F8D" w14:textId="4D9B9AAF" w:rsidR="00700160" w:rsidRDefault="00700160" w:rsidP="005E3796">
      <w:pPr>
        <w:pStyle w:val="Textonotapie"/>
        <w:jc w:val="both"/>
        <w:rPr>
          <w:sz w:val="24"/>
          <w:szCs w:val="24"/>
        </w:rPr>
      </w:pPr>
      <w:r w:rsidRPr="00700160">
        <w:rPr>
          <w:sz w:val="24"/>
          <w:szCs w:val="24"/>
        </w:rPr>
        <w:t xml:space="preserve">SCHWAB, </w:t>
      </w:r>
      <w:proofErr w:type="spellStart"/>
      <w:r w:rsidR="009F28C3" w:rsidRPr="00700160">
        <w:rPr>
          <w:sz w:val="24"/>
          <w:szCs w:val="24"/>
        </w:rPr>
        <w:t>Klauss</w:t>
      </w:r>
      <w:proofErr w:type="spellEnd"/>
      <w:r w:rsidR="009F28C3">
        <w:rPr>
          <w:sz w:val="24"/>
          <w:szCs w:val="24"/>
        </w:rPr>
        <w:t>,</w:t>
      </w:r>
      <w:r w:rsidR="009F28C3" w:rsidRPr="00700160">
        <w:rPr>
          <w:i/>
          <w:iCs/>
          <w:sz w:val="24"/>
          <w:szCs w:val="24"/>
        </w:rPr>
        <w:t xml:space="preserve"> </w:t>
      </w:r>
      <w:r w:rsidRPr="00700160">
        <w:rPr>
          <w:i/>
          <w:iCs/>
          <w:sz w:val="24"/>
          <w:szCs w:val="24"/>
        </w:rPr>
        <w:t>La cuarta revolución industrial</w:t>
      </w:r>
      <w:r w:rsidRPr="00700160">
        <w:rPr>
          <w:sz w:val="24"/>
          <w:szCs w:val="24"/>
        </w:rPr>
        <w:t>, Ed. Debate, 4ª ed., Barcelona, 2018</w:t>
      </w:r>
      <w:r>
        <w:rPr>
          <w:sz w:val="24"/>
          <w:szCs w:val="24"/>
        </w:rPr>
        <w:t>.</w:t>
      </w:r>
    </w:p>
    <w:p w14:paraId="2A98082A" w14:textId="77777777" w:rsidR="00700160" w:rsidRPr="00700160" w:rsidRDefault="00700160" w:rsidP="005E3796">
      <w:pPr>
        <w:pStyle w:val="Textonotapie"/>
        <w:jc w:val="both"/>
        <w:rPr>
          <w:sz w:val="24"/>
          <w:szCs w:val="24"/>
        </w:rPr>
      </w:pPr>
    </w:p>
    <w:p w14:paraId="0A6916E6" w14:textId="77777777" w:rsidR="00700160" w:rsidRPr="00700160" w:rsidRDefault="00700160" w:rsidP="005E3796">
      <w:pPr>
        <w:pStyle w:val="Textonotapie"/>
        <w:jc w:val="both"/>
        <w:rPr>
          <w:sz w:val="24"/>
          <w:szCs w:val="24"/>
        </w:rPr>
      </w:pPr>
    </w:p>
    <w:p w14:paraId="0E1D6FBF" w14:textId="77777777" w:rsidR="00F2554A" w:rsidRPr="007A7B72" w:rsidRDefault="00F2554A" w:rsidP="00F2554A">
      <w:pPr>
        <w:jc w:val="both"/>
      </w:pPr>
    </w:p>
    <w:sectPr w:rsidR="00F2554A" w:rsidRPr="007A7B7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11907" w14:textId="77777777" w:rsidR="00A13AF7" w:rsidRDefault="00A13AF7" w:rsidP="00137DEB">
      <w:pPr>
        <w:spacing w:after="0" w:line="240" w:lineRule="auto"/>
      </w:pPr>
      <w:r>
        <w:separator/>
      </w:r>
    </w:p>
  </w:endnote>
  <w:endnote w:type="continuationSeparator" w:id="0">
    <w:p w14:paraId="3F31B46A" w14:textId="77777777" w:rsidR="00A13AF7" w:rsidRDefault="00A13AF7" w:rsidP="00137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D3E60" w14:textId="77777777" w:rsidR="00A13AF7" w:rsidRDefault="00A13AF7" w:rsidP="00137DEB">
      <w:pPr>
        <w:spacing w:after="0" w:line="240" w:lineRule="auto"/>
      </w:pPr>
      <w:r>
        <w:separator/>
      </w:r>
    </w:p>
  </w:footnote>
  <w:footnote w:type="continuationSeparator" w:id="0">
    <w:p w14:paraId="2AFD2A3E" w14:textId="77777777" w:rsidR="00A13AF7" w:rsidRDefault="00A13AF7" w:rsidP="00137DEB">
      <w:pPr>
        <w:spacing w:after="0" w:line="240" w:lineRule="auto"/>
      </w:pPr>
      <w:r>
        <w:continuationSeparator/>
      </w:r>
    </w:p>
  </w:footnote>
  <w:footnote w:id="1">
    <w:p w14:paraId="5C9BF4AD" w14:textId="535FABE8" w:rsidR="00A35D17" w:rsidRPr="000A6849" w:rsidRDefault="00A35D17">
      <w:pPr>
        <w:pStyle w:val="Textonotapie"/>
      </w:pPr>
      <w:r w:rsidRPr="000A6849">
        <w:rPr>
          <w:rStyle w:val="Refdenotaalpie"/>
        </w:rPr>
        <w:footnoteRef/>
      </w:r>
      <w:r w:rsidRPr="000A6849">
        <w:t xml:space="preserve"> Adolfo ALVARADO VELLOSO, Carolina GIUFFRA, </w:t>
      </w:r>
      <w:r w:rsidRPr="000A6849">
        <w:rPr>
          <w:i/>
          <w:iCs/>
        </w:rPr>
        <w:t>Manual de Derecho Procesal</w:t>
      </w:r>
      <w:r w:rsidR="00F2554A" w:rsidRPr="000A6849">
        <w:rPr>
          <w:i/>
          <w:iCs/>
        </w:rPr>
        <w:t>. Teoría General del Proceso</w:t>
      </w:r>
      <w:r w:rsidRPr="000A6849">
        <w:t>,</w:t>
      </w:r>
      <w:r w:rsidR="00F2554A" w:rsidRPr="000A6849">
        <w:t xml:space="preserve"> FCU, Montevideo, 2024, pp. 237-243.</w:t>
      </w:r>
      <w:r w:rsidRPr="000A6849">
        <w:t xml:space="preserve"> </w:t>
      </w:r>
    </w:p>
  </w:footnote>
  <w:footnote w:id="2">
    <w:p w14:paraId="039ED6E2" w14:textId="0B91BFC5" w:rsidR="00D04AF3" w:rsidRPr="000A6849" w:rsidRDefault="00D04AF3" w:rsidP="00E27CC9">
      <w:pPr>
        <w:spacing w:after="0" w:line="240" w:lineRule="auto"/>
        <w:jc w:val="both"/>
        <w:rPr>
          <w:sz w:val="20"/>
          <w:szCs w:val="20"/>
        </w:rPr>
      </w:pPr>
      <w:r w:rsidRPr="000A6849">
        <w:rPr>
          <w:rStyle w:val="Refdenotaalpie"/>
          <w:sz w:val="20"/>
          <w:szCs w:val="20"/>
        </w:rPr>
        <w:footnoteRef/>
      </w:r>
      <w:r w:rsidRPr="000A6849">
        <w:rPr>
          <w:sz w:val="20"/>
          <w:szCs w:val="20"/>
        </w:rPr>
        <w:t xml:space="preserve"> La mediación es el opuesto a la inmediación y la primera pudo haberse inspirado antiguamente en el temor a que el contacto vivencial pudiera afectar la imparcialidad del tribunal y por ello</w:t>
      </w:r>
      <w:r w:rsidRPr="00A76750">
        <w:rPr>
          <w:sz w:val="20"/>
          <w:szCs w:val="20"/>
        </w:rPr>
        <w:t xml:space="preserve"> </w:t>
      </w:r>
      <w:r w:rsidRPr="000A6849">
        <w:rPr>
          <w:sz w:val="20"/>
          <w:szCs w:val="20"/>
        </w:rPr>
        <w:t xml:space="preserve">defiende la conveniencia de que el tribunal guarde una relación impersonal e indirecta con las partes y demás sujetos del proceso. </w:t>
      </w:r>
    </w:p>
  </w:footnote>
  <w:footnote w:id="3">
    <w:p w14:paraId="47669B00" w14:textId="67F149C8" w:rsidR="00B758CD" w:rsidRPr="000A6849" w:rsidRDefault="00B758CD" w:rsidP="00E27CC9">
      <w:pPr>
        <w:spacing w:after="0" w:line="240" w:lineRule="auto"/>
        <w:jc w:val="both"/>
        <w:rPr>
          <w:sz w:val="20"/>
          <w:szCs w:val="20"/>
        </w:rPr>
      </w:pPr>
      <w:r w:rsidRPr="000A6849">
        <w:rPr>
          <w:rStyle w:val="Refdenotaalpie"/>
          <w:sz w:val="20"/>
          <w:szCs w:val="20"/>
        </w:rPr>
        <w:footnoteRef/>
      </w:r>
      <w:r w:rsidRPr="000A6849">
        <w:rPr>
          <w:sz w:val="20"/>
          <w:szCs w:val="20"/>
        </w:rPr>
        <w:t xml:space="preserve"> </w:t>
      </w:r>
      <w:r w:rsidR="00AB59B5" w:rsidRPr="000A6849">
        <w:rPr>
          <w:sz w:val="20"/>
          <w:szCs w:val="20"/>
        </w:rPr>
        <w:t xml:space="preserve">Existe una estrecha vinculación entre oralidad e inmediación, pero ambos conceptos </w:t>
      </w:r>
      <w:r w:rsidR="00F4504D" w:rsidRPr="000A6849">
        <w:rPr>
          <w:sz w:val="20"/>
          <w:szCs w:val="20"/>
        </w:rPr>
        <w:t xml:space="preserve">no se identifican. </w:t>
      </w:r>
      <w:r w:rsidR="00AB59B5" w:rsidRPr="000A6849">
        <w:rPr>
          <w:sz w:val="20"/>
          <w:szCs w:val="20"/>
        </w:rPr>
        <w:t>La oralidad es un tipo procesal y se refiere al medio de expresión que se utiliza en el proceso</w:t>
      </w:r>
      <w:r w:rsidR="00F4504D" w:rsidRPr="000A6849">
        <w:rPr>
          <w:sz w:val="20"/>
          <w:szCs w:val="20"/>
        </w:rPr>
        <w:t xml:space="preserve">, mientras que la </w:t>
      </w:r>
      <w:r w:rsidR="00AB59B5" w:rsidRPr="000A6849">
        <w:rPr>
          <w:sz w:val="20"/>
          <w:szCs w:val="20"/>
        </w:rPr>
        <w:t>inmediación refiere a la forma en que el juez toma contacto con el material de conocimiento y con los intervinientes en el mismo.</w:t>
      </w:r>
      <w:r w:rsidR="002D7379" w:rsidRPr="000A6849">
        <w:rPr>
          <w:sz w:val="20"/>
          <w:szCs w:val="20"/>
        </w:rPr>
        <w:t xml:space="preserve"> Véase al respecto: Giuseppe CHIOVENDA, </w:t>
      </w:r>
      <w:r w:rsidR="002D7379" w:rsidRPr="000A6849">
        <w:rPr>
          <w:i/>
          <w:sz w:val="20"/>
          <w:szCs w:val="20"/>
        </w:rPr>
        <w:t>Principios de Derecho Procesal Civil</w:t>
      </w:r>
      <w:r w:rsidR="002D7379" w:rsidRPr="000A6849">
        <w:rPr>
          <w:sz w:val="20"/>
          <w:szCs w:val="20"/>
        </w:rPr>
        <w:t xml:space="preserve">, t. II, Instituto Editorial Reus, Madrid, 1977, pp. 182-183. </w:t>
      </w:r>
      <w:r w:rsidRPr="000A6849">
        <w:rPr>
          <w:sz w:val="20"/>
          <w:szCs w:val="20"/>
        </w:rPr>
        <w:t xml:space="preserve"> </w:t>
      </w:r>
    </w:p>
  </w:footnote>
  <w:footnote w:id="4">
    <w:p w14:paraId="55645FDE" w14:textId="77777777" w:rsidR="00141098" w:rsidRPr="000A6849" w:rsidRDefault="00141098" w:rsidP="00141098">
      <w:pPr>
        <w:pStyle w:val="Textonotapie"/>
      </w:pPr>
      <w:r w:rsidRPr="000A6849">
        <w:rPr>
          <w:rStyle w:val="Refdenotaalpie"/>
        </w:rPr>
        <w:footnoteRef/>
      </w:r>
      <w:r w:rsidRPr="000A6849">
        <w:t xml:space="preserve"> </w:t>
      </w:r>
      <w:proofErr w:type="spellStart"/>
      <w:r w:rsidRPr="000A6849">
        <w:t>Idem</w:t>
      </w:r>
      <w:proofErr w:type="spellEnd"/>
      <w:r w:rsidRPr="000A6849">
        <w:t xml:space="preserve">. </w:t>
      </w:r>
    </w:p>
  </w:footnote>
  <w:footnote w:id="5">
    <w:p w14:paraId="49ED30B2" w14:textId="75D8B972" w:rsidR="00CA41AE" w:rsidRDefault="00CA41AE" w:rsidP="006B242D">
      <w:pPr>
        <w:pStyle w:val="Textonotapie"/>
        <w:jc w:val="both"/>
      </w:pPr>
      <w:r w:rsidRPr="000A6849">
        <w:rPr>
          <w:rStyle w:val="Refdenotaalpie"/>
        </w:rPr>
        <w:footnoteRef/>
      </w:r>
      <w:r w:rsidRPr="000A6849">
        <w:t xml:space="preserve"> Piero CALAMANDREI, </w:t>
      </w:r>
      <w:r w:rsidR="006B242D" w:rsidRPr="000A6849">
        <w:rPr>
          <w:i/>
          <w:iCs/>
        </w:rPr>
        <w:t>Instituciones de derecho procesal civil</w:t>
      </w:r>
      <w:r w:rsidR="006B242D" w:rsidRPr="000A6849">
        <w:t>, t. I, trad. Santiago SENTÍS MELENDO, E</w:t>
      </w:r>
      <w:r w:rsidR="008B1476">
        <w:t>jea</w:t>
      </w:r>
      <w:r w:rsidR="006B242D" w:rsidRPr="000A6849">
        <w:t xml:space="preserve">, Buenos Aires, 1973, </w:t>
      </w:r>
      <w:r w:rsidR="000A6849">
        <w:t>p</w:t>
      </w:r>
      <w:r w:rsidR="006B242D" w:rsidRPr="000A6849">
        <w:t xml:space="preserve">. </w:t>
      </w:r>
      <w:r w:rsidR="0071599B" w:rsidRPr="000A6849">
        <w:t>330.</w:t>
      </w:r>
      <w:r w:rsidR="0071599B">
        <w:t xml:space="preserve"> </w:t>
      </w:r>
      <w:r w:rsidR="006B242D">
        <w:t xml:space="preserve"> </w:t>
      </w:r>
    </w:p>
  </w:footnote>
  <w:footnote w:id="6">
    <w:p w14:paraId="75D6C2DC" w14:textId="05745E9E" w:rsidR="00623922" w:rsidRPr="001A3502" w:rsidRDefault="00623922" w:rsidP="002B6992">
      <w:pPr>
        <w:spacing w:after="0"/>
        <w:jc w:val="both"/>
        <w:rPr>
          <w:sz w:val="20"/>
          <w:szCs w:val="20"/>
        </w:rPr>
      </w:pPr>
      <w:r w:rsidRPr="001A3502">
        <w:rPr>
          <w:rStyle w:val="Refdenotaalpie"/>
          <w:sz w:val="20"/>
          <w:szCs w:val="20"/>
        </w:rPr>
        <w:footnoteRef/>
      </w:r>
      <w:r w:rsidRPr="001A3502">
        <w:rPr>
          <w:sz w:val="20"/>
          <w:szCs w:val="20"/>
        </w:rPr>
        <w:t xml:space="preserve"> </w:t>
      </w:r>
      <w:r w:rsidR="00B350D8" w:rsidRPr="001A3502">
        <w:rPr>
          <w:sz w:val="20"/>
          <w:szCs w:val="20"/>
        </w:rPr>
        <w:t>A vía de ejemplo</w:t>
      </w:r>
      <w:r w:rsidRPr="001A3502">
        <w:rPr>
          <w:sz w:val="20"/>
          <w:szCs w:val="20"/>
        </w:rPr>
        <w:t>: Perfecto Andrés I</w:t>
      </w:r>
      <w:r w:rsidR="00A93427" w:rsidRPr="001A3502">
        <w:rPr>
          <w:sz w:val="20"/>
          <w:szCs w:val="20"/>
        </w:rPr>
        <w:t>BAÑEZ</w:t>
      </w:r>
      <w:r w:rsidRPr="001A3502">
        <w:rPr>
          <w:sz w:val="20"/>
          <w:szCs w:val="20"/>
        </w:rPr>
        <w:t xml:space="preserve">, “Sobre el valor de la inmediación (Una aproximación crítica)”, </w:t>
      </w:r>
      <w:r w:rsidRPr="001A3502">
        <w:rPr>
          <w:i/>
          <w:iCs/>
          <w:sz w:val="20"/>
          <w:szCs w:val="20"/>
        </w:rPr>
        <w:t>Cuadernos de Doctrina y Jurisprudencia Penal -Casación</w:t>
      </w:r>
      <w:r w:rsidRPr="001A3502">
        <w:rPr>
          <w:sz w:val="20"/>
          <w:szCs w:val="20"/>
        </w:rPr>
        <w:t>, No. 2001-2007 I – VII (1-6/7)</w:t>
      </w:r>
      <w:r w:rsidR="00C64601" w:rsidRPr="001A3502">
        <w:rPr>
          <w:sz w:val="20"/>
          <w:szCs w:val="20"/>
        </w:rPr>
        <w:t>; Jordi FERRER</w:t>
      </w:r>
      <w:r w:rsidR="0015690D" w:rsidRPr="001A3502">
        <w:rPr>
          <w:sz w:val="20"/>
          <w:szCs w:val="20"/>
        </w:rPr>
        <w:t xml:space="preserve"> </w:t>
      </w:r>
      <w:r w:rsidR="00C64601" w:rsidRPr="001A3502">
        <w:rPr>
          <w:sz w:val="20"/>
          <w:szCs w:val="20"/>
        </w:rPr>
        <w:t>BELTRÁN, “El control de la valoración de la prueba en segunda instancia. Inmediación e inferencias probatorias”,</w:t>
      </w:r>
      <w:r w:rsidR="00C64601" w:rsidRPr="001A3502">
        <w:rPr>
          <w:i/>
          <w:iCs/>
          <w:sz w:val="20"/>
          <w:szCs w:val="20"/>
        </w:rPr>
        <w:t xml:space="preserve"> </w:t>
      </w:r>
      <w:proofErr w:type="spellStart"/>
      <w:r w:rsidR="00C64601" w:rsidRPr="001A3502">
        <w:rPr>
          <w:i/>
          <w:iCs/>
          <w:sz w:val="20"/>
          <w:szCs w:val="20"/>
        </w:rPr>
        <w:t>Revus</w:t>
      </w:r>
      <w:proofErr w:type="spellEnd"/>
      <w:r w:rsidR="00C64601" w:rsidRPr="001A3502">
        <w:rPr>
          <w:sz w:val="20"/>
          <w:szCs w:val="20"/>
        </w:rPr>
        <w:t>,</w:t>
      </w:r>
      <w:r w:rsidR="00CC2283" w:rsidRPr="001A3502">
        <w:rPr>
          <w:sz w:val="20"/>
          <w:szCs w:val="20"/>
        </w:rPr>
        <w:t xml:space="preserve"> No. 33, 2017</w:t>
      </w:r>
      <w:r w:rsidR="00D103B8" w:rsidRPr="001A3502">
        <w:rPr>
          <w:sz w:val="20"/>
          <w:szCs w:val="20"/>
        </w:rPr>
        <w:t>,</w:t>
      </w:r>
      <w:r w:rsidR="00C64601" w:rsidRPr="001A3502">
        <w:rPr>
          <w:sz w:val="20"/>
          <w:szCs w:val="20"/>
        </w:rPr>
        <w:t xml:space="preserve"> </w:t>
      </w:r>
      <w:hyperlink r:id="rId1" w:history="1">
        <w:r w:rsidR="00C64601" w:rsidRPr="001A3502">
          <w:rPr>
            <w:rStyle w:val="Hipervnculo"/>
            <w:sz w:val="20"/>
            <w:szCs w:val="20"/>
          </w:rPr>
          <w:t>https://doi.org/10.4000/revus.4016</w:t>
        </w:r>
      </w:hyperlink>
      <w:r w:rsidR="00DE095C">
        <w:rPr>
          <w:sz w:val="20"/>
          <w:szCs w:val="20"/>
        </w:rPr>
        <w:t xml:space="preserve">. </w:t>
      </w:r>
    </w:p>
  </w:footnote>
  <w:footnote w:id="7">
    <w:p w14:paraId="4AD39256" w14:textId="60528116" w:rsidR="00CF40BD" w:rsidRPr="000E6259" w:rsidRDefault="00CF40BD" w:rsidP="00CF40BD">
      <w:pPr>
        <w:pStyle w:val="Textonotapie"/>
        <w:jc w:val="both"/>
        <w:rPr>
          <w:color w:val="000000"/>
          <w:shd w:val="clear" w:color="auto" w:fill="FFFFFF"/>
          <w:lang w:val="es-ES"/>
        </w:rPr>
      </w:pPr>
      <w:r>
        <w:rPr>
          <w:rStyle w:val="Refdenotaalpie"/>
        </w:rPr>
        <w:footnoteRef/>
      </w:r>
      <w:r>
        <w:t xml:space="preserve"> </w:t>
      </w:r>
      <w:r w:rsidR="00E45A3E">
        <w:t>Así,</w:t>
      </w:r>
      <w:r w:rsidR="001044AD">
        <w:t xml:space="preserve"> por ejemplo, el </w:t>
      </w:r>
      <w:r w:rsidR="001044AD">
        <w:rPr>
          <w:color w:val="000000"/>
          <w:shd w:val="clear" w:color="auto" w:fill="FFFFFF"/>
          <w:lang w:val="es-ES"/>
        </w:rPr>
        <w:t>T</w:t>
      </w:r>
      <w:r w:rsidRPr="0021291C">
        <w:rPr>
          <w:color w:val="000000"/>
          <w:shd w:val="clear" w:color="auto" w:fill="FFFFFF"/>
          <w:lang w:val="es-ES"/>
        </w:rPr>
        <w:t xml:space="preserve">ribunal Constitucional español </w:t>
      </w:r>
      <w:r w:rsidR="001044AD">
        <w:rPr>
          <w:color w:val="000000"/>
          <w:shd w:val="clear" w:color="auto" w:fill="FFFFFF"/>
          <w:lang w:val="es-ES"/>
        </w:rPr>
        <w:t xml:space="preserve">ha afirmado </w:t>
      </w:r>
      <w:r w:rsidR="000E6259">
        <w:rPr>
          <w:color w:val="000000"/>
          <w:shd w:val="clear" w:color="auto" w:fill="FFFFFF"/>
          <w:lang w:val="es-ES"/>
        </w:rPr>
        <w:t xml:space="preserve">que </w:t>
      </w:r>
      <w:r w:rsidRPr="0021291C">
        <w:rPr>
          <w:color w:val="000000"/>
          <w:shd w:val="clear" w:color="auto" w:fill="FFFFFF"/>
          <w:lang w:val="es-ES"/>
        </w:rPr>
        <w:t>la inmediación cercena toda posibilidad de control de la valoración de las pruebas personales por parte de órganos jurisdiccionales que no estuvieran presentes en su práctica</w:t>
      </w:r>
      <w:r w:rsidR="000E6259">
        <w:rPr>
          <w:color w:val="000000"/>
          <w:shd w:val="clear" w:color="auto" w:fill="FFFFFF"/>
          <w:lang w:val="es-ES"/>
        </w:rPr>
        <w:t xml:space="preserve"> (a vía de ejemplo</w:t>
      </w:r>
      <w:r w:rsidR="00BD62E7">
        <w:rPr>
          <w:color w:val="000000"/>
          <w:shd w:val="clear" w:color="auto" w:fill="FFFFFF"/>
          <w:lang w:val="es-ES"/>
        </w:rPr>
        <w:t>:</w:t>
      </w:r>
      <w:r w:rsidR="000E6259">
        <w:rPr>
          <w:color w:val="000000"/>
          <w:shd w:val="clear" w:color="auto" w:fill="FFFFFF"/>
          <w:lang w:val="es-ES"/>
        </w:rPr>
        <w:t xml:space="preserve"> sentencia </w:t>
      </w:r>
      <w:r w:rsidR="000E6259" w:rsidRPr="0021291C">
        <w:rPr>
          <w:color w:val="000000"/>
          <w:shd w:val="clear" w:color="auto" w:fill="FFFFFF"/>
          <w:lang w:val="es-ES"/>
        </w:rPr>
        <w:t>No. 167/2002, de 18/09/2002</w:t>
      </w:r>
      <w:r w:rsidR="000E6259">
        <w:rPr>
          <w:color w:val="000000"/>
          <w:shd w:val="clear" w:color="auto" w:fill="FFFFFF"/>
          <w:lang w:val="es-ES"/>
        </w:rPr>
        <w:t xml:space="preserve">). </w:t>
      </w:r>
      <w:r w:rsidRPr="0021291C">
        <w:rPr>
          <w:color w:val="000000"/>
          <w:shd w:val="clear" w:color="auto" w:fill="FFFFFF"/>
          <w:lang w:val="es-ES"/>
        </w:rPr>
        <w:t>De igual modo en México, el artículo 468 del Código Nacional de Procedimientos Penales que regula las causales por las que puede apelarse una sentencia de primera instancia</w:t>
      </w:r>
      <w:r>
        <w:rPr>
          <w:color w:val="000000"/>
          <w:shd w:val="clear" w:color="auto" w:fill="FFFFFF"/>
          <w:lang w:val="es-ES"/>
        </w:rPr>
        <w:t>,</w:t>
      </w:r>
      <w:r w:rsidRPr="0021291C">
        <w:rPr>
          <w:color w:val="000000"/>
          <w:shd w:val="clear" w:color="auto" w:fill="FFFFFF"/>
          <w:lang w:val="es-ES"/>
        </w:rPr>
        <w:t xml:space="preserve"> dispone</w:t>
      </w:r>
      <w:r>
        <w:rPr>
          <w:color w:val="000000"/>
          <w:shd w:val="clear" w:color="auto" w:fill="FFFFFF"/>
          <w:lang w:val="es-ES"/>
        </w:rPr>
        <w:t>,</w:t>
      </w:r>
      <w:r w:rsidRPr="0021291C">
        <w:rPr>
          <w:color w:val="000000"/>
          <w:shd w:val="clear" w:color="auto" w:fill="FFFFFF"/>
          <w:lang w:val="es-ES"/>
        </w:rPr>
        <w:t xml:space="preserve"> en lo que al punto importa</w:t>
      </w:r>
      <w:r>
        <w:rPr>
          <w:color w:val="000000"/>
          <w:shd w:val="clear" w:color="auto" w:fill="FFFFFF"/>
          <w:lang w:val="es-ES"/>
        </w:rPr>
        <w:t xml:space="preserve"> lo siguiente</w:t>
      </w:r>
      <w:r w:rsidRPr="0021291C">
        <w:rPr>
          <w:color w:val="000000"/>
          <w:shd w:val="clear" w:color="auto" w:fill="FFFFFF"/>
          <w:lang w:val="es-ES"/>
        </w:rPr>
        <w:t xml:space="preserve">: </w:t>
      </w:r>
      <w:r w:rsidRPr="0021291C">
        <w:rPr>
          <w:i/>
          <w:iCs/>
          <w:color w:val="000000"/>
          <w:shd w:val="clear" w:color="auto" w:fill="FFFFFF"/>
          <w:lang w:val="es-ES"/>
        </w:rPr>
        <w:t>“</w:t>
      </w:r>
      <w:r>
        <w:rPr>
          <w:i/>
          <w:iCs/>
          <w:color w:val="000000"/>
          <w:shd w:val="clear" w:color="auto" w:fill="FFFFFF"/>
          <w:lang w:val="es-ES"/>
        </w:rPr>
        <w:t>S</w:t>
      </w:r>
      <w:r w:rsidRPr="0021291C">
        <w:rPr>
          <w:i/>
          <w:iCs/>
          <w:color w:val="000000"/>
          <w:shd w:val="clear" w:color="auto" w:fill="FFFFFF"/>
          <w:lang w:val="es-ES"/>
        </w:rPr>
        <w:t xml:space="preserve">erán apelables las siguientes resoluciones emitidas por el Tribunal de enjuiciamiento: </w:t>
      </w:r>
      <w:r w:rsidRPr="0021291C">
        <w:rPr>
          <w:color w:val="000000"/>
          <w:shd w:val="clear" w:color="auto" w:fill="FFFFFF"/>
          <w:lang w:val="es-ES"/>
        </w:rPr>
        <w:t>[…]  </w:t>
      </w:r>
      <w:r w:rsidRPr="0021291C">
        <w:rPr>
          <w:i/>
          <w:iCs/>
          <w:color w:val="000000"/>
          <w:shd w:val="clear" w:color="auto" w:fill="FFFFFF"/>
          <w:lang w:val="es-ES"/>
        </w:rPr>
        <w:t xml:space="preserve">II. La sentencia definitiva </w:t>
      </w:r>
      <w:proofErr w:type="gramStart"/>
      <w:r w:rsidRPr="0021291C">
        <w:rPr>
          <w:i/>
          <w:iCs/>
          <w:color w:val="000000"/>
          <w:shd w:val="clear" w:color="auto" w:fill="FFFFFF"/>
          <w:lang w:val="es-ES"/>
        </w:rPr>
        <w:t>en relación a</w:t>
      </w:r>
      <w:proofErr w:type="gramEnd"/>
      <w:r w:rsidRPr="0021291C">
        <w:rPr>
          <w:i/>
          <w:iCs/>
          <w:color w:val="000000"/>
          <w:shd w:val="clear" w:color="auto" w:fill="FFFFFF"/>
          <w:lang w:val="es-ES"/>
        </w:rPr>
        <w:t xml:space="preserve"> aquellas consideraciones contenidas en la misma, </w:t>
      </w:r>
      <w:r w:rsidRPr="0021291C">
        <w:rPr>
          <w:rStyle w:val="nfasis"/>
          <w:i w:val="0"/>
          <w:iCs w:val="0"/>
          <w:color w:val="000000"/>
          <w:shd w:val="clear" w:color="auto" w:fill="FFFFFF"/>
          <w:lang w:val="es-ES"/>
        </w:rPr>
        <w:t>distintas a la valoración de la prueba siempre y cuando no comprometan el principio de inmediación</w:t>
      </w:r>
      <w:r w:rsidRPr="0021291C">
        <w:rPr>
          <w:i/>
          <w:iCs/>
          <w:color w:val="000000"/>
          <w:shd w:val="clear" w:color="auto" w:fill="FFFFFF"/>
          <w:lang w:val="es-ES"/>
        </w:rPr>
        <w:t>, o bien aquellos actos que impliquen una violación grave del debido proceso”</w:t>
      </w:r>
      <w:r w:rsidRPr="0021291C">
        <w:rPr>
          <w:color w:val="000000"/>
          <w:shd w:val="clear" w:color="auto" w:fill="FFFFFF"/>
          <w:lang w:val="es-ES"/>
        </w:rPr>
        <w:t>.</w:t>
      </w:r>
    </w:p>
  </w:footnote>
  <w:footnote w:id="8">
    <w:p w14:paraId="78DBDEF1" w14:textId="7F354142" w:rsidR="00282755" w:rsidRDefault="00282755">
      <w:pPr>
        <w:pStyle w:val="Textonotapie"/>
      </w:pPr>
      <w:r>
        <w:rPr>
          <w:rStyle w:val="Refdenotaalpie"/>
        </w:rPr>
        <w:footnoteRef/>
      </w:r>
      <w:r>
        <w:t xml:space="preserve"> Jordi NIEVA FENOLL, “Inmediación y valoración de la prueba: el retorno de la irracionalidad”, </w:t>
      </w:r>
      <w:r w:rsidRPr="0067603C">
        <w:rPr>
          <w:i/>
          <w:iCs/>
        </w:rPr>
        <w:t xml:space="preserve">Civil </w:t>
      </w:r>
      <w:proofErr w:type="spellStart"/>
      <w:r w:rsidRPr="0067603C">
        <w:rPr>
          <w:i/>
          <w:iCs/>
        </w:rPr>
        <w:t>Procedure</w:t>
      </w:r>
      <w:proofErr w:type="spellEnd"/>
      <w:r w:rsidRPr="0067603C">
        <w:rPr>
          <w:i/>
          <w:iCs/>
        </w:rPr>
        <w:t xml:space="preserve"> </w:t>
      </w:r>
      <w:proofErr w:type="spellStart"/>
      <w:r w:rsidRPr="0067603C">
        <w:rPr>
          <w:i/>
          <w:iCs/>
        </w:rPr>
        <w:t>Review</w:t>
      </w:r>
      <w:proofErr w:type="spellEnd"/>
      <w:r>
        <w:t xml:space="preserve">, </w:t>
      </w:r>
      <w:r w:rsidRPr="0067603C">
        <w:t xml:space="preserve">v. 3, </w:t>
      </w:r>
      <w:r>
        <w:t>No. 1: 3-24; enero-abril 2012.</w:t>
      </w:r>
    </w:p>
  </w:footnote>
  <w:footnote w:id="9">
    <w:p w14:paraId="0FA97106" w14:textId="34CDCD09" w:rsidR="00567D16" w:rsidRDefault="00567D16" w:rsidP="00567D16">
      <w:pPr>
        <w:pStyle w:val="Textonotapie"/>
      </w:pPr>
      <w:r>
        <w:rPr>
          <w:rStyle w:val="Refdenotaalpie"/>
        </w:rPr>
        <w:footnoteRef/>
      </w:r>
      <w:r>
        <w:t xml:space="preserve"> </w:t>
      </w:r>
      <w:proofErr w:type="spellStart"/>
      <w:r w:rsidR="00281D6D">
        <w:t>Idem</w:t>
      </w:r>
      <w:proofErr w:type="spellEnd"/>
      <w:r w:rsidR="00281D6D">
        <w:t xml:space="preserve">. </w:t>
      </w:r>
    </w:p>
  </w:footnote>
  <w:footnote w:id="10">
    <w:p w14:paraId="445AF7BC" w14:textId="2ED7C3D1" w:rsidR="007D629E" w:rsidRPr="007D629E" w:rsidRDefault="007D629E" w:rsidP="00F61F38">
      <w:pPr>
        <w:spacing w:after="0"/>
        <w:jc w:val="both"/>
        <w:rPr>
          <w:sz w:val="20"/>
          <w:szCs w:val="20"/>
        </w:rPr>
      </w:pPr>
      <w:r>
        <w:rPr>
          <w:rStyle w:val="Refdenotaalpie"/>
        </w:rPr>
        <w:footnoteRef/>
      </w:r>
      <w:r>
        <w:t xml:space="preserve"> </w:t>
      </w:r>
      <w:r w:rsidRPr="007D629E">
        <w:rPr>
          <w:sz w:val="20"/>
          <w:szCs w:val="20"/>
        </w:rPr>
        <w:t xml:space="preserve">Antonio GARCÍA AMADO, </w:t>
      </w:r>
      <w:r w:rsidRPr="00B82BBD">
        <w:rPr>
          <w:sz w:val="20"/>
          <w:szCs w:val="20"/>
        </w:rPr>
        <w:t>Contra el mito de la inmediación. Aporías de la teoría de la prueba en la jurisprudencia española</w:t>
      </w:r>
      <w:r>
        <w:rPr>
          <w:sz w:val="20"/>
          <w:szCs w:val="20"/>
        </w:rPr>
        <w:t>,</w:t>
      </w:r>
      <w:r w:rsidR="00F61F38">
        <w:rPr>
          <w:sz w:val="20"/>
          <w:szCs w:val="20"/>
        </w:rPr>
        <w:t xml:space="preserve"> en </w:t>
      </w:r>
      <w:proofErr w:type="spellStart"/>
      <w:r w:rsidR="00F61F38" w:rsidRPr="00F61F38">
        <w:rPr>
          <w:i/>
          <w:iCs/>
          <w:sz w:val="20"/>
          <w:szCs w:val="20"/>
        </w:rPr>
        <w:t>Almacen</w:t>
      </w:r>
      <w:proofErr w:type="spellEnd"/>
      <w:r w:rsidR="00F61F38" w:rsidRPr="00F61F38">
        <w:rPr>
          <w:i/>
          <w:iCs/>
          <w:sz w:val="20"/>
          <w:szCs w:val="20"/>
        </w:rPr>
        <w:t xml:space="preserve"> de Derecho</w:t>
      </w:r>
      <w:r w:rsidR="00F61F38">
        <w:rPr>
          <w:sz w:val="20"/>
          <w:szCs w:val="20"/>
        </w:rPr>
        <w:t xml:space="preserve">, 2023, </w:t>
      </w:r>
      <w:hyperlink r:id="rId2" w:history="1">
        <w:r w:rsidR="00F61F38" w:rsidRPr="00A450C1">
          <w:rPr>
            <w:rStyle w:val="Hipervnculo"/>
            <w:sz w:val="20"/>
            <w:szCs w:val="20"/>
          </w:rPr>
          <w:t>https://almacendederecho.org/</w:t>
        </w:r>
      </w:hyperlink>
    </w:p>
  </w:footnote>
  <w:footnote w:id="11">
    <w:p w14:paraId="0B4179BE" w14:textId="3DC7AC83" w:rsidR="00C83F0A" w:rsidRPr="00C83F0A" w:rsidRDefault="00DD1B00" w:rsidP="00C83F0A">
      <w:pPr>
        <w:jc w:val="both"/>
        <w:rPr>
          <w:sz w:val="20"/>
          <w:szCs w:val="20"/>
        </w:rPr>
      </w:pPr>
      <w:r>
        <w:rPr>
          <w:rStyle w:val="Refdenotaalpie"/>
        </w:rPr>
        <w:footnoteRef/>
      </w:r>
      <w:r>
        <w:t xml:space="preserve"> </w:t>
      </w:r>
      <w:r w:rsidRPr="00DD1B00">
        <w:rPr>
          <w:sz w:val="20"/>
          <w:szCs w:val="20"/>
        </w:rPr>
        <w:t>Andrés DE LA OLIVA</w:t>
      </w:r>
      <w:r>
        <w:rPr>
          <w:sz w:val="20"/>
          <w:szCs w:val="20"/>
        </w:rPr>
        <w:t>,</w:t>
      </w:r>
      <w:r w:rsidRPr="00DD1B00">
        <w:rPr>
          <w:sz w:val="20"/>
          <w:szCs w:val="20"/>
        </w:rPr>
        <w:t xml:space="preserve"> “La sentencia”, en Andrés De la Oliva, Sara Aragoneses, Rafael Hinojosa, Javier </w:t>
      </w:r>
      <w:proofErr w:type="spellStart"/>
      <w:r w:rsidRPr="00DD1B00">
        <w:rPr>
          <w:sz w:val="20"/>
          <w:szCs w:val="20"/>
        </w:rPr>
        <w:t>Muerza</w:t>
      </w:r>
      <w:proofErr w:type="spellEnd"/>
      <w:r w:rsidRPr="00DD1B00">
        <w:rPr>
          <w:sz w:val="20"/>
          <w:szCs w:val="20"/>
        </w:rPr>
        <w:t xml:space="preserve"> y José Antonio Tomé</w:t>
      </w:r>
      <w:r>
        <w:rPr>
          <w:sz w:val="20"/>
          <w:szCs w:val="20"/>
        </w:rPr>
        <w:t>,</w:t>
      </w:r>
      <w:r w:rsidRPr="00DD1B00">
        <w:rPr>
          <w:sz w:val="20"/>
          <w:szCs w:val="20"/>
        </w:rPr>
        <w:t xml:space="preserve"> </w:t>
      </w:r>
      <w:r w:rsidRPr="00DD1B00">
        <w:rPr>
          <w:i/>
          <w:iCs/>
          <w:sz w:val="20"/>
          <w:szCs w:val="20"/>
        </w:rPr>
        <w:t>Derecho procesal penal</w:t>
      </w:r>
      <w:r w:rsidRPr="00DD1B00">
        <w:rPr>
          <w:sz w:val="20"/>
          <w:szCs w:val="20"/>
        </w:rPr>
        <w:t>, 5ª ed., Centro de Estudios Ramón Areces, Madrid</w:t>
      </w:r>
      <w:r>
        <w:rPr>
          <w:sz w:val="20"/>
          <w:szCs w:val="20"/>
        </w:rPr>
        <w:t>, 2002, p. 514.</w:t>
      </w:r>
      <w:r w:rsidR="00C83F0A">
        <w:rPr>
          <w:sz w:val="20"/>
          <w:szCs w:val="20"/>
        </w:rPr>
        <w:t xml:space="preserve"> </w:t>
      </w:r>
      <w:r w:rsidR="00C83F0A" w:rsidRPr="00C83F0A">
        <w:rPr>
          <w:sz w:val="20"/>
          <w:szCs w:val="20"/>
        </w:rPr>
        <w:t>El autor sostiene una concepción persuasiva de la prueba</w:t>
      </w:r>
      <w:r w:rsidR="00C83F0A">
        <w:rPr>
          <w:sz w:val="20"/>
          <w:szCs w:val="20"/>
        </w:rPr>
        <w:t xml:space="preserve"> y</w:t>
      </w:r>
      <w:r w:rsidR="00C83F0A" w:rsidRPr="00C83F0A">
        <w:rPr>
          <w:sz w:val="20"/>
          <w:szCs w:val="20"/>
        </w:rPr>
        <w:t xml:space="preserve"> reduce la motivación a la explicación de las causas que han llevado al juez a creer en la ocurrencia del hecho en cuestión. Pero expresar las causas de una creencia, en el caso de </w:t>
      </w:r>
      <w:r w:rsidR="00C83F0A">
        <w:rPr>
          <w:sz w:val="20"/>
          <w:szCs w:val="20"/>
        </w:rPr>
        <w:t xml:space="preserve">poder hacerse, </w:t>
      </w:r>
      <w:r w:rsidR="00C83F0A" w:rsidRPr="00C83F0A">
        <w:rPr>
          <w:sz w:val="20"/>
          <w:szCs w:val="20"/>
        </w:rPr>
        <w:t>es distinto de justificar una decisión</w:t>
      </w:r>
      <w:r w:rsidR="00C83F0A">
        <w:rPr>
          <w:sz w:val="20"/>
          <w:szCs w:val="20"/>
        </w:rPr>
        <w:t>.</w:t>
      </w:r>
    </w:p>
    <w:p w14:paraId="3992FE87" w14:textId="69E82A6A" w:rsidR="00DD1B00" w:rsidRPr="00DD1B00" w:rsidRDefault="00DD1B00" w:rsidP="00DD1B00">
      <w:pPr>
        <w:jc w:val="both"/>
        <w:rPr>
          <w:sz w:val="20"/>
          <w:szCs w:val="20"/>
        </w:rPr>
      </w:pPr>
    </w:p>
    <w:p w14:paraId="60450A44" w14:textId="573B5B7B" w:rsidR="00DD1B00" w:rsidRDefault="00DD1B00">
      <w:pPr>
        <w:pStyle w:val="Textonotapie"/>
      </w:pPr>
    </w:p>
  </w:footnote>
  <w:footnote w:id="12">
    <w:p w14:paraId="097AD638" w14:textId="38004172" w:rsidR="00A70CD1" w:rsidRDefault="00A70CD1" w:rsidP="00A70CD1">
      <w:pPr>
        <w:pStyle w:val="Textonotapie"/>
        <w:jc w:val="both"/>
      </w:pPr>
      <w:r>
        <w:rPr>
          <w:rStyle w:val="Refdenotaalpie"/>
        </w:rPr>
        <w:footnoteRef/>
      </w:r>
      <w:r>
        <w:t xml:space="preserve"> Las lagunas probatorias impactan en el razonamiento pudiendo derivar en la total ausencia de fundamentación de sus conclusiones.</w:t>
      </w:r>
    </w:p>
  </w:footnote>
  <w:footnote w:id="13">
    <w:p w14:paraId="667606BF" w14:textId="77777777" w:rsidR="003D3D22" w:rsidRPr="00FA34D3" w:rsidRDefault="003D3D22" w:rsidP="00FA34D3">
      <w:pPr>
        <w:pStyle w:val="Textonotapie"/>
        <w:jc w:val="both"/>
      </w:pPr>
      <w:r w:rsidRPr="00FA34D3">
        <w:rPr>
          <w:rStyle w:val="Refdenotaalpie"/>
        </w:rPr>
        <w:footnoteRef/>
      </w:r>
      <w:r w:rsidRPr="00FA34D3">
        <w:t xml:space="preserve"> </w:t>
      </w:r>
      <w:proofErr w:type="spellStart"/>
      <w:r w:rsidRPr="00FA34D3">
        <w:t>Klauss</w:t>
      </w:r>
      <w:proofErr w:type="spellEnd"/>
      <w:r w:rsidRPr="00FA34D3">
        <w:t xml:space="preserve"> SCHWAB, </w:t>
      </w:r>
      <w:r w:rsidRPr="00FA34D3">
        <w:rPr>
          <w:i/>
          <w:iCs/>
        </w:rPr>
        <w:t>La cuarta revolución industrial</w:t>
      </w:r>
      <w:r w:rsidRPr="00FA34D3">
        <w:t xml:space="preserve">, Ed. Debate, 4ª ed., Barcelona, 2018, p. 13 y ss. </w:t>
      </w:r>
    </w:p>
  </w:footnote>
  <w:footnote w:id="14">
    <w:p w14:paraId="58EDC3EC" w14:textId="40A9CFF5" w:rsidR="003D3D22" w:rsidRPr="00FA34D3" w:rsidRDefault="003D3D22" w:rsidP="00FA34D3">
      <w:pPr>
        <w:pStyle w:val="Textonotapie"/>
        <w:jc w:val="both"/>
      </w:pPr>
      <w:r w:rsidRPr="00FA34D3">
        <w:rPr>
          <w:rStyle w:val="Refdenotaalpie"/>
        </w:rPr>
        <w:footnoteRef/>
      </w:r>
      <w:r w:rsidRPr="00FA34D3">
        <w:t xml:space="preserve"> Silvia BARONA VILAR, “Inteligencia artificial o la algoritmización de la vida y de la justicia: ¿solución o problema?”,</w:t>
      </w:r>
      <w:r w:rsidRPr="00FA34D3">
        <w:rPr>
          <w:i/>
          <w:iCs/>
        </w:rPr>
        <w:t xml:space="preserve"> Revista Bolivariana de Derecho</w:t>
      </w:r>
      <w:r w:rsidRPr="00FA34D3">
        <w:t>, No. 28, 2019, pp. 18-49.</w:t>
      </w:r>
    </w:p>
  </w:footnote>
  <w:footnote w:id="15">
    <w:p w14:paraId="34821C36" w14:textId="77777777" w:rsidR="003D3D22" w:rsidRPr="00FA34D3" w:rsidRDefault="003D3D22" w:rsidP="00FA34D3">
      <w:pPr>
        <w:pStyle w:val="Textonotapie"/>
        <w:jc w:val="both"/>
      </w:pPr>
      <w:r w:rsidRPr="00FA34D3">
        <w:rPr>
          <w:rStyle w:val="Refdenotaalpie"/>
        </w:rPr>
        <w:footnoteRef/>
      </w:r>
      <w:r w:rsidRPr="00FA34D3">
        <w:t xml:space="preserve"> Eduardo J. COUTURE, </w:t>
      </w:r>
      <w:r w:rsidRPr="00FA34D3">
        <w:rPr>
          <w:i/>
          <w:iCs/>
        </w:rPr>
        <w:t>Introducción al estudio del proceso civil</w:t>
      </w:r>
      <w:r w:rsidRPr="00FA34D3">
        <w:t xml:space="preserve">, </w:t>
      </w:r>
      <w:proofErr w:type="spellStart"/>
      <w:r w:rsidRPr="00FA34D3">
        <w:t>Depalma</w:t>
      </w:r>
      <w:proofErr w:type="spellEnd"/>
      <w:r w:rsidRPr="00FA34D3">
        <w:t>, Buenos Aires, 1978, p. 17.</w:t>
      </w:r>
    </w:p>
  </w:footnote>
  <w:footnote w:id="16">
    <w:p w14:paraId="3970CD65" w14:textId="26D1CEC0" w:rsidR="003D3D22" w:rsidRDefault="003D3D22" w:rsidP="009A186D">
      <w:pPr>
        <w:spacing w:after="0" w:line="240" w:lineRule="auto"/>
        <w:jc w:val="both"/>
      </w:pPr>
      <w:r w:rsidRPr="00FA34D3">
        <w:rPr>
          <w:rStyle w:val="Refdenotaalpie"/>
          <w:sz w:val="20"/>
          <w:szCs w:val="20"/>
        </w:rPr>
        <w:footnoteRef/>
      </w:r>
      <w:r w:rsidRPr="00FA34D3">
        <w:rPr>
          <w:sz w:val="20"/>
          <w:szCs w:val="20"/>
        </w:rPr>
        <w:t xml:space="preserve"> </w:t>
      </w:r>
      <w:r w:rsidRPr="00FA34D3">
        <w:rPr>
          <w:rFonts w:cs="Arial"/>
          <w:sz w:val="20"/>
          <w:szCs w:val="20"/>
        </w:rPr>
        <w:t xml:space="preserve">En nuestro ordenamiento jurídico, el derecho de toda persona de acceder a una tutela jurisdiccional efectiva constituye un derecho inherente a la personalidad humana o a la forma republicana de gobierno, consagrado tácitamente en el art. 72 de la Constitución de la República. Adicionalmente, nuestra ley procesal civil prevé que toda persona tiene el derecho a acudir ante los tribunales a plantear un problema jurídico concreto u oponerse a la solución reclamada y a ejercer todos los actos procesales concernientes a la defensa de una u otra posición procesal y el tribunal requerido tiene el deber de proveer sobre sus peticiones, lo cual está consagrado expresamente en el art. 11.1 del </w:t>
      </w:r>
      <w:r w:rsidRPr="00FA34D3">
        <w:rPr>
          <w:rFonts w:cs="Arial"/>
          <w:sz w:val="20"/>
          <w:szCs w:val="20"/>
          <w:lang w:val="es-MX"/>
        </w:rPr>
        <w:t xml:space="preserve">CGP. </w:t>
      </w:r>
      <w:r w:rsidRPr="00FA34D3">
        <w:rPr>
          <w:rFonts w:cs="Arial"/>
          <w:sz w:val="20"/>
          <w:szCs w:val="20"/>
        </w:rPr>
        <w:t xml:space="preserve"> Por lo demás, el art. 11.4 del </w:t>
      </w:r>
      <w:r w:rsidRPr="00FA34D3">
        <w:rPr>
          <w:rFonts w:cs="Arial"/>
          <w:sz w:val="20"/>
          <w:szCs w:val="20"/>
          <w:lang w:val="es-MX"/>
        </w:rPr>
        <w:t>CGP</w:t>
      </w:r>
      <w:r w:rsidRPr="00FA34D3">
        <w:rPr>
          <w:rFonts w:cs="Arial"/>
          <w:sz w:val="20"/>
          <w:szCs w:val="20"/>
        </w:rPr>
        <w:t xml:space="preserve">, en la redacción dada por la Ley No. 19.090, de fecha 14 de junio de 2013, establece que: </w:t>
      </w:r>
      <w:r w:rsidRPr="00FA34D3">
        <w:rPr>
          <w:rFonts w:cs="Arial"/>
          <w:i/>
          <w:iCs/>
          <w:sz w:val="20"/>
          <w:szCs w:val="20"/>
        </w:rPr>
        <w:t>“Todo sujeto de derecho tendrá acceso a un proceso de duración razonable que resuelva sus pretensiones, así como el derecho a una tutela jurisdiccional</w:t>
      </w:r>
      <w:r w:rsidRPr="00FA34D3">
        <w:rPr>
          <w:rFonts w:ascii="Arial" w:hAnsi="Arial" w:cs="Arial"/>
          <w:i/>
          <w:iCs/>
          <w:sz w:val="20"/>
          <w:szCs w:val="20"/>
        </w:rPr>
        <w:t xml:space="preserve"> </w:t>
      </w:r>
      <w:r w:rsidRPr="00FA34D3">
        <w:rPr>
          <w:rFonts w:cs="Arial"/>
          <w:i/>
          <w:iCs/>
          <w:sz w:val="20"/>
          <w:szCs w:val="20"/>
        </w:rPr>
        <w:t>efectiva”,</w:t>
      </w:r>
      <w:r w:rsidRPr="00FA34D3">
        <w:rPr>
          <w:rFonts w:ascii="Arial" w:hAnsi="Arial" w:cs="Arial"/>
          <w:i/>
          <w:iCs/>
          <w:sz w:val="20"/>
          <w:szCs w:val="20"/>
        </w:rPr>
        <w:t xml:space="preserve"> </w:t>
      </w:r>
      <w:r w:rsidRPr="00FA34D3">
        <w:rPr>
          <w:rFonts w:cs="Arial"/>
          <w:i/>
          <w:iCs/>
          <w:sz w:val="20"/>
          <w:szCs w:val="20"/>
        </w:rPr>
        <w:t>habiéndose consagrado a texto expreso el derecho a la tutela jurisdiccional efectiva</w:t>
      </w:r>
      <w:r w:rsidRPr="00FA34D3">
        <w:rPr>
          <w:rFonts w:cs="Arial"/>
          <w:sz w:val="20"/>
          <w:szCs w:val="20"/>
        </w:rPr>
        <w:t>”, recogiendo la más moderna orientación de las normas internacionales y de Derecho Comparado.</w:t>
      </w:r>
    </w:p>
  </w:footnote>
  <w:footnote w:id="17">
    <w:p w14:paraId="61DA6524" w14:textId="616CDEBA" w:rsidR="004A1197" w:rsidRPr="0032733E" w:rsidRDefault="004A1197" w:rsidP="0032733E">
      <w:pPr>
        <w:spacing w:after="0"/>
        <w:jc w:val="both"/>
        <w:rPr>
          <w:sz w:val="20"/>
          <w:szCs w:val="20"/>
        </w:rPr>
      </w:pPr>
      <w:r w:rsidRPr="0032733E">
        <w:rPr>
          <w:rStyle w:val="Refdenotaalpie"/>
          <w:sz w:val="20"/>
          <w:szCs w:val="20"/>
        </w:rPr>
        <w:footnoteRef/>
      </w:r>
      <w:r w:rsidRPr="0032733E">
        <w:rPr>
          <w:sz w:val="20"/>
          <w:szCs w:val="20"/>
        </w:rPr>
        <w:t xml:space="preserve"> Se destaca que existió un </w:t>
      </w:r>
      <w:r w:rsidR="0022789B" w:rsidRPr="0032733E">
        <w:rPr>
          <w:sz w:val="20"/>
          <w:szCs w:val="20"/>
        </w:rPr>
        <w:t>“p</w:t>
      </w:r>
      <w:r w:rsidRPr="0032733E">
        <w:rPr>
          <w:sz w:val="20"/>
          <w:szCs w:val="20"/>
        </w:rPr>
        <w:t>lan piloto</w:t>
      </w:r>
      <w:r w:rsidR="0022789B" w:rsidRPr="0032733E">
        <w:rPr>
          <w:sz w:val="20"/>
          <w:szCs w:val="20"/>
        </w:rPr>
        <w:t>”</w:t>
      </w:r>
      <w:r w:rsidR="006A658B" w:rsidRPr="0032733E">
        <w:rPr>
          <w:sz w:val="20"/>
          <w:szCs w:val="20"/>
        </w:rPr>
        <w:t xml:space="preserve">, </w:t>
      </w:r>
      <w:r w:rsidR="0022789B" w:rsidRPr="0032733E">
        <w:rPr>
          <w:rFonts w:cs="Arial"/>
          <w:sz w:val="20"/>
          <w:szCs w:val="20"/>
        </w:rPr>
        <w:t xml:space="preserve">previsto en la resolución de la SCJ, No. 33/2020, del 14.05.2020, </w:t>
      </w:r>
      <w:r w:rsidRPr="0032733E">
        <w:rPr>
          <w:sz w:val="20"/>
          <w:szCs w:val="20"/>
        </w:rPr>
        <w:t xml:space="preserve">para la celebración de audiencias por videoconferencias en ciertos juzgados </w:t>
      </w:r>
      <w:r w:rsidR="0022789B" w:rsidRPr="0032733E">
        <w:rPr>
          <w:sz w:val="20"/>
          <w:szCs w:val="20"/>
        </w:rPr>
        <w:t>(</w:t>
      </w:r>
      <w:r w:rsidR="0022789B" w:rsidRPr="0032733E">
        <w:rPr>
          <w:rFonts w:cs="Arial"/>
          <w:sz w:val="20"/>
          <w:szCs w:val="20"/>
        </w:rPr>
        <w:t>Letrados de 1ª instancia en lo Civil y los Letrados en lo Contencioso Administrativo con sede en Montevideo</w:t>
      </w:r>
      <w:r w:rsidRPr="0032733E">
        <w:rPr>
          <w:sz w:val="20"/>
          <w:szCs w:val="20"/>
        </w:rPr>
        <w:t>)</w:t>
      </w:r>
      <w:r w:rsidR="0022789B" w:rsidRPr="0032733E">
        <w:rPr>
          <w:sz w:val="20"/>
          <w:szCs w:val="20"/>
        </w:rPr>
        <w:t>,</w:t>
      </w:r>
      <w:r w:rsidRPr="0032733E">
        <w:rPr>
          <w:sz w:val="20"/>
          <w:szCs w:val="20"/>
        </w:rPr>
        <w:t xml:space="preserve"> previéndose que el juez y la parte o testigo que declar</w:t>
      </w:r>
      <w:r w:rsidR="00193FB7">
        <w:rPr>
          <w:sz w:val="20"/>
          <w:szCs w:val="20"/>
        </w:rPr>
        <w:t>ar</w:t>
      </w:r>
      <w:r w:rsidRPr="0032733E">
        <w:rPr>
          <w:sz w:val="20"/>
          <w:szCs w:val="20"/>
        </w:rPr>
        <w:t xml:space="preserve">e debían comparecer en forma personal a la sede del juzgado. </w:t>
      </w:r>
      <w:r w:rsidR="006A658B" w:rsidRPr="0032733E">
        <w:rPr>
          <w:rFonts w:cs="Arial"/>
          <w:sz w:val="20"/>
          <w:szCs w:val="20"/>
        </w:rPr>
        <w:t xml:space="preserve">Finalmente, también en materia penal se habilitan audiencias </w:t>
      </w:r>
      <w:proofErr w:type="spellStart"/>
      <w:r w:rsidR="006A658B" w:rsidRPr="0032733E">
        <w:rPr>
          <w:rFonts w:cs="Arial"/>
          <w:sz w:val="20"/>
          <w:szCs w:val="20"/>
        </w:rPr>
        <w:t>semi-presenciales</w:t>
      </w:r>
      <w:proofErr w:type="spellEnd"/>
      <w:r w:rsidR="006A658B" w:rsidRPr="0032733E">
        <w:rPr>
          <w:rFonts w:cs="Arial"/>
          <w:sz w:val="20"/>
          <w:szCs w:val="20"/>
        </w:rPr>
        <w:t xml:space="preserve"> en las que uno de los participantes interviene desde un lugar distinto</w:t>
      </w:r>
      <w:r w:rsidR="00CE0BD7">
        <w:rPr>
          <w:rFonts w:cs="Arial"/>
          <w:sz w:val="20"/>
          <w:szCs w:val="20"/>
        </w:rPr>
        <w:t>,</w:t>
      </w:r>
      <w:r w:rsidR="006A658B" w:rsidRPr="0032733E">
        <w:rPr>
          <w:rFonts w:cs="Arial"/>
          <w:sz w:val="20"/>
          <w:szCs w:val="20"/>
        </w:rPr>
        <w:t xml:space="preserve"> pero dentro de la sede judicial, para los casos de audiencias que deban realizarse en forma presencial pero no sea posible hacerlo por razones de infraestructura. Se admite que el imputado participe desde el centro de reclusión y su defensor desde la sala de audiencias u otro lugar con ciertos requisitos.</w:t>
      </w:r>
    </w:p>
  </w:footnote>
  <w:footnote w:id="18">
    <w:p w14:paraId="1E07EE70" w14:textId="5CDA7BCF" w:rsidR="00423B1F" w:rsidRPr="0032733E" w:rsidRDefault="00423B1F" w:rsidP="0032733E">
      <w:pPr>
        <w:spacing w:after="0"/>
        <w:jc w:val="both"/>
        <w:rPr>
          <w:sz w:val="20"/>
          <w:szCs w:val="20"/>
        </w:rPr>
      </w:pPr>
      <w:r w:rsidRPr="0032733E">
        <w:rPr>
          <w:rStyle w:val="Refdenotaalpie"/>
          <w:sz w:val="20"/>
          <w:szCs w:val="20"/>
        </w:rPr>
        <w:footnoteRef/>
      </w:r>
      <w:r w:rsidRPr="0032733E">
        <w:rPr>
          <w:sz w:val="20"/>
          <w:szCs w:val="20"/>
        </w:rPr>
        <w:t xml:space="preserve"> </w:t>
      </w:r>
      <w:r w:rsidR="00FF1B34" w:rsidRPr="0032733E">
        <w:rPr>
          <w:rFonts w:cs="Arial"/>
          <w:sz w:val="20"/>
          <w:szCs w:val="20"/>
        </w:rPr>
        <w:t xml:space="preserve">Acordada No. 7784 </w:t>
      </w:r>
      <w:r w:rsidR="00945F18" w:rsidRPr="0032733E">
        <w:rPr>
          <w:rFonts w:cs="Arial"/>
          <w:sz w:val="20"/>
          <w:szCs w:val="20"/>
        </w:rPr>
        <w:t xml:space="preserve">del año 2013 </w:t>
      </w:r>
      <w:r w:rsidR="00FF1B34" w:rsidRPr="0032733E">
        <w:rPr>
          <w:rFonts w:cs="Arial"/>
          <w:sz w:val="20"/>
          <w:szCs w:val="20"/>
        </w:rPr>
        <w:t xml:space="preserve">y </w:t>
      </w:r>
      <w:r w:rsidR="00945F18" w:rsidRPr="0032733E">
        <w:rPr>
          <w:rFonts w:cs="Arial"/>
          <w:sz w:val="20"/>
          <w:szCs w:val="20"/>
        </w:rPr>
        <w:t xml:space="preserve">No. </w:t>
      </w:r>
      <w:r w:rsidR="00FF1B34" w:rsidRPr="0032733E">
        <w:rPr>
          <w:rFonts w:cs="Arial"/>
          <w:sz w:val="20"/>
          <w:szCs w:val="20"/>
        </w:rPr>
        <w:t>7902</w:t>
      </w:r>
      <w:r w:rsidR="00945F18" w:rsidRPr="0032733E">
        <w:rPr>
          <w:rFonts w:cs="Arial"/>
          <w:sz w:val="20"/>
          <w:szCs w:val="20"/>
        </w:rPr>
        <w:t xml:space="preserve"> del año </w:t>
      </w:r>
      <w:r w:rsidR="00FF1B34" w:rsidRPr="0032733E">
        <w:rPr>
          <w:rFonts w:cs="Arial"/>
          <w:sz w:val="20"/>
          <w:szCs w:val="20"/>
        </w:rPr>
        <w:t>2017</w:t>
      </w:r>
      <w:r w:rsidR="00B73C02" w:rsidRPr="0032733E">
        <w:rPr>
          <w:rFonts w:cs="Arial"/>
          <w:sz w:val="20"/>
          <w:szCs w:val="20"/>
        </w:rPr>
        <w:t xml:space="preserve">, dieron </w:t>
      </w:r>
      <w:r w:rsidR="00ED7EC9" w:rsidRPr="0032733E">
        <w:rPr>
          <w:rFonts w:cs="Arial"/>
          <w:sz w:val="20"/>
          <w:szCs w:val="20"/>
        </w:rPr>
        <w:t>un marco para el uso de esta tecnología, pero el ámbito de aplicación está acotado a la producción de medios de prueba.</w:t>
      </w:r>
    </w:p>
  </w:footnote>
  <w:footnote w:id="19">
    <w:p w14:paraId="6AA0CBA8" w14:textId="2084857B" w:rsidR="00D461A9" w:rsidRPr="00DE6874" w:rsidRDefault="00053B3E" w:rsidP="00DE6874">
      <w:pPr>
        <w:pStyle w:val="Textonotapie"/>
        <w:jc w:val="both"/>
        <w:rPr>
          <w:i/>
          <w:iCs/>
        </w:rPr>
      </w:pPr>
      <w:r>
        <w:rPr>
          <w:rStyle w:val="Refdenotaalpie"/>
        </w:rPr>
        <w:footnoteRef/>
      </w:r>
      <w:r w:rsidR="009C7D7A">
        <w:t xml:space="preserve"> </w:t>
      </w:r>
      <w:proofErr w:type="gramStart"/>
      <w:r w:rsidR="00DE6874" w:rsidRPr="00DE6874">
        <w:rPr>
          <w:i/>
          <w:iCs/>
        </w:rPr>
        <w:t xml:space="preserve">Virtual </w:t>
      </w:r>
      <w:proofErr w:type="spellStart"/>
      <w:r w:rsidR="00DE6874" w:rsidRPr="00DE6874">
        <w:rPr>
          <w:i/>
          <w:iCs/>
        </w:rPr>
        <w:t>Justice</w:t>
      </w:r>
      <w:proofErr w:type="spellEnd"/>
      <w:r w:rsidR="00DE6874" w:rsidRPr="00DE6874">
        <w:rPr>
          <w:i/>
          <w:iCs/>
        </w:rPr>
        <w:t>?</w:t>
      </w:r>
      <w:proofErr w:type="gramEnd"/>
      <w:r w:rsidR="00DE6874" w:rsidRPr="00DE6874">
        <w:rPr>
          <w:i/>
          <w:iCs/>
        </w:rPr>
        <w:t xml:space="preserve"> A </w:t>
      </w:r>
      <w:proofErr w:type="spellStart"/>
      <w:r w:rsidR="00DE6874" w:rsidRPr="00DE6874">
        <w:rPr>
          <w:i/>
          <w:iCs/>
        </w:rPr>
        <w:t>National</w:t>
      </w:r>
      <w:proofErr w:type="spellEnd"/>
      <w:r w:rsidR="00DE6874" w:rsidRPr="00DE6874">
        <w:rPr>
          <w:i/>
          <w:iCs/>
        </w:rPr>
        <w:t xml:space="preserve"> </w:t>
      </w:r>
      <w:proofErr w:type="spellStart"/>
      <w:r w:rsidR="00DE6874" w:rsidRPr="00DE6874">
        <w:rPr>
          <w:i/>
          <w:iCs/>
        </w:rPr>
        <w:t>Study</w:t>
      </w:r>
      <w:proofErr w:type="spellEnd"/>
      <w:r w:rsidR="00DE6874" w:rsidRPr="00DE6874">
        <w:rPr>
          <w:i/>
          <w:iCs/>
        </w:rPr>
        <w:t xml:space="preserve"> </w:t>
      </w:r>
      <w:proofErr w:type="spellStart"/>
      <w:r w:rsidR="00DE6874" w:rsidRPr="00DE6874">
        <w:rPr>
          <w:i/>
          <w:iCs/>
        </w:rPr>
        <w:t>Analyzing</w:t>
      </w:r>
      <w:proofErr w:type="spellEnd"/>
      <w:r w:rsidR="00DE6874" w:rsidRPr="00DE6874">
        <w:rPr>
          <w:i/>
          <w:iCs/>
        </w:rPr>
        <w:t xml:space="preserve"> </w:t>
      </w:r>
      <w:proofErr w:type="spellStart"/>
      <w:r w:rsidR="00DE6874" w:rsidRPr="00DE6874">
        <w:rPr>
          <w:i/>
          <w:iCs/>
        </w:rPr>
        <w:t>the</w:t>
      </w:r>
      <w:proofErr w:type="spellEnd"/>
      <w:r w:rsidR="00DE6874" w:rsidRPr="00DE6874">
        <w:rPr>
          <w:i/>
          <w:iCs/>
        </w:rPr>
        <w:t xml:space="preserve"> </w:t>
      </w:r>
      <w:proofErr w:type="spellStart"/>
      <w:r w:rsidR="00DE6874" w:rsidRPr="00DE6874">
        <w:rPr>
          <w:i/>
          <w:iCs/>
        </w:rPr>
        <w:t>Transition</w:t>
      </w:r>
      <w:proofErr w:type="spellEnd"/>
      <w:r w:rsidR="00DE6874" w:rsidRPr="00DE6874">
        <w:rPr>
          <w:i/>
          <w:iCs/>
        </w:rPr>
        <w:t xml:space="preserve"> </w:t>
      </w:r>
      <w:proofErr w:type="spellStart"/>
      <w:r w:rsidR="00DE6874" w:rsidRPr="00DE6874">
        <w:rPr>
          <w:i/>
          <w:iCs/>
        </w:rPr>
        <w:t>to</w:t>
      </w:r>
      <w:proofErr w:type="spellEnd"/>
      <w:r w:rsidR="00DE6874" w:rsidRPr="00DE6874">
        <w:rPr>
          <w:i/>
          <w:iCs/>
        </w:rPr>
        <w:t xml:space="preserve"> Remote Criminal </w:t>
      </w:r>
      <w:proofErr w:type="spellStart"/>
      <w:r w:rsidR="00DE6874" w:rsidRPr="00DE6874">
        <w:rPr>
          <w:i/>
          <w:iCs/>
        </w:rPr>
        <w:t>Court</w:t>
      </w:r>
      <w:proofErr w:type="spellEnd"/>
      <w:r w:rsidR="00DE6874">
        <w:rPr>
          <w:i/>
          <w:iCs/>
        </w:rPr>
        <w:t xml:space="preserve">, </w:t>
      </w:r>
      <w:r w:rsidRPr="00D461A9">
        <w:t>https//</w:t>
      </w:r>
      <w:r w:rsidR="00D461A9" w:rsidRPr="00D461A9">
        <w:t>law.stanford.edu/publications/virtual-justice-a-national-study-analyzing-the-transition-to-remote-criminal-court</w:t>
      </w:r>
      <w:r w:rsidR="00D60350">
        <w:t>/</w:t>
      </w:r>
    </w:p>
  </w:footnote>
  <w:footnote w:id="20">
    <w:p w14:paraId="40BBF138" w14:textId="4E6A590E" w:rsidR="00D00DD8" w:rsidRDefault="00D00DD8">
      <w:pPr>
        <w:pStyle w:val="Textonotapie"/>
      </w:pPr>
      <w:r>
        <w:rPr>
          <w:rStyle w:val="Refdenotaalpie"/>
        </w:rPr>
        <w:footnoteRef/>
      </w:r>
      <w:r>
        <w:t xml:space="preserve"> Florida, Wisconsin, Dakota del Norte.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8E8"/>
    <w:multiLevelType w:val="hybridMultilevel"/>
    <w:tmpl w:val="D62E54FC"/>
    <w:lvl w:ilvl="0" w:tplc="B670696C">
      <w:start w:val="1"/>
      <w:numFmt w:val="upperRoman"/>
      <w:lvlText w:val="%1."/>
      <w:lvlJc w:val="left"/>
      <w:pPr>
        <w:ind w:left="1080" w:hanging="72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 w15:restartNumberingAfterBreak="0">
    <w:nsid w:val="2C0D29B8"/>
    <w:multiLevelType w:val="hybridMultilevel"/>
    <w:tmpl w:val="0D5CFBB2"/>
    <w:lvl w:ilvl="0" w:tplc="F8DA54EA">
      <w:start w:val="1"/>
      <w:numFmt w:val="lowerLetter"/>
      <w:lvlText w:val="%1."/>
      <w:lvlJc w:val="left"/>
      <w:pPr>
        <w:ind w:left="1353" w:hanging="360"/>
      </w:pPr>
      <w:rPr>
        <w:rFonts w:hint="default"/>
      </w:rPr>
    </w:lvl>
    <w:lvl w:ilvl="1" w:tplc="380A0019" w:tentative="1">
      <w:start w:val="1"/>
      <w:numFmt w:val="lowerLetter"/>
      <w:lvlText w:val="%2."/>
      <w:lvlJc w:val="left"/>
      <w:pPr>
        <w:ind w:left="2073" w:hanging="360"/>
      </w:pPr>
    </w:lvl>
    <w:lvl w:ilvl="2" w:tplc="380A001B" w:tentative="1">
      <w:start w:val="1"/>
      <w:numFmt w:val="lowerRoman"/>
      <w:lvlText w:val="%3."/>
      <w:lvlJc w:val="right"/>
      <w:pPr>
        <w:ind w:left="2793" w:hanging="180"/>
      </w:pPr>
    </w:lvl>
    <w:lvl w:ilvl="3" w:tplc="380A000F" w:tentative="1">
      <w:start w:val="1"/>
      <w:numFmt w:val="decimal"/>
      <w:lvlText w:val="%4."/>
      <w:lvlJc w:val="left"/>
      <w:pPr>
        <w:ind w:left="3513" w:hanging="360"/>
      </w:pPr>
    </w:lvl>
    <w:lvl w:ilvl="4" w:tplc="380A0019" w:tentative="1">
      <w:start w:val="1"/>
      <w:numFmt w:val="lowerLetter"/>
      <w:lvlText w:val="%5."/>
      <w:lvlJc w:val="left"/>
      <w:pPr>
        <w:ind w:left="4233" w:hanging="360"/>
      </w:pPr>
    </w:lvl>
    <w:lvl w:ilvl="5" w:tplc="380A001B" w:tentative="1">
      <w:start w:val="1"/>
      <w:numFmt w:val="lowerRoman"/>
      <w:lvlText w:val="%6."/>
      <w:lvlJc w:val="right"/>
      <w:pPr>
        <w:ind w:left="4953" w:hanging="180"/>
      </w:pPr>
    </w:lvl>
    <w:lvl w:ilvl="6" w:tplc="380A000F" w:tentative="1">
      <w:start w:val="1"/>
      <w:numFmt w:val="decimal"/>
      <w:lvlText w:val="%7."/>
      <w:lvlJc w:val="left"/>
      <w:pPr>
        <w:ind w:left="5673" w:hanging="360"/>
      </w:pPr>
    </w:lvl>
    <w:lvl w:ilvl="7" w:tplc="380A0019" w:tentative="1">
      <w:start w:val="1"/>
      <w:numFmt w:val="lowerLetter"/>
      <w:lvlText w:val="%8."/>
      <w:lvlJc w:val="left"/>
      <w:pPr>
        <w:ind w:left="6393" w:hanging="360"/>
      </w:pPr>
    </w:lvl>
    <w:lvl w:ilvl="8" w:tplc="380A001B" w:tentative="1">
      <w:start w:val="1"/>
      <w:numFmt w:val="lowerRoman"/>
      <w:lvlText w:val="%9."/>
      <w:lvlJc w:val="right"/>
      <w:pPr>
        <w:ind w:left="7113" w:hanging="180"/>
      </w:pPr>
    </w:lvl>
  </w:abstractNum>
  <w:abstractNum w:abstractNumId="2" w15:restartNumberingAfterBreak="0">
    <w:nsid w:val="43A41BC7"/>
    <w:multiLevelType w:val="hybridMultilevel"/>
    <w:tmpl w:val="E0EC4E96"/>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 w15:restartNumberingAfterBreak="0">
    <w:nsid w:val="52E85F0E"/>
    <w:multiLevelType w:val="hybridMultilevel"/>
    <w:tmpl w:val="89DE7B2A"/>
    <w:lvl w:ilvl="0" w:tplc="380A0019">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 w15:restartNumberingAfterBreak="0">
    <w:nsid w:val="5CB854C6"/>
    <w:multiLevelType w:val="hybridMultilevel"/>
    <w:tmpl w:val="6CF2E1CE"/>
    <w:lvl w:ilvl="0" w:tplc="FF60CBE4">
      <w:start w:val="1"/>
      <w:numFmt w:val="bullet"/>
      <w:lvlText w:val="-"/>
      <w:lvlJc w:val="left"/>
      <w:pPr>
        <w:ind w:left="720" w:hanging="360"/>
      </w:pPr>
      <w:rPr>
        <w:rFonts w:ascii="Book Antiqua" w:eastAsiaTheme="minorHAnsi" w:hAnsi="Book Antiqua" w:cs="Arial" w:hint="default"/>
      </w:rPr>
    </w:lvl>
    <w:lvl w:ilvl="1" w:tplc="380A0003">
      <w:start w:val="1"/>
      <w:numFmt w:val="bullet"/>
      <w:lvlText w:val="o"/>
      <w:lvlJc w:val="left"/>
      <w:pPr>
        <w:ind w:left="1440" w:hanging="360"/>
      </w:pPr>
      <w:rPr>
        <w:rFonts w:ascii="Courier New" w:hAnsi="Courier New" w:cs="Courier New" w:hint="default"/>
      </w:rPr>
    </w:lvl>
    <w:lvl w:ilvl="2" w:tplc="380A0005">
      <w:start w:val="1"/>
      <w:numFmt w:val="bullet"/>
      <w:lvlText w:val=""/>
      <w:lvlJc w:val="left"/>
      <w:pPr>
        <w:ind w:left="2160" w:hanging="360"/>
      </w:pPr>
      <w:rPr>
        <w:rFonts w:ascii="Wingdings" w:hAnsi="Wingdings" w:hint="default"/>
      </w:rPr>
    </w:lvl>
    <w:lvl w:ilvl="3" w:tplc="380A0001">
      <w:start w:val="1"/>
      <w:numFmt w:val="bullet"/>
      <w:lvlText w:val=""/>
      <w:lvlJc w:val="left"/>
      <w:pPr>
        <w:ind w:left="2880" w:hanging="360"/>
      </w:pPr>
      <w:rPr>
        <w:rFonts w:ascii="Symbol" w:hAnsi="Symbol" w:hint="default"/>
      </w:rPr>
    </w:lvl>
    <w:lvl w:ilvl="4" w:tplc="380A0003">
      <w:start w:val="1"/>
      <w:numFmt w:val="bullet"/>
      <w:lvlText w:val="o"/>
      <w:lvlJc w:val="left"/>
      <w:pPr>
        <w:ind w:left="3600" w:hanging="360"/>
      </w:pPr>
      <w:rPr>
        <w:rFonts w:ascii="Courier New" w:hAnsi="Courier New" w:cs="Courier New" w:hint="default"/>
      </w:rPr>
    </w:lvl>
    <w:lvl w:ilvl="5" w:tplc="380A0005">
      <w:start w:val="1"/>
      <w:numFmt w:val="bullet"/>
      <w:lvlText w:val=""/>
      <w:lvlJc w:val="left"/>
      <w:pPr>
        <w:ind w:left="4320" w:hanging="360"/>
      </w:pPr>
      <w:rPr>
        <w:rFonts w:ascii="Wingdings" w:hAnsi="Wingdings" w:hint="default"/>
      </w:rPr>
    </w:lvl>
    <w:lvl w:ilvl="6" w:tplc="380A0001">
      <w:start w:val="1"/>
      <w:numFmt w:val="bullet"/>
      <w:lvlText w:val=""/>
      <w:lvlJc w:val="left"/>
      <w:pPr>
        <w:ind w:left="5040" w:hanging="360"/>
      </w:pPr>
      <w:rPr>
        <w:rFonts w:ascii="Symbol" w:hAnsi="Symbol" w:hint="default"/>
      </w:rPr>
    </w:lvl>
    <w:lvl w:ilvl="7" w:tplc="380A0003">
      <w:start w:val="1"/>
      <w:numFmt w:val="bullet"/>
      <w:lvlText w:val="o"/>
      <w:lvlJc w:val="left"/>
      <w:pPr>
        <w:ind w:left="5760" w:hanging="360"/>
      </w:pPr>
      <w:rPr>
        <w:rFonts w:ascii="Courier New" w:hAnsi="Courier New" w:cs="Courier New" w:hint="default"/>
      </w:rPr>
    </w:lvl>
    <w:lvl w:ilvl="8" w:tplc="380A0005">
      <w:start w:val="1"/>
      <w:numFmt w:val="bullet"/>
      <w:lvlText w:val=""/>
      <w:lvlJc w:val="left"/>
      <w:pPr>
        <w:ind w:left="6480" w:hanging="360"/>
      </w:pPr>
      <w:rPr>
        <w:rFonts w:ascii="Wingdings" w:hAnsi="Wingdings" w:hint="default"/>
      </w:rPr>
    </w:lvl>
  </w:abstractNum>
  <w:abstractNum w:abstractNumId="5" w15:restartNumberingAfterBreak="0">
    <w:nsid w:val="63AE551C"/>
    <w:multiLevelType w:val="hybridMultilevel"/>
    <w:tmpl w:val="C5EA22B0"/>
    <w:lvl w:ilvl="0" w:tplc="E8A47C72">
      <w:start w:val="1"/>
      <w:numFmt w:val="upperRoman"/>
      <w:lvlText w:val="%1."/>
      <w:lvlJc w:val="left"/>
      <w:pPr>
        <w:ind w:left="1080" w:hanging="720"/>
      </w:pPr>
    </w:lvl>
    <w:lvl w:ilvl="1" w:tplc="380A0019">
      <w:start w:val="1"/>
      <w:numFmt w:val="lowerLetter"/>
      <w:lvlText w:val="%2."/>
      <w:lvlJc w:val="left"/>
      <w:pPr>
        <w:ind w:left="1440" w:hanging="360"/>
      </w:pPr>
    </w:lvl>
    <w:lvl w:ilvl="2" w:tplc="380A001B">
      <w:start w:val="1"/>
      <w:numFmt w:val="lowerRoman"/>
      <w:lvlText w:val="%3."/>
      <w:lvlJc w:val="right"/>
      <w:pPr>
        <w:ind w:left="2160" w:hanging="180"/>
      </w:pPr>
    </w:lvl>
    <w:lvl w:ilvl="3" w:tplc="380A000F">
      <w:start w:val="1"/>
      <w:numFmt w:val="decimal"/>
      <w:lvlText w:val="%4."/>
      <w:lvlJc w:val="left"/>
      <w:pPr>
        <w:ind w:left="2880" w:hanging="360"/>
      </w:pPr>
    </w:lvl>
    <w:lvl w:ilvl="4" w:tplc="380A0019">
      <w:start w:val="1"/>
      <w:numFmt w:val="lowerLetter"/>
      <w:lvlText w:val="%5."/>
      <w:lvlJc w:val="left"/>
      <w:pPr>
        <w:ind w:left="3600" w:hanging="360"/>
      </w:pPr>
    </w:lvl>
    <w:lvl w:ilvl="5" w:tplc="380A001B">
      <w:start w:val="1"/>
      <w:numFmt w:val="lowerRoman"/>
      <w:lvlText w:val="%6."/>
      <w:lvlJc w:val="right"/>
      <w:pPr>
        <w:ind w:left="4320" w:hanging="180"/>
      </w:pPr>
    </w:lvl>
    <w:lvl w:ilvl="6" w:tplc="380A000F">
      <w:start w:val="1"/>
      <w:numFmt w:val="decimal"/>
      <w:lvlText w:val="%7."/>
      <w:lvlJc w:val="left"/>
      <w:pPr>
        <w:ind w:left="5040" w:hanging="360"/>
      </w:pPr>
    </w:lvl>
    <w:lvl w:ilvl="7" w:tplc="380A0019">
      <w:start w:val="1"/>
      <w:numFmt w:val="lowerLetter"/>
      <w:lvlText w:val="%8."/>
      <w:lvlJc w:val="left"/>
      <w:pPr>
        <w:ind w:left="5760" w:hanging="360"/>
      </w:pPr>
    </w:lvl>
    <w:lvl w:ilvl="8" w:tplc="380A001B">
      <w:start w:val="1"/>
      <w:numFmt w:val="lowerRoman"/>
      <w:lvlText w:val="%9."/>
      <w:lvlJc w:val="right"/>
      <w:pPr>
        <w:ind w:left="6480" w:hanging="180"/>
      </w:pPr>
    </w:lvl>
  </w:abstractNum>
  <w:num w:numId="1" w16cid:durableId="1295721745">
    <w:abstractNumId w:val="0"/>
  </w:num>
  <w:num w:numId="2" w16cid:durableId="2099784493">
    <w:abstractNumId w:val="2"/>
  </w:num>
  <w:num w:numId="3" w16cid:durableId="679166582">
    <w:abstractNumId w:val="3"/>
  </w:num>
  <w:num w:numId="4" w16cid:durableId="17570482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2517236">
    <w:abstractNumId w:val="4"/>
  </w:num>
  <w:num w:numId="6" w16cid:durableId="1942059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864"/>
    <w:rsid w:val="0000338D"/>
    <w:rsid w:val="00003596"/>
    <w:rsid w:val="000041F0"/>
    <w:rsid w:val="00005577"/>
    <w:rsid w:val="00010E9D"/>
    <w:rsid w:val="00014E87"/>
    <w:rsid w:val="00015D8C"/>
    <w:rsid w:val="000172B0"/>
    <w:rsid w:val="00024006"/>
    <w:rsid w:val="00031648"/>
    <w:rsid w:val="00034994"/>
    <w:rsid w:val="000357DC"/>
    <w:rsid w:val="000402AF"/>
    <w:rsid w:val="00041FDB"/>
    <w:rsid w:val="00044E66"/>
    <w:rsid w:val="00047CF5"/>
    <w:rsid w:val="000508BD"/>
    <w:rsid w:val="0005367C"/>
    <w:rsid w:val="00053B3E"/>
    <w:rsid w:val="000548DB"/>
    <w:rsid w:val="00056704"/>
    <w:rsid w:val="00056F02"/>
    <w:rsid w:val="00061020"/>
    <w:rsid w:val="000671BD"/>
    <w:rsid w:val="0007024D"/>
    <w:rsid w:val="000702E4"/>
    <w:rsid w:val="00071F9E"/>
    <w:rsid w:val="000771C5"/>
    <w:rsid w:val="00081880"/>
    <w:rsid w:val="00086D26"/>
    <w:rsid w:val="0008729E"/>
    <w:rsid w:val="000902F1"/>
    <w:rsid w:val="00090953"/>
    <w:rsid w:val="00094F25"/>
    <w:rsid w:val="000A3695"/>
    <w:rsid w:val="000A3ED9"/>
    <w:rsid w:val="000A40C5"/>
    <w:rsid w:val="000A6849"/>
    <w:rsid w:val="000B1E51"/>
    <w:rsid w:val="000B492F"/>
    <w:rsid w:val="000C42B4"/>
    <w:rsid w:val="000C48BA"/>
    <w:rsid w:val="000C5B8B"/>
    <w:rsid w:val="000C6319"/>
    <w:rsid w:val="000C686D"/>
    <w:rsid w:val="000D0855"/>
    <w:rsid w:val="000D39FA"/>
    <w:rsid w:val="000D3FDC"/>
    <w:rsid w:val="000D71A3"/>
    <w:rsid w:val="000E2609"/>
    <w:rsid w:val="000E3206"/>
    <w:rsid w:val="000E6259"/>
    <w:rsid w:val="000F507A"/>
    <w:rsid w:val="001001CB"/>
    <w:rsid w:val="00101331"/>
    <w:rsid w:val="001044AD"/>
    <w:rsid w:val="0011106E"/>
    <w:rsid w:val="001144BD"/>
    <w:rsid w:val="0011499B"/>
    <w:rsid w:val="00114D43"/>
    <w:rsid w:val="00123BD9"/>
    <w:rsid w:val="00123E4E"/>
    <w:rsid w:val="001268CC"/>
    <w:rsid w:val="00127864"/>
    <w:rsid w:val="00130A7B"/>
    <w:rsid w:val="0013284C"/>
    <w:rsid w:val="00137DEB"/>
    <w:rsid w:val="00140D50"/>
    <w:rsid w:val="00141098"/>
    <w:rsid w:val="001411F2"/>
    <w:rsid w:val="001417DE"/>
    <w:rsid w:val="00141D85"/>
    <w:rsid w:val="001420E7"/>
    <w:rsid w:val="001465C3"/>
    <w:rsid w:val="00151B80"/>
    <w:rsid w:val="0015690D"/>
    <w:rsid w:val="00161E65"/>
    <w:rsid w:val="00161FB3"/>
    <w:rsid w:val="0016254C"/>
    <w:rsid w:val="00164AF0"/>
    <w:rsid w:val="00165AD5"/>
    <w:rsid w:val="0016742C"/>
    <w:rsid w:val="00170CE2"/>
    <w:rsid w:val="0017114E"/>
    <w:rsid w:val="00173F75"/>
    <w:rsid w:val="00173F97"/>
    <w:rsid w:val="00175FFF"/>
    <w:rsid w:val="001856DC"/>
    <w:rsid w:val="0019112B"/>
    <w:rsid w:val="00193FB7"/>
    <w:rsid w:val="00197002"/>
    <w:rsid w:val="001A00E2"/>
    <w:rsid w:val="001A1C1D"/>
    <w:rsid w:val="001A209D"/>
    <w:rsid w:val="001A3502"/>
    <w:rsid w:val="001A4FBC"/>
    <w:rsid w:val="001A504E"/>
    <w:rsid w:val="001A76E2"/>
    <w:rsid w:val="001B4B02"/>
    <w:rsid w:val="001C4DED"/>
    <w:rsid w:val="001D1359"/>
    <w:rsid w:val="001D1F16"/>
    <w:rsid w:val="001D3741"/>
    <w:rsid w:val="001D4477"/>
    <w:rsid w:val="001D52BA"/>
    <w:rsid w:val="001E46A3"/>
    <w:rsid w:val="001E7AE3"/>
    <w:rsid w:val="001F2FF9"/>
    <w:rsid w:val="001F3285"/>
    <w:rsid w:val="001F5F37"/>
    <w:rsid w:val="002036A3"/>
    <w:rsid w:val="002064C5"/>
    <w:rsid w:val="00206C66"/>
    <w:rsid w:val="002128FA"/>
    <w:rsid w:val="0021291C"/>
    <w:rsid w:val="00212D9C"/>
    <w:rsid w:val="0021444E"/>
    <w:rsid w:val="00214C88"/>
    <w:rsid w:val="0021689A"/>
    <w:rsid w:val="00222625"/>
    <w:rsid w:val="00224485"/>
    <w:rsid w:val="0022789B"/>
    <w:rsid w:val="0023027F"/>
    <w:rsid w:val="00230843"/>
    <w:rsid w:val="002342E2"/>
    <w:rsid w:val="00235157"/>
    <w:rsid w:val="00241699"/>
    <w:rsid w:val="00242EEF"/>
    <w:rsid w:val="002444D9"/>
    <w:rsid w:val="0024695E"/>
    <w:rsid w:val="00247ED6"/>
    <w:rsid w:val="00250E65"/>
    <w:rsid w:val="0026220D"/>
    <w:rsid w:val="0026458E"/>
    <w:rsid w:val="00266174"/>
    <w:rsid w:val="002750CF"/>
    <w:rsid w:val="002819E1"/>
    <w:rsid w:val="00281D6D"/>
    <w:rsid w:val="00282755"/>
    <w:rsid w:val="002857B1"/>
    <w:rsid w:val="00290BD0"/>
    <w:rsid w:val="002941AA"/>
    <w:rsid w:val="00296EBB"/>
    <w:rsid w:val="002A6A29"/>
    <w:rsid w:val="002A6CD6"/>
    <w:rsid w:val="002A6F25"/>
    <w:rsid w:val="002B0C78"/>
    <w:rsid w:val="002B4800"/>
    <w:rsid w:val="002B4907"/>
    <w:rsid w:val="002B5331"/>
    <w:rsid w:val="002B6826"/>
    <w:rsid w:val="002B6992"/>
    <w:rsid w:val="002B69D3"/>
    <w:rsid w:val="002B788F"/>
    <w:rsid w:val="002C03B4"/>
    <w:rsid w:val="002C181C"/>
    <w:rsid w:val="002C3A54"/>
    <w:rsid w:val="002C4C12"/>
    <w:rsid w:val="002C53F6"/>
    <w:rsid w:val="002C585D"/>
    <w:rsid w:val="002D0AE6"/>
    <w:rsid w:val="002D12C7"/>
    <w:rsid w:val="002D7379"/>
    <w:rsid w:val="002E0B72"/>
    <w:rsid w:val="002E0C08"/>
    <w:rsid w:val="002E109E"/>
    <w:rsid w:val="002E28E3"/>
    <w:rsid w:val="002E473A"/>
    <w:rsid w:val="002E6B27"/>
    <w:rsid w:val="002F0416"/>
    <w:rsid w:val="002F198D"/>
    <w:rsid w:val="002F3847"/>
    <w:rsid w:val="002F575B"/>
    <w:rsid w:val="002F71EF"/>
    <w:rsid w:val="00301323"/>
    <w:rsid w:val="00305230"/>
    <w:rsid w:val="0030581A"/>
    <w:rsid w:val="00311957"/>
    <w:rsid w:val="00316356"/>
    <w:rsid w:val="00316743"/>
    <w:rsid w:val="00322697"/>
    <w:rsid w:val="003243B2"/>
    <w:rsid w:val="0032733E"/>
    <w:rsid w:val="00330B5B"/>
    <w:rsid w:val="00335D78"/>
    <w:rsid w:val="00343C17"/>
    <w:rsid w:val="003440E3"/>
    <w:rsid w:val="003473E4"/>
    <w:rsid w:val="00357CAD"/>
    <w:rsid w:val="00363496"/>
    <w:rsid w:val="00377CEE"/>
    <w:rsid w:val="0038054C"/>
    <w:rsid w:val="003824C3"/>
    <w:rsid w:val="00390E23"/>
    <w:rsid w:val="003919C5"/>
    <w:rsid w:val="003A043B"/>
    <w:rsid w:val="003A5EF1"/>
    <w:rsid w:val="003A6BCD"/>
    <w:rsid w:val="003B0EAD"/>
    <w:rsid w:val="003B3661"/>
    <w:rsid w:val="003B5ED9"/>
    <w:rsid w:val="003B6D4D"/>
    <w:rsid w:val="003C64C3"/>
    <w:rsid w:val="003C6868"/>
    <w:rsid w:val="003C7BB3"/>
    <w:rsid w:val="003D3D22"/>
    <w:rsid w:val="003D77D8"/>
    <w:rsid w:val="003E2046"/>
    <w:rsid w:val="003F1AD5"/>
    <w:rsid w:val="003F2341"/>
    <w:rsid w:val="003F3540"/>
    <w:rsid w:val="004034C2"/>
    <w:rsid w:val="00403C0A"/>
    <w:rsid w:val="00405979"/>
    <w:rsid w:val="00405C27"/>
    <w:rsid w:val="00407A63"/>
    <w:rsid w:val="00410E8C"/>
    <w:rsid w:val="00413A8D"/>
    <w:rsid w:val="00413E09"/>
    <w:rsid w:val="00416E8E"/>
    <w:rsid w:val="0042181A"/>
    <w:rsid w:val="00423B1F"/>
    <w:rsid w:val="004266D5"/>
    <w:rsid w:val="00430718"/>
    <w:rsid w:val="00435442"/>
    <w:rsid w:val="00442417"/>
    <w:rsid w:val="00442E01"/>
    <w:rsid w:val="00444875"/>
    <w:rsid w:val="004459E3"/>
    <w:rsid w:val="00446063"/>
    <w:rsid w:val="00446EE7"/>
    <w:rsid w:val="0045564B"/>
    <w:rsid w:val="00456F35"/>
    <w:rsid w:val="0045771A"/>
    <w:rsid w:val="004610BE"/>
    <w:rsid w:val="0046206C"/>
    <w:rsid w:val="00466277"/>
    <w:rsid w:val="004663FE"/>
    <w:rsid w:val="004733CE"/>
    <w:rsid w:val="0048001D"/>
    <w:rsid w:val="004850E3"/>
    <w:rsid w:val="00486CC6"/>
    <w:rsid w:val="0048734E"/>
    <w:rsid w:val="004908CA"/>
    <w:rsid w:val="00490C97"/>
    <w:rsid w:val="00497422"/>
    <w:rsid w:val="004A1197"/>
    <w:rsid w:val="004A2870"/>
    <w:rsid w:val="004A2AD7"/>
    <w:rsid w:val="004A3324"/>
    <w:rsid w:val="004A3940"/>
    <w:rsid w:val="004B17D9"/>
    <w:rsid w:val="004B3FC2"/>
    <w:rsid w:val="004B4912"/>
    <w:rsid w:val="004C2838"/>
    <w:rsid w:val="004C300E"/>
    <w:rsid w:val="004C52A0"/>
    <w:rsid w:val="004D004F"/>
    <w:rsid w:val="004D0E3B"/>
    <w:rsid w:val="004D1654"/>
    <w:rsid w:val="004D23CC"/>
    <w:rsid w:val="004D5038"/>
    <w:rsid w:val="004D539A"/>
    <w:rsid w:val="004D635A"/>
    <w:rsid w:val="004E115E"/>
    <w:rsid w:val="004E1654"/>
    <w:rsid w:val="004E1DA9"/>
    <w:rsid w:val="004E5D23"/>
    <w:rsid w:val="004E618B"/>
    <w:rsid w:val="004F3800"/>
    <w:rsid w:val="004F4D50"/>
    <w:rsid w:val="004F693F"/>
    <w:rsid w:val="00503162"/>
    <w:rsid w:val="00504640"/>
    <w:rsid w:val="00513F53"/>
    <w:rsid w:val="00515902"/>
    <w:rsid w:val="0052130B"/>
    <w:rsid w:val="005227A3"/>
    <w:rsid w:val="005230CB"/>
    <w:rsid w:val="0053092A"/>
    <w:rsid w:val="005320D7"/>
    <w:rsid w:val="00532C7E"/>
    <w:rsid w:val="00540080"/>
    <w:rsid w:val="00543E7C"/>
    <w:rsid w:val="00551337"/>
    <w:rsid w:val="00554B9C"/>
    <w:rsid w:val="00557B7B"/>
    <w:rsid w:val="00557D65"/>
    <w:rsid w:val="00560274"/>
    <w:rsid w:val="005606B7"/>
    <w:rsid w:val="00560E54"/>
    <w:rsid w:val="00562BA0"/>
    <w:rsid w:val="00563D14"/>
    <w:rsid w:val="00565FC1"/>
    <w:rsid w:val="00567D16"/>
    <w:rsid w:val="00570D5A"/>
    <w:rsid w:val="00571E7C"/>
    <w:rsid w:val="00572A2E"/>
    <w:rsid w:val="00572B62"/>
    <w:rsid w:val="00575DC8"/>
    <w:rsid w:val="00577562"/>
    <w:rsid w:val="00581372"/>
    <w:rsid w:val="0058346F"/>
    <w:rsid w:val="00584C68"/>
    <w:rsid w:val="00585CAB"/>
    <w:rsid w:val="005867F0"/>
    <w:rsid w:val="00590019"/>
    <w:rsid w:val="0059322C"/>
    <w:rsid w:val="0059382E"/>
    <w:rsid w:val="005A493A"/>
    <w:rsid w:val="005A4AA3"/>
    <w:rsid w:val="005B37AD"/>
    <w:rsid w:val="005C09CB"/>
    <w:rsid w:val="005C0AD6"/>
    <w:rsid w:val="005C0C21"/>
    <w:rsid w:val="005C1D56"/>
    <w:rsid w:val="005C2662"/>
    <w:rsid w:val="005C48B7"/>
    <w:rsid w:val="005D1670"/>
    <w:rsid w:val="005D37C6"/>
    <w:rsid w:val="005E0887"/>
    <w:rsid w:val="005E157A"/>
    <w:rsid w:val="005E3796"/>
    <w:rsid w:val="005E7404"/>
    <w:rsid w:val="005E7FD6"/>
    <w:rsid w:val="005F4581"/>
    <w:rsid w:val="005F5D3C"/>
    <w:rsid w:val="00602330"/>
    <w:rsid w:val="00605F05"/>
    <w:rsid w:val="00607ABD"/>
    <w:rsid w:val="00610E5F"/>
    <w:rsid w:val="00614AFC"/>
    <w:rsid w:val="0061654F"/>
    <w:rsid w:val="00621CC8"/>
    <w:rsid w:val="00623901"/>
    <w:rsid w:val="00623922"/>
    <w:rsid w:val="00623ECA"/>
    <w:rsid w:val="00631A1D"/>
    <w:rsid w:val="006333F6"/>
    <w:rsid w:val="00633613"/>
    <w:rsid w:val="00636864"/>
    <w:rsid w:val="00642755"/>
    <w:rsid w:val="00645552"/>
    <w:rsid w:val="00646752"/>
    <w:rsid w:val="00646ADB"/>
    <w:rsid w:val="00650EEC"/>
    <w:rsid w:val="00655C25"/>
    <w:rsid w:val="00664807"/>
    <w:rsid w:val="00666CC2"/>
    <w:rsid w:val="00667136"/>
    <w:rsid w:val="00672FD4"/>
    <w:rsid w:val="00673C5A"/>
    <w:rsid w:val="0067485E"/>
    <w:rsid w:val="0067603C"/>
    <w:rsid w:val="00676509"/>
    <w:rsid w:val="00677C0F"/>
    <w:rsid w:val="00681AD8"/>
    <w:rsid w:val="0068517B"/>
    <w:rsid w:val="00687501"/>
    <w:rsid w:val="006878D2"/>
    <w:rsid w:val="006906BA"/>
    <w:rsid w:val="006A3E41"/>
    <w:rsid w:val="006A4C92"/>
    <w:rsid w:val="006A658B"/>
    <w:rsid w:val="006B242D"/>
    <w:rsid w:val="006B5A9B"/>
    <w:rsid w:val="006B73BB"/>
    <w:rsid w:val="006C2EB8"/>
    <w:rsid w:val="006C3191"/>
    <w:rsid w:val="006C5F17"/>
    <w:rsid w:val="006C72F8"/>
    <w:rsid w:val="006D14F2"/>
    <w:rsid w:val="006D330F"/>
    <w:rsid w:val="006D3FFB"/>
    <w:rsid w:val="006D79E3"/>
    <w:rsid w:val="006E2060"/>
    <w:rsid w:val="006E22B1"/>
    <w:rsid w:val="006E35AA"/>
    <w:rsid w:val="006F30D0"/>
    <w:rsid w:val="006F46BC"/>
    <w:rsid w:val="006F50B2"/>
    <w:rsid w:val="00700160"/>
    <w:rsid w:val="007016B1"/>
    <w:rsid w:val="007029D7"/>
    <w:rsid w:val="00702F60"/>
    <w:rsid w:val="00704908"/>
    <w:rsid w:val="00705628"/>
    <w:rsid w:val="00713E6C"/>
    <w:rsid w:val="00715286"/>
    <w:rsid w:val="0071599B"/>
    <w:rsid w:val="00717C42"/>
    <w:rsid w:val="00730DC4"/>
    <w:rsid w:val="00752574"/>
    <w:rsid w:val="0075348A"/>
    <w:rsid w:val="00753C9D"/>
    <w:rsid w:val="00755B14"/>
    <w:rsid w:val="0075705E"/>
    <w:rsid w:val="007571C6"/>
    <w:rsid w:val="00757595"/>
    <w:rsid w:val="007578AB"/>
    <w:rsid w:val="007625FD"/>
    <w:rsid w:val="00766F8C"/>
    <w:rsid w:val="00773441"/>
    <w:rsid w:val="007748E5"/>
    <w:rsid w:val="00774A3B"/>
    <w:rsid w:val="0078044B"/>
    <w:rsid w:val="00780DA1"/>
    <w:rsid w:val="00790A3F"/>
    <w:rsid w:val="00792B98"/>
    <w:rsid w:val="007939A3"/>
    <w:rsid w:val="00793D8C"/>
    <w:rsid w:val="0079413F"/>
    <w:rsid w:val="007A17EB"/>
    <w:rsid w:val="007A1942"/>
    <w:rsid w:val="007A5E38"/>
    <w:rsid w:val="007A7B72"/>
    <w:rsid w:val="007C1CF0"/>
    <w:rsid w:val="007C5E87"/>
    <w:rsid w:val="007C65F7"/>
    <w:rsid w:val="007C6888"/>
    <w:rsid w:val="007C6A59"/>
    <w:rsid w:val="007D629E"/>
    <w:rsid w:val="007D77C1"/>
    <w:rsid w:val="007E4312"/>
    <w:rsid w:val="007E78F9"/>
    <w:rsid w:val="007F0C0C"/>
    <w:rsid w:val="007F4498"/>
    <w:rsid w:val="007F4EAC"/>
    <w:rsid w:val="007F77B0"/>
    <w:rsid w:val="00801743"/>
    <w:rsid w:val="00803FD8"/>
    <w:rsid w:val="00813B41"/>
    <w:rsid w:val="00816788"/>
    <w:rsid w:val="00830CF9"/>
    <w:rsid w:val="008403BB"/>
    <w:rsid w:val="00843EC1"/>
    <w:rsid w:val="008440C6"/>
    <w:rsid w:val="0084789A"/>
    <w:rsid w:val="00856F1D"/>
    <w:rsid w:val="008659E6"/>
    <w:rsid w:val="00867EA1"/>
    <w:rsid w:val="00870F6C"/>
    <w:rsid w:val="0087507C"/>
    <w:rsid w:val="00875E92"/>
    <w:rsid w:val="00882ED5"/>
    <w:rsid w:val="00884E7D"/>
    <w:rsid w:val="0088512C"/>
    <w:rsid w:val="0088718F"/>
    <w:rsid w:val="00892170"/>
    <w:rsid w:val="0089284B"/>
    <w:rsid w:val="008A1282"/>
    <w:rsid w:val="008A153F"/>
    <w:rsid w:val="008A5D5D"/>
    <w:rsid w:val="008A6186"/>
    <w:rsid w:val="008A7986"/>
    <w:rsid w:val="008B1476"/>
    <w:rsid w:val="008B227D"/>
    <w:rsid w:val="008B2559"/>
    <w:rsid w:val="008B4E13"/>
    <w:rsid w:val="008B6B1F"/>
    <w:rsid w:val="008C1015"/>
    <w:rsid w:val="008D2F1D"/>
    <w:rsid w:val="008E3DD1"/>
    <w:rsid w:val="008F372B"/>
    <w:rsid w:val="008F4043"/>
    <w:rsid w:val="008F65D5"/>
    <w:rsid w:val="008F6F13"/>
    <w:rsid w:val="0090310D"/>
    <w:rsid w:val="00903CD6"/>
    <w:rsid w:val="00904DA6"/>
    <w:rsid w:val="00905BAA"/>
    <w:rsid w:val="0091412A"/>
    <w:rsid w:val="00914D97"/>
    <w:rsid w:val="009157C8"/>
    <w:rsid w:val="00916FE7"/>
    <w:rsid w:val="0092343F"/>
    <w:rsid w:val="00926DCB"/>
    <w:rsid w:val="0093126E"/>
    <w:rsid w:val="0093136F"/>
    <w:rsid w:val="0093232B"/>
    <w:rsid w:val="009335EF"/>
    <w:rsid w:val="00944876"/>
    <w:rsid w:val="00945F18"/>
    <w:rsid w:val="009512A9"/>
    <w:rsid w:val="009552D2"/>
    <w:rsid w:val="009557EB"/>
    <w:rsid w:val="0095620A"/>
    <w:rsid w:val="009568C7"/>
    <w:rsid w:val="00956F07"/>
    <w:rsid w:val="00962AAE"/>
    <w:rsid w:val="009639E4"/>
    <w:rsid w:val="00963A2D"/>
    <w:rsid w:val="00965366"/>
    <w:rsid w:val="00967351"/>
    <w:rsid w:val="00976A07"/>
    <w:rsid w:val="00977361"/>
    <w:rsid w:val="0098002C"/>
    <w:rsid w:val="00985A9A"/>
    <w:rsid w:val="00990602"/>
    <w:rsid w:val="0099204C"/>
    <w:rsid w:val="0099346C"/>
    <w:rsid w:val="0099351C"/>
    <w:rsid w:val="00996C43"/>
    <w:rsid w:val="00996C66"/>
    <w:rsid w:val="00997AAB"/>
    <w:rsid w:val="009A186D"/>
    <w:rsid w:val="009A227E"/>
    <w:rsid w:val="009A4F9F"/>
    <w:rsid w:val="009A56C3"/>
    <w:rsid w:val="009A5FE4"/>
    <w:rsid w:val="009A69B2"/>
    <w:rsid w:val="009B1FBC"/>
    <w:rsid w:val="009B2926"/>
    <w:rsid w:val="009B79BB"/>
    <w:rsid w:val="009C0685"/>
    <w:rsid w:val="009C1F94"/>
    <w:rsid w:val="009C7D7A"/>
    <w:rsid w:val="009D0C2B"/>
    <w:rsid w:val="009D0CBB"/>
    <w:rsid w:val="009D1D81"/>
    <w:rsid w:val="009D4711"/>
    <w:rsid w:val="009E4232"/>
    <w:rsid w:val="009E6700"/>
    <w:rsid w:val="009F1591"/>
    <w:rsid w:val="009F229F"/>
    <w:rsid w:val="009F28C3"/>
    <w:rsid w:val="009F69D5"/>
    <w:rsid w:val="00A00E11"/>
    <w:rsid w:val="00A03F14"/>
    <w:rsid w:val="00A13AF7"/>
    <w:rsid w:val="00A1401E"/>
    <w:rsid w:val="00A14145"/>
    <w:rsid w:val="00A1754A"/>
    <w:rsid w:val="00A245E1"/>
    <w:rsid w:val="00A25367"/>
    <w:rsid w:val="00A308B6"/>
    <w:rsid w:val="00A35D17"/>
    <w:rsid w:val="00A41E84"/>
    <w:rsid w:val="00A449FE"/>
    <w:rsid w:val="00A47C86"/>
    <w:rsid w:val="00A53996"/>
    <w:rsid w:val="00A56908"/>
    <w:rsid w:val="00A62A29"/>
    <w:rsid w:val="00A66B9F"/>
    <w:rsid w:val="00A6739F"/>
    <w:rsid w:val="00A70075"/>
    <w:rsid w:val="00A7025A"/>
    <w:rsid w:val="00A70CD1"/>
    <w:rsid w:val="00A70D5D"/>
    <w:rsid w:val="00A70F65"/>
    <w:rsid w:val="00A7215A"/>
    <w:rsid w:val="00A73C16"/>
    <w:rsid w:val="00A74F09"/>
    <w:rsid w:val="00A76750"/>
    <w:rsid w:val="00A76829"/>
    <w:rsid w:val="00A81205"/>
    <w:rsid w:val="00A8218B"/>
    <w:rsid w:val="00A83333"/>
    <w:rsid w:val="00A83AF6"/>
    <w:rsid w:val="00A85525"/>
    <w:rsid w:val="00A8750C"/>
    <w:rsid w:val="00A92034"/>
    <w:rsid w:val="00A93427"/>
    <w:rsid w:val="00A97A0A"/>
    <w:rsid w:val="00AA0023"/>
    <w:rsid w:val="00AA2A11"/>
    <w:rsid w:val="00AA3580"/>
    <w:rsid w:val="00AA3A2B"/>
    <w:rsid w:val="00AA4541"/>
    <w:rsid w:val="00AA6CEE"/>
    <w:rsid w:val="00AB04E0"/>
    <w:rsid w:val="00AB20CE"/>
    <w:rsid w:val="00AB3FB7"/>
    <w:rsid w:val="00AB59B5"/>
    <w:rsid w:val="00AB75AB"/>
    <w:rsid w:val="00AC7856"/>
    <w:rsid w:val="00AD0FCB"/>
    <w:rsid w:val="00AD1185"/>
    <w:rsid w:val="00AD4AF4"/>
    <w:rsid w:val="00AD5B76"/>
    <w:rsid w:val="00AD69E7"/>
    <w:rsid w:val="00AD6FE3"/>
    <w:rsid w:val="00AE069B"/>
    <w:rsid w:val="00AE2CE8"/>
    <w:rsid w:val="00AE3255"/>
    <w:rsid w:val="00AE394E"/>
    <w:rsid w:val="00AE6118"/>
    <w:rsid w:val="00AE6210"/>
    <w:rsid w:val="00AE7212"/>
    <w:rsid w:val="00B003E6"/>
    <w:rsid w:val="00B00E79"/>
    <w:rsid w:val="00B011F7"/>
    <w:rsid w:val="00B0754D"/>
    <w:rsid w:val="00B10A85"/>
    <w:rsid w:val="00B11072"/>
    <w:rsid w:val="00B112E9"/>
    <w:rsid w:val="00B1300C"/>
    <w:rsid w:val="00B224F1"/>
    <w:rsid w:val="00B3130B"/>
    <w:rsid w:val="00B350D8"/>
    <w:rsid w:val="00B40BED"/>
    <w:rsid w:val="00B46688"/>
    <w:rsid w:val="00B51C60"/>
    <w:rsid w:val="00B51D12"/>
    <w:rsid w:val="00B53300"/>
    <w:rsid w:val="00B5674D"/>
    <w:rsid w:val="00B62393"/>
    <w:rsid w:val="00B648CC"/>
    <w:rsid w:val="00B64DDA"/>
    <w:rsid w:val="00B67015"/>
    <w:rsid w:val="00B70AD7"/>
    <w:rsid w:val="00B713BC"/>
    <w:rsid w:val="00B72789"/>
    <w:rsid w:val="00B73C02"/>
    <w:rsid w:val="00B758CD"/>
    <w:rsid w:val="00B80949"/>
    <w:rsid w:val="00B90F1F"/>
    <w:rsid w:val="00B919C3"/>
    <w:rsid w:val="00B92448"/>
    <w:rsid w:val="00B952A0"/>
    <w:rsid w:val="00B97AE6"/>
    <w:rsid w:val="00BA35D1"/>
    <w:rsid w:val="00BB1510"/>
    <w:rsid w:val="00BB57F2"/>
    <w:rsid w:val="00BB7806"/>
    <w:rsid w:val="00BC1205"/>
    <w:rsid w:val="00BC5509"/>
    <w:rsid w:val="00BC73B3"/>
    <w:rsid w:val="00BD27C0"/>
    <w:rsid w:val="00BD62E7"/>
    <w:rsid w:val="00BD74F7"/>
    <w:rsid w:val="00BE0C51"/>
    <w:rsid w:val="00BE2AB5"/>
    <w:rsid w:val="00BE4425"/>
    <w:rsid w:val="00C00AB9"/>
    <w:rsid w:val="00C01B3D"/>
    <w:rsid w:val="00C04BD9"/>
    <w:rsid w:val="00C076A8"/>
    <w:rsid w:val="00C11DAB"/>
    <w:rsid w:val="00C1354A"/>
    <w:rsid w:val="00C142A9"/>
    <w:rsid w:val="00C1477E"/>
    <w:rsid w:val="00C20E5C"/>
    <w:rsid w:val="00C2101C"/>
    <w:rsid w:val="00C2499B"/>
    <w:rsid w:val="00C266AF"/>
    <w:rsid w:val="00C30123"/>
    <w:rsid w:val="00C3060F"/>
    <w:rsid w:val="00C32B43"/>
    <w:rsid w:val="00C41A6C"/>
    <w:rsid w:val="00C4534E"/>
    <w:rsid w:val="00C50386"/>
    <w:rsid w:val="00C53384"/>
    <w:rsid w:val="00C538AA"/>
    <w:rsid w:val="00C54A87"/>
    <w:rsid w:val="00C556AA"/>
    <w:rsid w:val="00C55AF3"/>
    <w:rsid w:val="00C64601"/>
    <w:rsid w:val="00C70DE7"/>
    <w:rsid w:val="00C725AE"/>
    <w:rsid w:val="00C74438"/>
    <w:rsid w:val="00C76535"/>
    <w:rsid w:val="00C803E5"/>
    <w:rsid w:val="00C83F0A"/>
    <w:rsid w:val="00C843BE"/>
    <w:rsid w:val="00C86C36"/>
    <w:rsid w:val="00C92EB0"/>
    <w:rsid w:val="00C936B3"/>
    <w:rsid w:val="00C9688D"/>
    <w:rsid w:val="00CA0288"/>
    <w:rsid w:val="00CA144F"/>
    <w:rsid w:val="00CA41AE"/>
    <w:rsid w:val="00CA67CD"/>
    <w:rsid w:val="00CA6E10"/>
    <w:rsid w:val="00CA6F59"/>
    <w:rsid w:val="00CB0C8C"/>
    <w:rsid w:val="00CC1526"/>
    <w:rsid w:val="00CC2283"/>
    <w:rsid w:val="00CC399B"/>
    <w:rsid w:val="00CC3B0F"/>
    <w:rsid w:val="00CC49F5"/>
    <w:rsid w:val="00CD001E"/>
    <w:rsid w:val="00CD2ED9"/>
    <w:rsid w:val="00CD7DF8"/>
    <w:rsid w:val="00CE0BD7"/>
    <w:rsid w:val="00CE3A70"/>
    <w:rsid w:val="00CF40BD"/>
    <w:rsid w:val="00CF609D"/>
    <w:rsid w:val="00D000F8"/>
    <w:rsid w:val="00D00A79"/>
    <w:rsid w:val="00D00DD8"/>
    <w:rsid w:val="00D0326F"/>
    <w:rsid w:val="00D04AF3"/>
    <w:rsid w:val="00D04F41"/>
    <w:rsid w:val="00D103B8"/>
    <w:rsid w:val="00D124EB"/>
    <w:rsid w:val="00D12502"/>
    <w:rsid w:val="00D12889"/>
    <w:rsid w:val="00D13A09"/>
    <w:rsid w:val="00D13EDA"/>
    <w:rsid w:val="00D14A0E"/>
    <w:rsid w:val="00D16009"/>
    <w:rsid w:val="00D16023"/>
    <w:rsid w:val="00D205F6"/>
    <w:rsid w:val="00D30D0B"/>
    <w:rsid w:val="00D32E59"/>
    <w:rsid w:val="00D36D5D"/>
    <w:rsid w:val="00D45229"/>
    <w:rsid w:val="00D45D1B"/>
    <w:rsid w:val="00D461A9"/>
    <w:rsid w:val="00D470E9"/>
    <w:rsid w:val="00D558F5"/>
    <w:rsid w:val="00D6005F"/>
    <w:rsid w:val="00D60350"/>
    <w:rsid w:val="00D61451"/>
    <w:rsid w:val="00D61530"/>
    <w:rsid w:val="00D632FD"/>
    <w:rsid w:val="00D642FB"/>
    <w:rsid w:val="00D700AA"/>
    <w:rsid w:val="00D721D2"/>
    <w:rsid w:val="00D723E6"/>
    <w:rsid w:val="00D75BD2"/>
    <w:rsid w:val="00D84069"/>
    <w:rsid w:val="00D946EE"/>
    <w:rsid w:val="00DA488D"/>
    <w:rsid w:val="00DA5DBC"/>
    <w:rsid w:val="00DC1BD7"/>
    <w:rsid w:val="00DC306F"/>
    <w:rsid w:val="00DC6EBC"/>
    <w:rsid w:val="00DD1B00"/>
    <w:rsid w:val="00DD3D7F"/>
    <w:rsid w:val="00DD651D"/>
    <w:rsid w:val="00DE095C"/>
    <w:rsid w:val="00DE29D4"/>
    <w:rsid w:val="00DE5C86"/>
    <w:rsid w:val="00DE6874"/>
    <w:rsid w:val="00DE6CA6"/>
    <w:rsid w:val="00DE78FB"/>
    <w:rsid w:val="00DF19F5"/>
    <w:rsid w:val="00DF3A78"/>
    <w:rsid w:val="00DF4350"/>
    <w:rsid w:val="00DF6173"/>
    <w:rsid w:val="00DF71EB"/>
    <w:rsid w:val="00E029DE"/>
    <w:rsid w:val="00E134AE"/>
    <w:rsid w:val="00E17BFF"/>
    <w:rsid w:val="00E215C0"/>
    <w:rsid w:val="00E22727"/>
    <w:rsid w:val="00E236B8"/>
    <w:rsid w:val="00E2379F"/>
    <w:rsid w:val="00E27CC9"/>
    <w:rsid w:val="00E322DB"/>
    <w:rsid w:val="00E33A72"/>
    <w:rsid w:val="00E37816"/>
    <w:rsid w:val="00E37B11"/>
    <w:rsid w:val="00E4148A"/>
    <w:rsid w:val="00E45A3E"/>
    <w:rsid w:val="00E467FB"/>
    <w:rsid w:val="00E526D1"/>
    <w:rsid w:val="00E557C9"/>
    <w:rsid w:val="00E56E56"/>
    <w:rsid w:val="00E57C59"/>
    <w:rsid w:val="00E61FEF"/>
    <w:rsid w:val="00E62138"/>
    <w:rsid w:val="00E65F56"/>
    <w:rsid w:val="00E71ADD"/>
    <w:rsid w:val="00E71D2D"/>
    <w:rsid w:val="00E7355A"/>
    <w:rsid w:val="00E73E97"/>
    <w:rsid w:val="00E80BAA"/>
    <w:rsid w:val="00E81136"/>
    <w:rsid w:val="00E817D4"/>
    <w:rsid w:val="00E8220B"/>
    <w:rsid w:val="00E8599A"/>
    <w:rsid w:val="00E85F01"/>
    <w:rsid w:val="00E91CB5"/>
    <w:rsid w:val="00E9568F"/>
    <w:rsid w:val="00EA21C2"/>
    <w:rsid w:val="00EA4025"/>
    <w:rsid w:val="00EA48B4"/>
    <w:rsid w:val="00EA4ADC"/>
    <w:rsid w:val="00EA50DA"/>
    <w:rsid w:val="00EA6987"/>
    <w:rsid w:val="00EB07D6"/>
    <w:rsid w:val="00EB0CC4"/>
    <w:rsid w:val="00EB0DD4"/>
    <w:rsid w:val="00EB1A29"/>
    <w:rsid w:val="00EB42B3"/>
    <w:rsid w:val="00EB48C1"/>
    <w:rsid w:val="00EB59FF"/>
    <w:rsid w:val="00EC1A71"/>
    <w:rsid w:val="00EC3CA2"/>
    <w:rsid w:val="00EC4E1A"/>
    <w:rsid w:val="00ED5476"/>
    <w:rsid w:val="00ED6C17"/>
    <w:rsid w:val="00ED7EC9"/>
    <w:rsid w:val="00ED7FDE"/>
    <w:rsid w:val="00EE5DAF"/>
    <w:rsid w:val="00EF1D90"/>
    <w:rsid w:val="00EF437F"/>
    <w:rsid w:val="00EF4FCD"/>
    <w:rsid w:val="00EF5BA3"/>
    <w:rsid w:val="00EF7AC8"/>
    <w:rsid w:val="00F028C9"/>
    <w:rsid w:val="00F04115"/>
    <w:rsid w:val="00F04FFF"/>
    <w:rsid w:val="00F1093F"/>
    <w:rsid w:val="00F1475F"/>
    <w:rsid w:val="00F150A2"/>
    <w:rsid w:val="00F1657C"/>
    <w:rsid w:val="00F2554A"/>
    <w:rsid w:val="00F26E85"/>
    <w:rsid w:val="00F27034"/>
    <w:rsid w:val="00F337EB"/>
    <w:rsid w:val="00F4241A"/>
    <w:rsid w:val="00F43F19"/>
    <w:rsid w:val="00F4504D"/>
    <w:rsid w:val="00F4658D"/>
    <w:rsid w:val="00F52F26"/>
    <w:rsid w:val="00F54194"/>
    <w:rsid w:val="00F61F38"/>
    <w:rsid w:val="00F65848"/>
    <w:rsid w:val="00F74118"/>
    <w:rsid w:val="00F75CEF"/>
    <w:rsid w:val="00F80A6B"/>
    <w:rsid w:val="00F85AFB"/>
    <w:rsid w:val="00F90446"/>
    <w:rsid w:val="00F90C19"/>
    <w:rsid w:val="00F9183A"/>
    <w:rsid w:val="00F92E8B"/>
    <w:rsid w:val="00F9334F"/>
    <w:rsid w:val="00F95665"/>
    <w:rsid w:val="00F9702E"/>
    <w:rsid w:val="00F97743"/>
    <w:rsid w:val="00FA34D3"/>
    <w:rsid w:val="00FB131F"/>
    <w:rsid w:val="00FB1939"/>
    <w:rsid w:val="00FB427A"/>
    <w:rsid w:val="00FB52EB"/>
    <w:rsid w:val="00FB6DF2"/>
    <w:rsid w:val="00FB794D"/>
    <w:rsid w:val="00FC0E98"/>
    <w:rsid w:val="00FC42D3"/>
    <w:rsid w:val="00FD2951"/>
    <w:rsid w:val="00FD5DCB"/>
    <w:rsid w:val="00FD6D05"/>
    <w:rsid w:val="00FD6E18"/>
    <w:rsid w:val="00FE0850"/>
    <w:rsid w:val="00FE192B"/>
    <w:rsid w:val="00FE5394"/>
    <w:rsid w:val="00FE5A5D"/>
    <w:rsid w:val="00FE6DA1"/>
    <w:rsid w:val="00FE6DC8"/>
    <w:rsid w:val="00FE721C"/>
    <w:rsid w:val="00FF16A2"/>
    <w:rsid w:val="00FF1B34"/>
    <w:rsid w:val="00FF1D84"/>
    <w:rsid w:val="00FF2FA4"/>
    <w:rsid w:val="00FF3E95"/>
    <w:rsid w:val="00FF488F"/>
    <w:rsid w:val="00FF550B"/>
    <w:rsid w:val="00FF5F29"/>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E1ECC"/>
  <w15:docId w15:val="{77351196-0E27-455C-9E8D-55282AE0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278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278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278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278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278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278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278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278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278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78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278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278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278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278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278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278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278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27864"/>
    <w:rPr>
      <w:rFonts w:eastAsiaTheme="majorEastAsia" w:cstheme="majorBidi"/>
      <w:color w:val="272727" w:themeColor="text1" w:themeTint="D8"/>
    </w:rPr>
  </w:style>
  <w:style w:type="paragraph" w:styleId="Ttulo">
    <w:name w:val="Title"/>
    <w:basedOn w:val="Normal"/>
    <w:next w:val="Normal"/>
    <w:link w:val="TtuloCar"/>
    <w:uiPriority w:val="10"/>
    <w:qFormat/>
    <w:rsid w:val="001278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278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278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278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27864"/>
    <w:pPr>
      <w:spacing w:before="160"/>
      <w:jc w:val="center"/>
    </w:pPr>
    <w:rPr>
      <w:i/>
      <w:iCs/>
      <w:color w:val="404040" w:themeColor="text1" w:themeTint="BF"/>
    </w:rPr>
  </w:style>
  <w:style w:type="character" w:customStyle="1" w:styleId="CitaCar">
    <w:name w:val="Cita Car"/>
    <w:basedOn w:val="Fuentedeprrafopredeter"/>
    <w:link w:val="Cita"/>
    <w:uiPriority w:val="29"/>
    <w:rsid w:val="00127864"/>
    <w:rPr>
      <w:i/>
      <w:iCs/>
      <w:color w:val="404040" w:themeColor="text1" w:themeTint="BF"/>
    </w:rPr>
  </w:style>
  <w:style w:type="paragraph" w:styleId="Prrafodelista">
    <w:name w:val="List Paragraph"/>
    <w:basedOn w:val="Normal"/>
    <w:uiPriority w:val="34"/>
    <w:qFormat/>
    <w:rsid w:val="00127864"/>
    <w:pPr>
      <w:ind w:left="720"/>
      <w:contextualSpacing/>
    </w:pPr>
  </w:style>
  <w:style w:type="character" w:styleId="nfasisintenso">
    <w:name w:val="Intense Emphasis"/>
    <w:basedOn w:val="Fuentedeprrafopredeter"/>
    <w:uiPriority w:val="21"/>
    <w:qFormat/>
    <w:rsid w:val="00127864"/>
    <w:rPr>
      <w:i/>
      <w:iCs/>
      <w:color w:val="0F4761" w:themeColor="accent1" w:themeShade="BF"/>
    </w:rPr>
  </w:style>
  <w:style w:type="paragraph" w:styleId="Citadestacada">
    <w:name w:val="Intense Quote"/>
    <w:basedOn w:val="Normal"/>
    <w:next w:val="Normal"/>
    <w:link w:val="CitadestacadaCar"/>
    <w:uiPriority w:val="30"/>
    <w:qFormat/>
    <w:rsid w:val="001278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27864"/>
    <w:rPr>
      <w:i/>
      <w:iCs/>
      <w:color w:val="0F4761" w:themeColor="accent1" w:themeShade="BF"/>
    </w:rPr>
  </w:style>
  <w:style w:type="character" w:styleId="Referenciaintensa">
    <w:name w:val="Intense Reference"/>
    <w:basedOn w:val="Fuentedeprrafopredeter"/>
    <w:uiPriority w:val="32"/>
    <w:qFormat/>
    <w:rsid w:val="00127864"/>
    <w:rPr>
      <w:b/>
      <w:bCs/>
      <w:smallCaps/>
      <w:color w:val="0F4761" w:themeColor="accent1" w:themeShade="BF"/>
      <w:spacing w:val="5"/>
    </w:rPr>
  </w:style>
  <w:style w:type="paragraph" w:styleId="Textonotapie">
    <w:name w:val="footnote text"/>
    <w:basedOn w:val="Normal"/>
    <w:link w:val="TextonotapieCar"/>
    <w:uiPriority w:val="99"/>
    <w:unhideWhenUsed/>
    <w:rsid w:val="00137DEB"/>
    <w:pPr>
      <w:spacing w:after="0" w:line="240" w:lineRule="auto"/>
    </w:pPr>
    <w:rPr>
      <w:sz w:val="20"/>
      <w:szCs w:val="20"/>
    </w:rPr>
  </w:style>
  <w:style w:type="character" w:customStyle="1" w:styleId="TextonotapieCar">
    <w:name w:val="Texto nota pie Car"/>
    <w:basedOn w:val="Fuentedeprrafopredeter"/>
    <w:link w:val="Textonotapie"/>
    <w:uiPriority w:val="99"/>
    <w:rsid w:val="00137DEB"/>
    <w:rPr>
      <w:sz w:val="20"/>
      <w:szCs w:val="20"/>
    </w:rPr>
  </w:style>
  <w:style w:type="character" w:styleId="Refdenotaalpie">
    <w:name w:val="footnote reference"/>
    <w:basedOn w:val="Fuentedeprrafopredeter"/>
    <w:uiPriority w:val="99"/>
    <w:semiHidden/>
    <w:unhideWhenUsed/>
    <w:rsid w:val="00137DEB"/>
    <w:rPr>
      <w:vertAlign w:val="superscript"/>
    </w:rPr>
  </w:style>
  <w:style w:type="character" w:styleId="Hipervnculo">
    <w:name w:val="Hyperlink"/>
    <w:basedOn w:val="Fuentedeprrafopredeter"/>
    <w:uiPriority w:val="99"/>
    <w:unhideWhenUsed/>
    <w:rsid w:val="000D71A3"/>
    <w:rPr>
      <w:color w:val="467886" w:themeColor="hyperlink"/>
      <w:u w:val="single"/>
    </w:rPr>
  </w:style>
  <w:style w:type="character" w:styleId="Mencinsinresolver">
    <w:name w:val="Unresolved Mention"/>
    <w:basedOn w:val="Fuentedeprrafopredeter"/>
    <w:uiPriority w:val="99"/>
    <w:semiHidden/>
    <w:unhideWhenUsed/>
    <w:rsid w:val="00E81136"/>
    <w:rPr>
      <w:color w:val="605E5C"/>
      <w:shd w:val="clear" w:color="auto" w:fill="E1DFDD"/>
    </w:rPr>
  </w:style>
  <w:style w:type="character" w:styleId="nfasis">
    <w:name w:val="Emphasis"/>
    <w:basedOn w:val="Fuentedeprrafopredeter"/>
    <w:uiPriority w:val="20"/>
    <w:qFormat/>
    <w:rsid w:val="004B49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00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000/revus.401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almacendederecho.org/" TargetMode="External"/><Relationship Id="rId1" Type="http://schemas.openxmlformats.org/officeDocument/2006/relationships/hyperlink" Target="https://doi.org/10.4000/revus.401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E8192-C321-46E4-9C73-6B65C0F41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4740</Words>
  <Characters>26070</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Giuffra</dc:creator>
  <cp:lastModifiedBy>Carolina Giuffra</cp:lastModifiedBy>
  <cp:revision>2</cp:revision>
  <dcterms:created xsi:type="dcterms:W3CDTF">2025-09-18T18:59:00Z</dcterms:created>
  <dcterms:modified xsi:type="dcterms:W3CDTF">2025-09-18T18:59:00Z</dcterms:modified>
</cp:coreProperties>
</file>