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ED0" w:rsidRPr="003F0577" w:rsidRDefault="00877ED0" w:rsidP="00373015">
      <w:pPr>
        <w:pStyle w:val="Title"/>
        <w:pBdr>
          <w:top w:val="single" w:sz="4" w:space="1" w:color="auto"/>
          <w:left w:val="single" w:sz="4" w:space="4" w:color="auto"/>
          <w:bottom w:val="single" w:sz="4" w:space="1" w:color="auto"/>
          <w:right w:val="single" w:sz="4" w:space="4" w:color="auto"/>
        </w:pBdr>
        <w:spacing w:before="120" w:line="360" w:lineRule="auto"/>
        <w:rPr>
          <w:rFonts w:ascii="Maiandra GD" w:hAnsi="Maiandra GD"/>
          <w:color w:val="auto"/>
          <w:sz w:val="24"/>
        </w:rPr>
      </w:pPr>
      <w:r w:rsidRPr="003F0577">
        <w:rPr>
          <w:rFonts w:ascii="Maiandra GD" w:hAnsi="Maiandra GD"/>
          <w:color w:val="auto"/>
          <w:sz w:val="24"/>
        </w:rPr>
        <w:t>XII CONGRESO NACIONAL</w:t>
      </w:r>
    </w:p>
    <w:p w:rsidR="00877ED0" w:rsidRDefault="00877ED0" w:rsidP="00373015">
      <w:pPr>
        <w:pBdr>
          <w:top w:val="single" w:sz="4" w:space="1" w:color="auto"/>
          <w:left w:val="single" w:sz="4" w:space="4" w:color="auto"/>
          <w:bottom w:val="single" w:sz="4" w:space="1" w:color="auto"/>
          <w:right w:val="single" w:sz="4" w:space="4" w:color="auto"/>
        </w:pBdr>
        <w:tabs>
          <w:tab w:val="left" w:pos="70"/>
          <w:tab w:val="left" w:pos="9284"/>
        </w:tabs>
        <w:spacing w:before="120" w:line="360" w:lineRule="auto"/>
        <w:jc w:val="center"/>
        <w:rPr>
          <w:rFonts w:ascii="Maiandra GD" w:hAnsi="Maiandra GD"/>
          <w:b/>
          <w:shadow/>
        </w:rPr>
      </w:pPr>
      <w:r w:rsidRPr="003F0577">
        <w:rPr>
          <w:rFonts w:ascii="Maiandra GD" w:hAnsi="Maiandra GD"/>
          <w:b/>
          <w:shadow/>
        </w:rPr>
        <w:t>DE DERECHO PROCESAL GARANTISTA</w:t>
      </w:r>
    </w:p>
    <w:p w:rsidR="00877ED0" w:rsidRPr="007C21A1" w:rsidRDefault="00877ED0" w:rsidP="00373015">
      <w:pPr>
        <w:pBdr>
          <w:top w:val="single" w:sz="4" w:space="1" w:color="auto"/>
          <w:left w:val="single" w:sz="4" w:space="4" w:color="auto"/>
          <w:bottom w:val="single" w:sz="4" w:space="1" w:color="auto"/>
          <w:right w:val="single" w:sz="4" w:space="4" w:color="auto"/>
        </w:pBdr>
        <w:tabs>
          <w:tab w:val="left" w:pos="70"/>
          <w:tab w:val="left" w:pos="9284"/>
        </w:tabs>
        <w:spacing w:before="120" w:line="360" w:lineRule="auto"/>
        <w:jc w:val="center"/>
        <w:rPr>
          <w:rFonts w:ascii="Maiandra GD" w:hAnsi="Maiandra GD"/>
          <w:b/>
          <w:shadow/>
        </w:rPr>
      </w:pPr>
      <w:r>
        <w:rPr>
          <w:rFonts w:ascii="Maiandra GD" w:hAnsi="Maiandra GD"/>
          <w:b/>
          <w:shadow/>
        </w:rPr>
        <w:t>Azul 18 y 19 de octubre de 2012</w:t>
      </w:r>
    </w:p>
    <w:p w:rsidR="00877ED0" w:rsidRPr="00373015" w:rsidRDefault="00877ED0" w:rsidP="00A62029">
      <w:pPr>
        <w:pStyle w:val="NormalWeb"/>
        <w:spacing w:before="0" w:beforeAutospacing="0" w:after="0" w:afterAutospacing="0" w:line="360" w:lineRule="auto"/>
        <w:jc w:val="center"/>
        <w:rPr>
          <w:rFonts w:ascii="Arial" w:hAnsi="Arial" w:cs="Arial"/>
          <w:b/>
          <w:bCs/>
          <w:sz w:val="22"/>
          <w:szCs w:val="22"/>
          <w:u w:val="single"/>
        </w:rPr>
      </w:pPr>
    </w:p>
    <w:p w:rsidR="00877ED0" w:rsidRDefault="00877ED0" w:rsidP="00A62029">
      <w:pPr>
        <w:pStyle w:val="NormalWeb"/>
        <w:spacing w:before="0" w:beforeAutospacing="0" w:after="0" w:afterAutospacing="0" w:line="360" w:lineRule="auto"/>
        <w:jc w:val="center"/>
        <w:rPr>
          <w:rFonts w:ascii="Arial" w:hAnsi="Arial" w:cs="Arial"/>
          <w:b/>
          <w:bCs/>
          <w:sz w:val="22"/>
          <w:szCs w:val="22"/>
          <w:u w:val="single"/>
          <w:lang w:val="es-ES_tradnl"/>
        </w:rPr>
      </w:pPr>
    </w:p>
    <w:p w:rsidR="00877ED0" w:rsidRDefault="00877ED0" w:rsidP="00A62029">
      <w:pPr>
        <w:pStyle w:val="NormalWeb"/>
        <w:spacing w:before="0" w:beforeAutospacing="0" w:after="0" w:afterAutospacing="0" w:line="360" w:lineRule="auto"/>
        <w:jc w:val="center"/>
        <w:rPr>
          <w:rFonts w:ascii="Arial" w:hAnsi="Arial" w:cs="Arial"/>
          <w:b/>
          <w:bCs/>
          <w:sz w:val="22"/>
          <w:szCs w:val="22"/>
          <w:u w:val="single"/>
          <w:lang w:val="es-ES_tradnl"/>
        </w:rPr>
      </w:pPr>
    </w:p>
    <w:p w:rsidR="00877ED0" w:rsidRPr="00A62029" w:rsidRDefault="00877ED0" w:rsidP="00A62029">
      <w:pPr>
        <w:pStyle w:val="NormalWeb"/>
        <w:spacing w:before="0" w:beforeAutospacing="0" w:after="0" w:afterAutospacing="0" w:line="360" w:lineRule="auto"/>
        <w:jc w:val="center"/>
        <w:rPr>
          <w:rFonts w:ascii="Arial" w:hAnsi="Arial" w:cs="Arial"/>
          <w:b/>
          <w:bCs/>
          <w:sz w:val="22"/>
          <w:szCs w:val="22"/>
          <w:lang w:val="es-ES_tradnl"/>
        </w:rPr>
      </w:pPr>
      <w:r w:rsidRPr="00A62029">
        <w:rPr>
          <w:rFonts w:ascii="Arial" w:hAnsi="Arial" w:cs="Arial"/>
          <w:b/>
          <w:bCs/>
          <w:sz w:val="22"/>
          <w:szCs w:val="22"/>
          <w:u w:val="single"/>
          <w:lang w:val="es-ES_tradnl"/>
        </w:rPr>
        <w:t>LEGITIMACIÓN</w:t>
      </w:r>
      <w:r w:rsidRPr="00A62029">
        <w:rPr>
          <w:rFonts w:ascii="Arial" w:hAnsi="Arial" w:cs="Arial"/>
          <w:b/>
          <w:bCs/>
          <w:sz w:val="22"/>
          <w:szCs w:val="22"/>
          <w:lang w:val="es-ES_tradnl"/>
        </w:rPr>
        <w:t xml:space="preserve">: </w:t>
      </w:r>
      <w:r w:rsidRPr="00A62029">
        <w:rPr>
          <w:rFonts w:ascii="Arial" w:hAnsi="Arial" w:cs="Arial"/>
          <w:b/>
          <w:bCs/>
          <w:i/>
          <w:sz w:val="22"/>
          <w:szCs w:val="22"/>
          <w:lang w:val="es-ES_tradnl"/>
        </w:rPr>
        <w:t>DETERMINACIÓN CONCEPTUAL</w:t>
      </w:r>
    </w:p>
    <w:p w:rsidR="00877ED0" w:rsidRPr="00A62029" w:rsidRDefault="00877ED0" w:rsidP="00A62029">
      <w:pPr>
        <w:pStyle w:val="NormalWeb"/>
        <w:spacing w:before="0" w:beforeAutospacing="0" w:after="0" w:afterAutospacing="0" w:line="360" w:lineRule="auto"/>
        <w:ind w:left="4446"/>
        <w:jc w:val="center"/>
        <w:rPr>
          <w:rFonts w:ascii="Arial" w:hAnsi="Arial" w:cs="Arial"/>
          <w:b/>
          <w:sz w:val="22"/>
          <w:szCs w:val="22"/>
          <w:lang w:val="es-ES_tradnl"/>
        </w:rPr>
      </w:pPr>
    </w:p>
    <w:p w:rsidR="00877ED0" w:rsidRPr="00A62029" w:rsidRDefault="00877ED0" w:rsidP="00A62029">
      <w:pPr>
        <w:pStyle w:val="NormalWeb"/>
        <w:spacing w:before="0" w:beforeAutospacing="0" w:after="0" w:afterAutospacing="0" w:line="360" w:lineRule="auto"/>
        <w:ind w:left="4446"/>
        <w:jc w:val="center"/>
        <w:rPr>
          <w:rFonts w:ascii="Arial" w:hAnsi="Arial" w:cs="Arial"/>
          <w:b/>
          <w:sz w:val="22"/>
          <w:szCs w:val="22"/>
          <w:lang w:val="es-ES_tradnl"/>
        </w:rPr>
      </w:pPr>
      <w:r w:rsidRPr="00A62029">
        <w:rPr>
          <w:rFonts w:ascii="Arial" w:hAnsi="Arial" w:cs="Arial"/>
          <w:b/>
          <w:sz w:val="22"/>
          <w:szCs w:val="22"/>
          <w:lang w:val="es-ES_tradnl"/>
        </w:rPr>
        <w:t xml:space="preserve">EFRAÍN I. QUEVEDO MENDOZA </w:t>
      </w:r>
      <w:r w:rsidRPr="00A62029">
        <w:rPr>
          <w:rFonts w:ascii="Arial" w:hAnsi="Arial" w:cs="Arial"/>
          <w:b/>
          <w:sz w:val="22"/>
          <w:szCs w:val="22"/>
          <w:lang w:val="es-ES_tradnl"/>
        </w:rPr>
        <w:br/>
        <w:t>Abogado</w:t>
      </w:r>
    </w:p>
    <w:p w:rsidR="00877ED0" w:rsidRPr="00A62029" w:rsidRDefault="00877ED0" w:rsidP="00A62029">
      <w:pPr>
        <w:pStyle w:val="NormalWeb"/>
        <w:spacing w:before="0" w:beforeAutospacing="0" w:after="0" w:afterAutospacing="0" w:line="360" w:lineRule="auto"/>
        <w:jc w:val="center"/>
        <w:rPr>
          <w:rFonts w:ascii="Arial" w:hAnsi="Arial" w:cs="Arial"/>
          <w:b/>
          <w:bCs/>
          <w:sz w:val="22"/>
          <w:szCs w:val="22"/>
          <w:lang w:val="es-ES_tradnl"/>
        </w:rPr>
      </w:pPr>
      <w:r w:rsidRPr="00A62029">
        <w:rPr>
          <w:rFonts w:ascii="Arial" w:hAnsi="Arial" w:cs="Arial"/>
          <w:sz w:val="22"/>
          <w:szCs w:val="22"/>
          <w:lang w:val="es-ES_tradnl"/>
        </w:rPr>
        <w:br/>
      </w:r>
      <w:r w:rsidRPr="00A62029">
        <w:rPr>
          <w:rFonts w:ascii="Arial" w:hAnsi="Arial" w:cs="Arial"/>
          <w:b/>
          <w:bCs/>
          <w:sz w:val="22"/>
          <w:szCs w:val="22"/>
          <w:u w:val="single"/>
          <w:lang w:val="es-ES_tradnl"/>
        </w:rPr>
        <w:t xml:space="preserve">ÍNDICE </w:t>
      </w:r>
      <w:r w:rsidRPr="00A62029">
        <w:rPr>
          <w:rFonts w:ascii="Arial" w:hAnsi="Arial" w:cs="Arial"/>
          <w:b/>
          <w:bCs/>
          <w:sz w:val="22"/>
          <w:szCs w:val="22"/>
          <w:lang w:val="es-ES_tradnl"/>
        </w:rPr>
        <w:br/>
      </w:r>
    </w:p>
    <w:p w:rsidR="00877ED0" w:rsidRPr="00A62029" w:rsidRDefault="00877ED0" w:rsidP="00A62029">
      <w:pPr>
        <w:pStyle w:val="NormalWeb"/>
        <w:spacing w:before="0" w:beforeAutospacing="0" w:after="0" w:afterAutospacing="0" w:line="360" w:lineRule="auto"/>
        <w:rPr>
          <w:rFonts w:ascii="Arial" w:hAnsi="Arial" w:cs="Arial"/>
          <w:b/>
          <w:bCs/>
          <w:sz w:val="22"/>
          <w:szCs w:val="22"/>
          <w:u w:val="single"/>
          <w:lang w:val="es-ES_tradnl"/>
        </w:rPr>
      </w:pPr>
      <w:r w:rsidRPr="00A62029">
        <w:rPr>
          <w:rFonts w:ascii="Arial" w:hAnsi="Arial" w:cs="Arial"/>
          <w:b/>
          <w:bCs/>
          <w:sz w:val="22"/>
          <w:szCs w:val="22"/>
          <w:lang w:val="es-ES_tradnl"/>
        </w:rPr>
        <w:t xml:space="preserve">I.- </w:t>
      </w:r>
      <w:r w:rsidRPr="00A62029">
        <w:rPr>
          <w:rFonts w:ascii="Arial" w:hAnsi="Arial" w:cs="Arial"/>
          <w:b/>
          <w:bCs/>
          <w:sz w:val="22"/>
          <w:szCs w:val="22"/>
          <w:u w:val="single"/>
          <w:lang w:val="es-ES_tradnl"/>
        </w:rPr>
        <w:t xml:space="preserve">Nociones Previas: </w:t>
      </w:r>
    </w:p>
    <w:p w:rsidR="00877ED0" w:rsidRPr="00A62029" w:rsidRDefault="00877ED0" w:rsidP="00A62029">
      <w:pPr>
        <w:pStyle w:val="NormalWeb"/>
        <w:numPr>
          <w:ilvl w:val="0"/>
          <w:numId w:val="1"/>
        </w:numPr>
        <w:tabs>
          <w:tab w:val="clear" w:pos="759"/>
        </w:tabs>
        <w:spacing w:before="0" w:beforeAutospacing="0" w:after="0" w:afterAutospacing="0" w:line="360" w:lineRule="auto"/>
        <w:ind w:left="1938" w:hanging="228"/>
        <w:rPr>
          <w:rFonts w:ascii="Arial" w:hAnsi="Arial" w:cs="Arial"/>
          <w:i/>
          <w:iCs/>
          <w:sz w:val="22"/>
          <w:szCs w:val="22"/>
          <w:lang w:val="es-ES_tradnl"/>
        </w:rPr>
      </w:pPr>
      <w:r w:rsidRPr="00A62029">
        <w:rPr>
          <w:rFonts w:ascii="Arial" w:hAnsi="Arial" w:cs="Arial"/>
          <w:sz w:val="22"/>
          <w:szCs w:val="22"/>
          <w:lang w:val="es-ES_tradnl"/>
        </w:rPr>
        <w:t xml:space="preserve"> Importancia de las nociones previas para enfocar el tema </w:t>
      </w:r>
    </w:p>
    <w:p w:rsidR="00877ED0" w:rsidRPr="00A62029" w:rsidRDefault="00877ED0" w:rsidP="00A62029">
      <w:pPr>
        <w:pStyle w:val="NormalWeb"/>
        <w:numPr>
          <w:ilvl w:val="0"/>
          <w:numId w:val="1"/>
        </w:numPr>
        <w:spacing w:before="0" w:beforeAutospacing="0" w:after="0" w:afterAutospacing="0" w:line="360" w:lineRule="auto"/>
        <w:ind w:left="1938" w:hanging="228"/>
        <w:rPr>
          <w:rFonts w:ascii="Arial" w:hAnsi="Arial" w:cs="Arial"/>
          <w:i/>
          <w:iCs/>
          <w:sz w:val="22"/>
          <w:szCs w:val="22"/>
          <w:lang w:val="es-ES_tradnl"/>
        </w:rPr>
      </w:pPr>
      <w:r w:rsidRPr="00A62029">
        <w:rPr>
          <w:rFonts w:ascii="Arial" w:hAnsi="Arial" w:cs="Arial"/>
          <w:sz w:val="22"/>
          <w:szCs w:val="22"/>
          <w:lang w:val="es-ES_tradnl"/>
        </w:rPr>
        <w:t xml:space="preserve"> Interés: a) </w:t>
      </w:r>
      <w:r w:rsidRPr="00A62029">
        <w:rPr>
          <w:rFonts w:ascii="Arial" w:hAnsi="Arial" w:cs="Arial"/>
          <w:i/>
          <w:sz w:val="22"/>
          <w:szCs w:val="22"/>
          <w:lang w:val="es-ES_tradnl"/>
        </w:rPr>
        <w:t>concepto</w:t>
      </w:r>
      <w:r w:rsidRPr="00A62029">
        <w:rPr>
          <w:rFonts w:ascii="Arial" w:hAnsi="Arial" w:cs="Arial"/>
          <w:sz w:val="22"/>
          <w:szCs w:val="22"/>
          <w:lang w:val="es-ES_tradnl"/>
        </w:rPr>
        <w:t xml:space="preserve">; </w:t>
      </w:r>
      <w:r w:rsidRPr="00A62029">
        <w:rPr>
          <w:rFonts w:ascii="Arial" w:hAnsi="Arial" w:cs="Arial"/>
          <w:i/>
          <w:iCs/>
          <w:sz w:val="22"/>
          <w:szCs w:val="22"/>
          <w:lang w:val="es-ES_tradnl"/>
        </w:rPr>
        <w:t>b) clases</w:t>
      </w:r>
      <w:r>
        <w:rPr>
          <w:rFonts w:ascii="Arial" w:hAnsi="Arial" w:cs="Arial"/>
          <w:i/>
          <w:iCs/>
          <w:sz w:val="22"/>
          <w:szCs w:val="22"/>
          <w:lang w:val="es-ES_tradnl"/>
        </w:rPr>
        <w:t xml:space="preserve"> de interés en conflicto.</w:t>
      </w:r>
    </w:p>
    <w:p w:rsidR="00877ED0" w:rsidRPr="00A62029" w:rsidRDefault="00877ED0" w:rsidP="00A62029">
      <w:pPr>
        <w:pStyle w:val="NormalWeb"/>
        <w:numPr>
          <w:ilvl w:val="0"/>
          <w:numId w:val="1"/>
        </w:numPr>
        <w:spacing w:before="0" w:beforeAutospacing="0" w:after="0" w:afterAutospacing="0" w:line="360" w:lineRule="auto"/>
        <w:ind w:left="1938" w:hanging="228"/>
        <w:rPr>
          <w:rFonts w:ascii="Arial" w:hAnsi="Arial" w:cs="Arial"/>
          <w:i/>
          <w:iCs/>
          <w:sz w:val="22"/>
          <w:szCs w:val="22"/>
          <w:lang w:val="es-ES_tradnl"/>
        </w:rPr>
      </w:pPr>
      <w:r w:rsidRPr="00900239">
        <w:rPr>
          <w:rFonts w:ascii="Arial" w:hAnsi="Arial" w:cs="Arial"/>
          <w:sz w:val="22"/>
          <w:szCs w:val="22"/>
          <w:lang w:val="es-ES_tradnl"/>
        </w:rPr>
        <w:t xml:space="preserve"> La pretensión: a) </w:t>
      </w:r>
      <w:r w:rsidRPr="00900239">
        <w:rPr>
          <w:rFonts w:ascii="Arial" w:hAnsi="Arial" w:cs="Arial"/>
          <w:i/>
          <w:iCs/>
          <w:sz w:val="22"/>
          <w:szCs w:val="22"/>
          <w:lang w:val="es-ES_tradnl"/>
        </w:rPr>
        <w:t xml:space="preserve">concepto; b) elementos. </w:t>
      </w:r>
    </w:p>
    <w:p w:rsidR="00877ED0" w:rsidRPr="00A62029" w:rsidRDefault="00877ED0" w:rsidP="00A62029">
      <w:pPr>
        <w:pStyle w:val="NormalWeb"/>
        <w:spacing w:before="0" w:beforeAutospacing="0" w:after="0" w:afterAutospacing="0" w:line="360" w:lineRule="auto"/>
        <w:rPr>
          <w:rFonts w:ascii="Arial" w:hAnsi="Arial" w:cs="Arial"/>
          <w:sz w:val="22"/>
          <w:szCs w:val="22"/>
          <w:lang w:val="es-ES_tradnl"/>
        </w:rPr>
      </w:pPr>
      <w:r w:rsidRPr="00A62029">
        <w:rPr>
          <w:rFonts w:ascii="Arial" w:hAnsi="Arial" w:cs="Arial"/>
          <w:b/>
          <w:sz w:val="22"/>
          <w:szCs w:val="22"/>
          <w:lang w:val="es-ES_tradnl"/>
        </w:rPr>
        <w:t xml:space="preserve">II.- </w:t>
      </w:r>
      <w:r w:rsidRPr="00A62029">
        <w:rPr>
          <w:rFonts w:ascii="Arial" w:hAnsi="Arial" w:cs="Arial"/>
          <w:b/>
          <w:sz w:val="22"/>
          <w:szCs w:val="22"/>
          <w:u w:val="single"/>
          <w:lang w:val="es-ES_tradnl"/>
        </w:rPr>
        <w:t>Legitimación</w:t>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ind w:left="1416" w:firstLine="708"/>
        <w:rPr>
          <w:rFonts w:ascii="Arial" w:hAnsi="Arial" w:cs="Arial"/>
          <w:i/>
          <w:iCs/>
          <w:sz w:val="22"/>
          <w:szCs w:val="22"/>
          <w:lang w:val="es-ES_tradnl"/>
        </w:rPr>
      </w:pPr>
      <w:r w:rsidRPr="00A62029">
        <w:rPr>
          <w:rFonts w:ascii="Arial" w:hAnsi="Arial" w:cs="Arial"/>
          <w:b/>
          <w:sz w:val="22"/>
          <w:szCs w:val="22"/>
          <w:lang w:val="es-ES_tradnl"/>
        </w:rPr>
        <w:t xml:space="preserve">a) </w:t>
      </w:r>
      <w:r>
        <w:rPr>
          <w:rFonts w:ascii="Arial" w:hAnsi="Arial" w:cs="Arial"/>
          <w:i/>
          <w:sz w:val="22"/>
          <w:szCs w:val="22"/>
          <w:lang w:val="es-ES_tradnl"/>
        </w:rPr>
        <w:t xml:space="preserve">Dificultades para su </w:t>
      </w:r>
      <w:r w:rsidRPr="00A62029">
        <w:rPr>
          <w:rFonts w:ascii="Arial" w:hAnsi="Arial" w:cs="Arial"/>
          <w:i/>
          <w:iCs/>
          <w:sz w:val="22"/>
          <w:szCs w:val="22"/>
          <w:lang w:val="es-ES_tradnl"/>
        </w:rPr>
        <w:t>concept</w:t>
      </w:r>
      <w:r>
        <w:rPr>
          <w:rFonts w:ascii="Arial" w:hAnsi="Arial" w:cs="Arial"/>
          <w:i/>
          <w:iCs/>
          <w:sz w:val="22"/>
          <w:szCs w:val="22"/>
          <w:lang w:val="es-ES_tradnl"/>
        </w:rPr>
        <w:t>ualización.</w:t>
      </w:r>
    </w:p>
    <w:p w:rsidR="00877ED0" w:rsidRDefault="00877ED0" w:rsidP="00900239">
      <w:pPr>
        <w:pStyle w:val="NormalWeb"/>
        <w:spacing w:before="0" w:beforeAutospacing="0" w:after="0" w:afterAutospacing="0" w:line="360" w:lineRule="auto"/>
        <w:ind w:left="1416" w:firstLine="708"/>
        <w:rPr>
          <w:rFonts w:ascii="Arial" w:hAnsi="Arial" w:cs="Arial"/>
          <w:i/>
          <w:iCs/>
          <w:sz w:val="22"/>
          <w:szCs w:val="22"/>
          <w:lang w:val="es-ES_tradnl"/>
        </w:rPr>
      </w:pPr>
      <w:r w:rsidRPr="00A62029">
        <w:rPr>
          <w:rFonts w:ascii="Arial" w:hAnsi="Arial" w:cs="Arial"/>
          <w:b/>
          <w:i/>
          <w:iCs/>
          <w:sz w:val="22"/>
          <w:szCs w:val="22"/>
          <w:lang w:val="es-ES_tradnl"/>
        </w:rPr>
        <w:t xml:space="preserve"> b)</w:t>
      </w:r>
      <w:r w:rsidRPr="00A62029">
        <w:rPr>
          <w:rFonts w:ascii="Arial" w:hAnsi="Arial" w:cs="Arial"/>
          <w:i/>
          <w:iCs/>
          <w:sz w:val="22"/>
          <w:szCs w:val="22"/>
          <w:lang w:val="es-ES_tradnl"/>
        </w:rPr>
        <w:t xml:space="preserve"> </w:t>
      </w:r>
      <w:r>
        <w:rPr>
          <w:rFonts w:ascii="Arial" w:hAnsi="Arial" w:cs="Arial"/>
          <w:i/>
          <w:iCs/>
          <w:sz w:val="22"/>
          <w:szCs w:val="22"/>
          <w:lang w:val="es-ES_tradnl"/>
        </w:rPr>
        <w:t>Legitimación y capacidad.</w:t>
      </w:r>
    </w:p>
    <w:p w:rsidR="00877ED0" w:rsidRDefault="00877ED0" w:rsidP="00900239">
      <w:pPr>
        <w:pStyle w:val="NormalWeb"/>
        <w:spacing w:before="0" w:beforeAutospacing="0" w:after="0" w:afterAutospacing="0" w:line="360" w:lineRule="auto"/>
        <w:ind w:left="1416" w:firstLine="708"/>
        <w:rPr>
          <w:rFonts w:ascii="Arial" w:hAnsi="Arial" w:cs="Arial"/>
          <w:i/>
          <w:iCs/>
          <w:sz w:val="22"/>
          <w:szCs w:val="22"/>
          <w:lang w:val="es-ES_tradnl"/>
        </w:rPr>
      </w:pPr>
      <w:r>
        <w:rPr>
          <w:rFonts w:ascii="Arial" w:hAnsi="Arial" w:cs="Arial"/>
          <w:b/>
          <w:i/>
          <w:iCs/>
          <w:sz w:val="22"/>
          <w:szCs w:val="22"/>
          <w:lang w:val="es-ES_tradnl"/>
        </w:rPr>
        <w:t xml:space="preserve"> c) </w:t>
      </w:r>
      <w:r w:rsidRPr="00900239">
        <w:rPr>
          <w:rFonts w:ascii="Arial" w:hAnsi="Arial" w:cs="Arial"/>
          <w:i/>
          <w:iCs/>
          <w:sz w:val="22"/>
          <w:szCs w:val="22"/>
          <w:lang w:val="es-ES_tradnl"/>
        </w:rPr>
        <w:t>Perspectivas</w:t>
      </w:r>
      <w:r>
        <w:rPr>
          <w:rFonts w:ascii="Arial" w:hAnsi="Arial" w:cs="Arial"/>
          <w:i/>
          <w:iCs/>
          <w:sz w:val="22"/>
          <w:szCs w:val="22"/>
          <w:lang w:val="es-ES_tradnl"/>
        </w:rPr>
        <w:t xml:space="preserve"> </w:t>
      </w:r>
      <w:r w:rsidRPr="00900239">
        <w:rPr>
          <w:rFonts w:ascii="Arial" w:hAnsi="Arial" w:cs="Arial"/>
          <w:i/>
          <w:iCs/>
          <w:sz w:val="22"/>
          <w:szCs w:val="22"/>
          <w:lang w:val="es-ES_tradnl"/>
        </w:rPr>
        <w:t xml:space="preserve">limitadas. Crítica. </w:t>
      </w:r>
    </w:p>
    <w:p w:rsidR="00877ED0" w:rsidRDefault="00877ED0" w:rsidP="00900239">
      <w:pPr>
        <w:pStyle w:val="NormalWeb"/>
        <w:spacing w:before="0" w:beforeAutospacing="0" w:after="0" w:afterAutospacing="0" w:line="360" w:lineRule="auto"/>
        <w:ind w:left="1416" w:firstLine="708"/>
        <w:rPr>
          <w:rFonts w:ascii="Arial" w:hAnsi="Arial" w:cs="Arial"/>
          <w:i/>
          <w:iCs/>
          <w:sz w:val="22"/>
          <w:szCs w:val="22"/>
          <w:lang w:val="es-ES_tradnl"/>
        </w:rPr>
      </w:pPr>
      <w:r>
        <w:rPr>
          <w:rFonts w:ascii="Arial" w:hAnsi="Arial" w:cs="Arial"/>
          <w:b/>
          <w:i/>
          <w:iCs/>
          <w:sz w:val="22"/>
          <w:szCs w:val="22"/>
          <w:lang w:val="es-ES_tradnl"/>
        </w:rPr>
        <w:t xml:space="preserve">d) </w:t>
      </w:r>
      <w:r>
        <w:rPr>
          <w:rFonts w:ascii="Arial" w:hAnsi="Arial" w:cs="Arial"/>
          <w:i/>
          <w:iCs/>
          <w:sz w:val="22"/>
          <w:szCs w:val="22"/>
          <w:lang w:val="es-ES_tradnl"/>
        </w:rPr>
        <w:t>Concepto.</w:t>
      </w:r>
    </w:p>
    <w:p w:rsidR="00877ED0" w:rsidRPr="00A62029" w:rsidRDefault="00877ED0" w:rsidP="00900239">
      <w:pPr>
        <w:pStyle w:val="NormalWeb"/>
        <w:spacing w:before="0" w:beforeAutospacing="0" w:after="0" w:afterAutospacing="0" w:line="360" w:lineRule="auto"/>
        <w:ind w:left="1416" w:firstLine="708"/>
        <w:rPr>
          <w:rFonts w:ascii="Arial" w:hAnsi="Arial" w:cs="Arial"/>
          <w:i/>
          <w:iCs/>
          <w:sz w:val="22"/>
          <w:szCs w:val="22"/>
          <w:lang w:val="es-ES_tradnl"/>
        </w:rPr>
      </w:pPr>
      <w:r>
        <w:rPr>
          <w:rFonts w:ascii="Arial" w:hAnsi="Arial" w:cs="Arial"/>
          <w:b/>
          <w:i/>
          <w:iCs/>
          <w:sz w:val="22"/>
          <w:szCs w:val="22"/>
          <w:lang w:val="es-ES_tradnl"/>
        </w:rPr>
        <w:t xml:space="preserve">e) </w:t>
      </w:r>
      <w:r>
        <w:rPr>
          <w:rFonts w:ascii="Arial" w:hAnsi="Arial" w:cs="Arial"/>
          <w:i/>
          <w:iCs/>
          <w:sz w:val="22"/>
          <w:szCs w:val="22"/>
          <w:lang w:val="es-ES_tradnl"/>
        </w:rPr>
        <w:t>C</w:t>
      </w:r>
      <w:r w:rsidRPr="00A62029">
        <w:rPr>
          <w:rFonts w:ascii="Arial" w:hAnsi="Arial" w:cs="Arial"/>
          <w:i/>
          <w:iCs/>
          <w:sz w:val="22"/>
          <w:szCs w:val="22"/>
          <w:lang w:val="es-ES_tradnl"/>
        </w:rPr>
        <w:t xml:space="preserve">lases. </w:t>
      </w:r>
      <w:r w:rsidRPr="00A62029">
        <w:rPr>
          <w:rFonts w:ascii="Arial" w:hAnsi="Arial" w:cs="Arial"/>
          <w:i/>
          <w:iCs/>
          <w:sz w:val="22"/>
          <w:szCs w:val="22"/>
          <w:lang w:val="es-ES_tradnl"/>
        </w:rPr>
        <w:br/>
      </w:r>
    </w:p>
    <w:p w:rsidR="00877ED0" w:rsidRPr="00A62029" w:rsidRDefault="00877ED0" w:rsidP="00A62029">
      <w:pPr>
        <w:pStyle w:val="NormalWeb"/>
        <w:tabs>
          <w:tab w:val="left" w:pos="4959"/>
        </w:tabs>
        <w:spacing w:before="0" w:beforeAutospacing="0" w:after="0" w:afterAutospacing="0" w:line="360" w:lineRule="auto"/>
        <w:ind w:left="3990"/>
        <w:jc w:val="center"/>
        <w:rPr>
          <w:rFonts w:ascii="Arial" w:hAnsi="Arial" w:cs="Arial"/>
          <w:sz w:val="22"/>
          <w:szCs w:val="22"/>
          <w:lang w:val="es-ES_tradnl"/>
        </w:rPr>
      </w:pPr>
    </w:p>
    <w:p w:rsidR="00877ED0" w:rsidRPr="00A62029" w:rsidRDefault="00877ED0" w:rsidP="00A62029">
      <w:pPr>
        <w:pStyle w:val="NormalWeb"/>
        <w:numPr>
          <w:ilvl w:val="0"/>
          <w:numId w:val="2"/>
        </w:numPr>
        <w:spacing w:before="0" w:beforeAutospacing="0" w:after="0" w:afterAutospacing="0" w:line="360" w:lineRule="auto"/>
        <w:rPr>
          <w:rFonts w:ascii="Arial" w:hAnsi="Arial" w:cs="Arial"/>
          <w:sz w:val="22"/>
          <w:szCs w:val="22"/>
          <w:lang w:val="es-ES_tradnl"/>
        </w:rPr>
      </w:pPr>
      <w:r w:rsidRPr="00A62029">
        <w:rPr>
          <w:rFonts w:ascii="Arial" w:hAnsi="Arial" w:cs="Arial"/>
          <w:b/>
          <w:bCs/>
          <w:sz w:val="22"/>
          <w:szCs w:val="22"/>
          <w:u w:val="single"/>
          <w:lang w:val="es-ES_tradnl"/>
        </w:rPr>
        <w:t>NOCIONES PREVIAS</w:t>
      </w:r>
      <w:r w:rsidRPr="00A62029">
        <w:rPr>
          <w:rFonts w:ascii="Arial" w:hAnsi="Arial" w:cs="Arial"/>
          <w:b/>
          <w:bCs/>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b/>
          <w:bCs/>
          <w:sz w:val="22"/>
          <w:szCs w:val="22"/>
          <w:lang w:val="es-ES_tradnl"/>
        </w:rPr>
        <w:br/>
      </w:r>
      <w:r w:rsidRPr="00A62029">
        <w:rPr>
          <w:rFonts w:ascii="Arial" w:hAnsi="Arial" w:cs="Arial"/>
          <w:bCs/>
          <w:sz w:val="22"/>
          <w:szCs w:val="22"/>
          <w:lang w:val="es-ES_tradnl"/>
        </w:rPr>
        <w:t>El</w:t>
      </w:r>
      <w:r w:rsidRPr="00A62029">
        <w:rPr>
          <w:rFonts w:ascii="Arial" w:hAnsi="Arial" w:cs="Arial"/>
          <w:b/>
          <w:bCs/>
          <w:sz w:val="22"/>
          <w:szCs w:val="22"/>
          <w:lang w:val="es-ES_tradnl"/>
        </w:rPr>
        <w:t xml:space="preserve"> </w:t>
      </w:r>
      <w:r w:rsidRPr="00A62029">
        <w:rPr>
          <w:rFonts w:ascii="Arial" w:hAnsi="Arial" w:cs="Arial"/>
          <w:sz w:val="22"/>
          <w:szCs w:val="22"/>
          <w:lang w:val="es-ES_tradnl"/>
        </w:rPr>
        <w:t xml:space="preserve">tratamiento de nuestro tema requiere de la adquisición de algunas nociones que, sin integrarlo particularmente, condicionan su comprensión y manejo.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Nociones sobre las cuales la doctrina y la práctica del proceso judicial no han acordado un significado uniforme, revistiendo su empleo una cierta equivocidad que mantiene el tópico que debemos abordar aquí en una incertidumbre científica y técnica, que ha dificultado en grado sumo la formación de bases sólidas sobre las que se pueda sostener definitivamente el edificio de la ciencia procesal</w:t>
      </w:r>
      <w:r w:rsidRPr="00A62029">
        <w:rPr>
          <w:rStyle w:val="FootnoteReference"/>
          <w:rFonts w:ascii="Arial" w:hAnsi="Arial" w:cs="Arial"/>
          <w:sz w:val="22"/>
          <w:szCs w:val="22"/>
          <w:lang w:val="es-ES_tradnl"/>
        </w:rPr>
        <w:footnoteReference w:id="1"/>
      </w:r>
      <w:r w:rsidRPr="00A62029">
        <w:rPr>
          <w:rFonts w:ascii="Arial" w:hAnsi="Arial" w:cs="Arial"/>
          <w:sz w:val="22"/>
          <w:szCs w:val="22"/>
          <w:lang w:val="es-ES_tradnl"/>
        </w:rPr>
        <w:t xml:space="preserve">, con la capacidad de alimentar una técnica legislativa eficaz, en orden a la consecución de los fines a los que se orienta la actividad judicial, y una práctica procesal eficiente, que preste el concreto servicio de superar los conflictos sociales llevando paz y armonía a la sociedad.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A esas nociones preliminares nos referiremos en la primera parte de nuestra exposición, sin pretensiones de resolver las profundas diferencias que separan a la doctrina procesal, sino con el propósito, más reducido, de aclarar nuestra posición frente a aquellas distintas direcciones doctrinarias, sin la cual aquella quedaría sin fundamentos científicos y no sería comprensible. </w:t>
      </w:r>
    </w:p>
    <w:p w:rsidR="00877ED0" w:rsidRPr="00A62029" w:rsidRDefault="00877ED0" w:rsidP="00A62029">
      <w:pPr>
        <w:pStyle w:val="NormalWeb"/>
        <w:spacing w:before="0" w:beforeAutospacing="0" w:after="0" w:afterAutospacing="0" w:line="360" w:lineRule="auto"/>
        <w:ind w:left="2160"/>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ind w:left="426" w:hanging="426"/>
        <w:jc w:val="both"/>
        <w:rPr>
          <w:rFonts w:ascii="Arial" w:hAnsi="Arial" w:cs="Arial"/>
          <w:sz w:val="22"/>
          <w:szCs w:val="22"/>
          <w:lang w:val="es-ES_tradnl"/>
        </w:rPr>
      </w:pPr>
      <w:r w:rsidRPr="00A62029">
        <w:rPr>
          <w:rFonts w:ascii="Arial" w:hAnsi="Arial" w:cs="Arial"/>
          <w:b/>
          <w:sz w:val="22"/>
          <w:szCs w:val="22"/>
          <w:lang w:val="es-ES_tradnl"/>
        </w:rPr>
        <w:t>1.-</w:t>
      </w:r>
      <w:r w:rsidRPr="00A62029">
        <w:rPr>
          <w:rFonts w:ascii="Arial" w:hAnsi="Arial" w:cs="Arial"/>
          <w:sz w:val="22"/>
          <w:szCs w:val="22"/>
          <w:lang w:val="es-ES_tradnl"/>
        </w:rPr>
        <w:t xml:space="preserve"> IMPORTANCIA DE LAS NOCIONES PREVIAS PARA ENFOCAR EL </w:t>
      </w:r>
      <w:r w:rsidRPr="00A62029">
        <w:rPr>
          <w:rFonts w:ascii="Arial" w:hAnsi="Arial" w:cs="Arial"/>
          <w:sz w:val="22"/>
          <w:szCs w:val="22"/>
          <w:lang w:val="es-ES_tradnl"/>
        </w:rPr>
        <w:br/>
        <w:t>TEMA:-</w:t>
      </w:r>
    </w:p>
    <w:p w:rsidR="00877ED0" w:rsidRPr="00A62029" w:rsidRDefault="00877ED0" w:rsidP="00A62029">
      <w:pPr>
        <w:pStyle w:val="NormalWeb"/>
        <w:spacing w:before="0" w:beforeAutospacing="0" w:after="0" w:afterAutospacing="0" w:line="360" w:lineRule="auto"/>
        <w:ind w:left="709"/>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i/>
          <w:iCs/>
          <w:sz w:val="22"/>
          <w:szCs w:val="22"/>
          <w:lang w:val="es-ES_tradnl"/>
        </w:rPr>
      </w:pPr>
      <w:r w:rsidRPr="00A62029">
        <w:rPr>
          <w:rFonts w:ascii="Arial" w:hAnsi="Arial" w:cs="Arial"/>
          <w:sz w:val="22"/>
          <w:szCs w:val="22"/>
          <w:lang w:val="es-ES_tradnl"/>
        </w:rPr>
        <w:t xml:space="preserve">Si la función básica, esencial o primigenia del derecho es la </w:t>
      </w:r>
      <w:r w:rsidRPr="00A62029">
        <w:rPr>
          <w:rFonts w:ascii="Arial" w:hAnsi="Arial" w:cs="Arial"/>
          <w:i/>
          <w:iCs/>
          <w:sz w:val="22"/>
          <w:szCs w:val="22"/>
          <w:lang w:val="es-ES_tradnl"/>
        </w:rPr>
        <w:t>solución de conflictos intersubjetivos de intereses</w:t>
      </w:r>
      <w:r w:rsidRPr="00A62029">
        <w:rPr>
          <w:rStyle w:val="FootnoteReference"/>
          <w:rFonts w:ascii="Arial" w:hAnsi="Arial" w:cs="Arial"/>
          <w:i/>
          <w:iCs/>
          <w:sz w:val="22"/>
          <w:szCs w:val="22"/>
          <w:lang w:val="es-ES_tradnl"/>
        </w:rPr>
        <w:footnoteReference w:id="2"/>
      </w:r>
      <w:r w:rsidRPr="00A62029">
        <w:rPr>
          <w:rFonts w:ascii="Arial" w:hAnsi="Arial" w:cs="Arial"/>
          <w:i/>
          <w:iCs/>
          <w:sz w:val="22"/>
          <w:szCs w:val="22"/>
          <w:lang w:val="es-ES_tradnl"/>
        </w:rPr>
        <w:t xml:space="preserve">, </w:t>
      </w:r>
      <w:r w:rsidRPr="00A62029">
        <w:rPr>
          <w:rFonts w:ascii="Arial" w:hAnsi="Arial" w:cs="Arial"/>
          <w:sz w:val="22"/>
          <w:szCs w:val="22"/>
          <w:lang w:val="es-ES_tradnl"/>
        </w:rPr>
        <w:t xml:space="preserve">de donde se desprende el abanico de fines que hoy se le atribuyen a aquél, la idea de </w:t>
      </w:r>
      <w:r w:rsidRPr="00A62029">
        <w:rPr>
          <w:rFonts w:ascii="Arial" w:hAnsi="Arial" w:cs="Arial"/>
          <w:i/>
          <w:iCs/>
          <w:sz w:val="22"/>
          <w:szCs w:val="22"/>
          <w:lang w:val="es-ES_tradnl"/>
        </w:rPr>
        <w:t xml:space="preserve">interés </w:t>
      </w:r>
      <w:r w:rsidRPr="00A62029">
        <w:rPr>
          <w:rFonts w:ascii="Arial" w:hAnsi="Arial" w:cs="Arial"/>
          <w:sz w:val="22"/>
          <w:szCs w:val="22"/>
          <w:lang w:val="es-ES_tradnl"/>
        </w:rPr>
        <w:t xml:space="preserve">es central en el montaje de la maquinaria que se pone al servicio de dicha función, puesto que el </w:t>
      </w:r>
      <w:r w:rsidRPr="00A62029">
        <w:rPr>
          <w:rFonts w:ascii="Arial" w:hAnsi="Arial" w:cs="Arial"/>
          <w:i/>
          <w:iCs/>
          <w:sz w:val="22"/>
          <w:szCs w:val="22"/>
          <w:lang w:val="es-ES_tradnl"/>
        </w:rPr>
        <w:t xml:space="preserve">conflicto </w:t>
      </w:r>
      <w:r w:rsidRPr="00A62029">
        <w:rPr>
          <w:rFonts w:ascii="Arial" w:hAnsi="Arial" w:cs="Arial"/>
          <w:sz w:val="22"/>
          <w:szCs w:val="22"/>
          <w:lang w:val="es-ES_tradnl"/>
        </w:rPr>
        <w:t xml:space="preserve">no es otra cosa que el </w:t>
      </w:r>
      <w:r w:rsidRPr="00A62029">
        <w:rPr>
          <w:rFonts w:ascii="Arial" w:hAnsi="Arial" w:cs="Arial"/>
          <w:i/>
          <w:iCs/>
          <w:sz w:val="22"/>
          <w:szCs w:val="22"/>
          <w:lang w:val="es-ES_tradnl"/>
        </w:rPr>
        <w:t>enfrentamiento entre dos intereses que convergen en un mismo objeto</w:t>
      </w:r>
      <w:r w:rsidRPr="00A62029">
        <w:rPr>
          <w:rStyle w:val="FootnoteReference"/>
          <w:rFonts w:ascii="Arial" w:hAnsi="Arial" w:cs="Arial"/>
          <w:i/>
          <w:iCs/>
          <w:sz w:val="22"/>
          <w:szCs w:val="22"/>
          <w:lang w:val="es-ES_tradnl"/>
        </w:rPr>
        <w:footnoteReference w:id="3"/>
      </w:r>
      <w:r w:rsidRPr="00A62029">
        <w:rPr>
          <w:rFonts w:ascii="Arial" w:hAnsi="Arial" w:cs="Arial"/>
          <w:i/>
          <w:iCs/>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iCs/>
          <w:sz w:val="22"/>
          <w:szCs w:val="22"/>
          <w:lang w:val="es-ES_tradnl"/>
        </w:rPr>
      </w:pPr>
      <w:r w:rsidRPr="00A62029">
        <w:rPr>
          <w:rFonts w:ascii="Arial" w:hAnsi="Arial" w:cs="Arial"/>
          <w:sz w:val="22"/>
          <w:szCs w:val="22"/>
          <w:lang w:val="es-ES_tradnl"/>
        </w:rPr>
        <w:t xml:space="preserve">Como el </w:t>
      </w:r>
      <w:r w:rsidRPr="00A62029">
        <w:rPr>
          <w:rFonts w:ascii="Arial" w:hAnsi="Arial" w:cs="Arial"/>
          <w:i/>
          <w:iCs/>
          <w:sz w:val="22"/>
          <w:szCs w:val="22"/>
          <w:lang w:val="es-ES_tradnl"/>
        </w:rPr>
        <w:t xml:space="preserve">proceso judicial </w:t>
      </w:r>
      <w:r w:rsidRPr="00A62029">
        <w:rPr>
          <w:rFonts w:ascii="Arial" w:hAnsi="Arial" w:cs="Arial"/>
          <w:sz w:val="22"/>
          <w:szCs w:val="22"/>
          <w:lang w:val="es-ES_tradnl"/>
        </w:rPr>
        <w:t xml:space="preserve">es el método de que se sirve el derecho para alcanzar la solución de aquél tipo de </w:t>
      </w:r>
      <w:r w:rsidRPr="00A62029">
        <w:rPr>
          <w:rFonts w:ascii="Arial" w:hAnsi="Arial" w:cs="Arial"/>
          <w:i/>
          <w:iCs/>
          <w:sz w:val="22"/>
          <w:szCs w:val="22"/>
          <w:lang w:val="es-ES_tradnl"/>
        </w:rPr>
        <w:t xml:space="preserve">conflictos </w:t>
      </w:r>
      <w:r w:rsidRPr="00A62029">
        <w:rPr>
          <w:rFonts w:ascii="Arial" w:hAnsi="Arial" w:cs="Arial"/>
          <w:sz w:val="22"/>
          <w:szCs w:val="22"/>
          <w:lang w:val="es-ES_tradnl"/>
        </w:rPr>
        <w:t xml:space="preserve">que se ha dado en llamar </w:t>
      </w:r>
      <w:r w:rsidRPr="00A62029">
        <w:rPr>
          <w:rFonts w:ascii="Arial" w:hAnsi="Arial" w:cs="Arial"/>
          <w:i/>
          <w:iCs/>
          <w:sz w:val="22"/>
          <w:szCs w:val="22"/>
          <w:lang w:val="es-ES_tradnl"/>
        </w:rPr>
        <w:t>litigio</w:t>
      </w:r>
      <w:r w:rsidRPr="00A62029">
        <w:rPr>
          <w:rStyle w:val="FootnoteReference"/>
          <w:rFonts w:ascii="Arial" w:hAnsi="Arial" w:cs="Arial"/>
          <w:i/>
          <w:iCs/>
          <w:sz w:val="22"/>
          <w:szCs w:val="22"/>
          <w:lang w:val="es-ES_tradnl"/>
        </w:rPr>
        <w:footnoteReference w:id="4"/>
      </w:r>
      <w:r w:rsidRPr="00A62029">
        <w:rPr>
          <w:rFonts w:ascii="Arial" w:hAnsi="Arial" w:cs="Arial"/>
          <w:i/>
          <w:iCs/>
          <w:sz w:val="22"/>
          <w:szCs w:val="22"/>
          <w:lang w:val="es-ES_tradnl"/>
        </w:rPr>
        <w:t xml:space="preserve">, </w:t>
      </w:r>
      <w:r w:rsidRPr="00A62029">
        <w:rPr>
          <w:rFonts w:ascii="Arial" w:hAnsi="Arial" w:cs="Arial"/>
          <w:sz w:val="22"/>
          <w:szCs w:val="22"/>
          <w:lang w:val="es-ES_tradnl"/>
        </w:rPr>
        <w:t xml:space="preserve">caracterizado por el hecho de que al enfrentamiento de intereses se agrega un </w:t>
      </w:r>
      <w:r w:rsidRPr="00A62029">
        <w:rPr>
          <w:rFonts w:ascii="Arial" w:hAnsi="Arial" w:cs="Arial"/>
          <w:i/>
          <w:iCs/>
          <w:sz w:val="22"/>
          <w:szCs w:val="22"/>
          <w:lang w:val="es-ES_tradnl"/>
        </w:rPr>
        <w:t xml:space="preserve">enfrentamiento de actividades </w:t>
      </w:r>
      <w:r w:rsidRPr="00A62029">
        <w:rPr>
          <w:rFonts w:ascii="Arial" w:hAnsi="Arial" w:cs="Arial"/>
          <w:sz w:val="22"/>
          <w:szCs w:val="22"/>
          <w:lang w:val="es-ES_tradnl"/>
        </w:rPr>
        <w:t xml:space="preserve">en procura del predominio de uno de los intereses opuestos, para tener una idea clara de aquél instrumento jurídico indispensable para que el derecho encuentre plena vigencia en la vida social, se hace necesario e ineludible no solo manejar la noción de </w:t>
      </w:r>
      <w:r w:rsidRPr="00A62029">
        <w:rPr>
          <w:rFonts w:ascii="Arial" w:hAnsi="Arial" w:cs="Arial"/>
          <w:i/>
          <w:iCs/>
          <w:sz w:val="22"/>
          <w:szCs w:val="22"/>
          <w:lang w:val="es-ES_tradnl"/>
        </w:rPr>
        <w:t>interés</w:t>
      </w:r>
      <w:r w:rsidRPr="00A62029">
        <w:rPr>
          <w:rFonts w:ascii="Arial" w:hAnsi="Arial" w:cs="Arial"/>
          <w:iCs/>
          <w:sz w:val="22"/>
          <w:szCs w:val="22"/>
          <w:lang w:val="es-ES_tradnl"/>
        </w:rPr>
        <w:t>, sino, además, comprender los alcances y el significado que debe</w:t>
      </w:r>
      <w:r>
        <w:rPr>
          <w:rFonts w:ascii="Arial" w:hAnsi="Arial" w:cs="Arial"/>
          <w:iCs/>
          <w:sz w:val="22"/>
          <w:szCs w:val="22"/>
          <w:lang w:val="es-ES_tradnl"/>
        </w:rPr>
        <w:t>n</w:t>
      </w:r>
      <w:r w:rsidRPr="00A62029">
        <w:rPr>
          <w:rFonts w:ascii="Arial" w:hAnsi="Arial" w:cs="Arial"/>
          <w:iCs/>
          <w:sz w:val="22"/>
          <w:szCs w:val="22"/>
          <w:lang w:val="es-ES_tradnl"/>
        </w:rPr>
        <w:t xml:space="preserve"> adquirir </w:t>
      </w:r>
      <w:r>
        <w:rPr>
          <w:rFonts w:ascii="Arial" w:hAnsi="Arial" w:cs="Arial"/>
          <w:iCs/>
          <w:sz w:val="22"/>
          <w:szCs w:val="22"/>
          <w:lang w:val="es-ES_tradnl"/>
        </w:rPr>
        <w:t>dichas</w:t>
      </w:r>
      <w:r w:rsidRPr="00A62029">
        <w:rPr>
          <w:rFonts w:ascii="Arial" w:hAnsi="Arial" w:cs="Arial"/>
          <w:iCs/>
          <w:sz w:val="22"/>
          <w:szCs w:val="22"/>
          <w:lang w:val="es-ES_tradnl"/>
        </w:rPr>
        <w:t xml:space="preserve"> actividad</w:t>
      </w:r>
      <w:r>
        <w:rPr>
          <w:rFonts w:ascii="Arial" w:hAnsi="Arial" w:cs="Arial"/>
          <w:iCs/>
          <w:sz w:val="22"/>
          <w:szCs w:val="22"/>
          <w:lang w:val="es-ES_tradnl"/>
        </w:rPr>
        <w:t>es</w:t>
      </w:r>
      <w:r w:rsidRPr="00A62029">
        <w:rPr>
          <w:rFonts w:ascii="Arial" w:hAnsi="Arial" w:cs="Arial"/>
          <w:iCs/>
          <w:sz w:val="22"/>
          <w:szCs w:val="22"/>
          <w:lang w:val="es-ES_tradnl"/>
        </w:rPr>
        <w:t xml:space="preserve"> para justificar y requerir el empleo de aquél método </w:t>
      </w:r>
      <w:r w:rsidRPr="00A62029">
        <w:rPr>
          <w:rFonts w:ascii="Arial" w:hAnsi="Arial" w:cs="Arial"/>
          <w:i/>
          <w:iCs/>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i/>
          <w:iCs/>
          <w:sz w:val="22"/>
          <w:szCs w:val="22"/>
          <w:lang w:val="es-ES_tradnl"/>
        </w:rPr>
      </w:pPr>
      <w:r w:rsidRPr="00A62029">
        <w:rPr>
          <w:rFonts w:ascii="Arial" w:hAnsi="Arial" w:cs="Arial"/>
          <w:sz w:val="22"/>
          <w:szCs w:val="22"/>
          <w:lang w:val="es-ES_tradnl"/>
        </w:rPr>
        <w:t xml:space="preserve">En particular, cuando se aborda el aspecto subjetivo del proceso judicial, en su nivel más elemental, como es el de la localización de los sujetos que deben intervenir para que adquiera vida y pueda alcanzar sus objetivos esenciales, y de los diferentes roles que cabe asignar a cada uno para que, a través del desarrollo del drama procesal, encuentren plena satisfacción los intereses particulares y el interés común en la actuación del derecho, no es posible prescindir de una idea clara y distinta de quienes han sido legitimados por el orden jurídico para desplegar aquella </w:t>
      </w:r>
      <w:r w:rsidRPr="00A62029">
        <w:rPr>
          <w:rFonts w:ascii="Arial" w:hAnsi="Arial" w:cs="Arial"/>
          <w:i/>
          <w:sz w:val="22"/>
          <w:szCs w:val="22"/>
          <w:lang w:val="es-ES_tradnl"/>
        </w:rPr>
        <w:t xml:space="preserve">actividad </w:t>
      </w:r>
      <w:r w:rsidRPr="00A62029">
        <w:rPr>
          <w:rFonts w:ascii="Arial" w:hAnsi="Arial" w:cs="Arial"/>
          <w:sz w:val="22"/>
          <w:szCs w:val="22"/>
          <w:lang w:val="es-ES_tradnl"/>
        </w:rPr>
        <w:t xml:space="preserve">en procura del  </w:t>
      </w:r>
      <w:r w:rsidRPr="00A62029">
        <w:rPr>
          <w:rFonts w:ascii="Arial" w:hAnsi="Arial" w:cs="Arial"/>
          <w:i/>
          <w:iCs/>
          <w:sz w:val="22"/>
          <w:szCs w:val="22"/>
          <w:lang w:val="es-ES_tradnl"/>
        </w:rPr>
        <w:t>interés en la composición del litigo.</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E</w:t>
      </w:r>
      <w:r w:rsidRPr="00A62029">
        <w:rPr>
          <w:rFonts w:ascii="Arial" w:hAnsi="Arial" w:cs="Arial"/>
          <w:sz w:val="22"/>
          <w:szCs w:val="22"/>
          <w:lang w:val="es-ES_tradnl"/>
        </w:rPr>
        <w:t xml:space="preserve">n el campo procesal, la localización y perfecta separación entre los </w:t>
      </w:r>
      <w:r w:rsidRPr="00A62029">
        <w:rPr>
          <w:rFonts w:ascii="Arial" w:hAnsi="Arial" w:cs="Arial"/>
          <w:i/>
          <w:iCs/>
          <w:sz w:val="22"/>
          <w:szCs w:val="22"/>
          <w:lang w:val="es-ES_tradnl"/>
        </w:rPr>
        <w:t xml:space="preserve">intereses </w:t>
      </w:r>
      <w:r w:rsidRPr="00A62029">
        <w:rPr>
          <w:rFonts w:ascii="Arial" w:hAnsi="Arial" w:cs="Arial"/>
          <w:sz w:val="22"/>
          <w:szCs w:val="22"/>
          <w:lang w:val="es-ES_tradnl"/>
        </w:rPr>
        <w:t>que el proceso judicial contribuye a satisfacer</w:t>
      </w:r>
      <w:r>
        <w:rPr>
          <w:rFonts w:ascii="Arial" w:hAnsi="Arial" w:cs="Arial"/>
          <w:sz w:val="22"/>
          <w:szCs w:val="22"/>
          <w:lang w:val="es-ES_tradnl"/>
        </w:rPr>
        <w:t>,</w:t>
      </w:r>
      <w:r w:rsidRPr="00A62029">
        <w:rPr>
          <w:rFonts w:ascii="Arial" w:hAnsi="Arial" w:cs="Arial"/>
          <w:sz w:val="22"/>
          <w:szCs w:val="22"/>
          <w:lang w:val="es-ES_tradnl"/>
        </w:rPr>
        <w:t xml:space="preserve"> adquiere  </w:t>
      </w:r>
      <w:r>
        <w:rPr>
          <w:rFonts w:ascii="Arial" w:hAnsi="Arial" w:cs="Arial"/>
          <w:sz w:val="22"/>
          <w:szCs w:val="22"/>
          <w:lang w:val="es-ES_tradnl"/>
        </w:rPr>
        <w:t>sing</w:t>
      </w:r>
      <w:r w:rsidRPr="00A62029">
        <w:rPr>
          <w:rFonts w:ascii="Arial" w:hAnsi="Arial" w:cs="Arial"/>
          <w:sz w:val="22"/>
          <w:szCs w:val="22"/>
          <w:lang w:val="es-ES_tradnl"/>
        </w:rPr>
        <w:t xml:space="preserve">ular trascendencia puesto que de ese análisis dependerá la individualización de otros institutos que informan muy de cerca nuestra temática: la </w:t>
      </w:r>
      <w:r w:rsidRPr="00A62029">
        <w:rPr>
          <w:rFonts w:ascii="Arial" w:hAnsi="Arial" w:cs="Arial"/>
          <w:i/>
          <w:iCs/>
          <w:sz w:val="22"/>
          <w:szCs w:val="22"/>
          <w:lang w:val="es-ES_tradnl"/>
        </w:rPr>
        <w:t>pretensión</w:t>
      </w:r>
      <w:r w:rsidRPr="00A62029">
        <w:rPr>
          <w:rFonts w:ascii="Arial" w:hAnsi="Arial" w:cs="Arial"/>
          <w:iCs/>
          <w:sz w:val="22"/>
          <w:szCs w:val="22"/>
          <w:lang w:val="es-ES_tradnl"/>
        </w:rPr>
        <w:t xml:space="preserve"> y la </w:t>
      </w:r>
      <w:r w:rsidRPr="00A62029">
        <w:rPr>
          <w:rFonts w:ascii="Arial" w:hAnsi="Arial" w:cs="Arial"/>
          <w:i/>
          <w:iCs/>
          <w:sz w:val="22"/>
          <w:szCs w:val="22"/>
          <w:lang w:val="es-ES_tradnl"/>
        </w:rPr>
        <w:t xml:space="preserve">acción, </w:t>
      </w:r>
      <w:r w:rsidRPr="00A62029">
        <w:rPr>
          <w:rFonts w:ascii="Arial" w:hAnsi="Arial" w:cs="Arial"/>
          <w:sz w:val="22"/>
          <w:szCs w:val="22"/>
          <w:lang w:val="es-ES_tradnl"/>
        </w:rPr>
        <w:t xml:space="preserve">institutos que, </w:t>
      </w:r>
      <w:r>
        <w:rPr>
          <w:rFonts w:ascii="Arial" w:hAnsi="Arial" w:cs="Arial"/>
          <w:sz w:val="22"/>
          <w:szCs w:val="22"/>
          <w:lang w:val="es-ES_tradnl"/>
        </w:rPr>
        <w:t>a</w:t>
      </w:r>
      <w:r w:rsidRPr="00A62029">
        <w:rPr>
          <w:rFonts w:ascii="Arial" w:hAnsi="Arial" w:cs="Arial"/>
          <w:sz w:val="22"/>
          <w:szCs w:val="22"/>
          <w:lang w:val="es-ES_tradnl"/>
        </w:rPr>
        <w:t xml:space="preserve">l </w:t>
      </w:r>
      <w:r>
        <w:rPr>
          <w:rFonts w:ascii="Arial" w:hAnsi="Arial" w:cs="Arial"/>
          <w:sz w:val="22"/>
          <w:szCs w:val="22"/>
          <w:lang w:val="es-ES_tradnl"/>
        </w:rPr>
        <w:t xml:space="preserve">impulso de determinados </w:t>
      </w:r>
      <w:r w:rsidRPr="00A62029">
        <w:rPr>
          <w:rFonts w:ascii="Arial" w:hAnsi="Arial" w:cs="Arial"/>
          <w:i/>
          <w:iCs/>
          <w:sz w:val="22"/>
          <w:szCs w:val="22"/>
          <w:lang w:val="es-ES_tradnl"/>
        </w:rPr>
        <w:t>inter</w:t>
      </w:r>
      <w:r>
        <w:rPr>
          <w:rFonts w:ascii="Arial" w:hAnsi="Arial" w:cs="Arial"/>
          <w:i/>
          <w:iCs/>
          <w:sz w:val="22"/>
          <w:szCs w:val="22"/>
          <w:lang w:val="es-ES_tradnl"/>
        </w:rPr>
        <w:t>e</w:t>
      </w:r>
      <w:r w:rsidRPr="00A62029">
        <w:rPr>
          <w:rFonts w:ascii="Arial" w:hAnsi="Arial" w:cs="Arial"/>
          <w:i/>
          <w:iCs/>
          <w:sz w:val="22"/>
          <w:szCs w:val="22"/>
          <w:lang w:val="es-ES_tradnl"/>
        </w:rPr>
        <w:t>s</w:t>
      </w:r>
      <w:r>
        <w:rPr>
          <w:rFonts w:ascii="Arial" w:hAnsi="Arial" w:cs="Arial"/>
          <w:i/>
          <w:iCs/>
          <w:sz w:val="22"/>
          <w:szCs w:val="22"/>
          <w:lang w:val="es-ES_tradnl"/>
        </w:rPr>
        <w:t>es</w:t>
      </w:r>
      <w:r w:rsidRPr="00A62029">
        <w:rPr>
          <w:rFonts w:ascii="Arial" w:hAnsi="Arial" w:cs="Arial"/>
          <w:i/>
          <w:iCs/>
          <w:sz w:val="22"/>
          <w:szCs w:val="22"/>
          <w:lang w:val="es-ES_tradnl"/>
        </w:rPr>
        <w:t xml:space="preserve">, </w:t>
      </w:r>
      <w:r w:rsidRPr="00A62029">
        <w:rPr>
          <w:rFonts w:ascii="Arial" w:hAnsi="Arial" w:cs="Arial"/>
          <w:sz w:val="22"/>
          <w:szCs w:val="22"/>
          <w:lang w:val="es-ES_tradnl"/>
        </w:rPr>
        <w:t xml:space="preserve">marcan la oportunidad y los límites de la actuación de los sujetos que tienen aptitud para conducir el debate judicial y deben soportar sus resultados.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 El abandono de la noción de </w:t>
      </w:r>
      <w:r w:rsidRPr="00A62029">
        <w:rPr>
          <w:rFonts w:ascii="Arial" w:hAnsi="Arial" w:cs="Arial"/>
          <w:i/>
          <w:sz w:val="22"/>
          <w:szCs w:val="22"/>
          <w:lang w:val="es-ES_tradnl"/>
        </w:rPr>
        <w:t xml:space="preserve">acción </w:t>
      </w:r>
      <w:r w:rsidRPr="00A62029">
        <w:rPr>
          <w:rFonts w:ascii="Arial" w:hAnsi="Arial" w:cs="Arial"/>
          <w:sz w:val="22"/>
          <w:szCs w:val="22"/>
          <w:lang w:val="es-ES_tradnl"/>
        </w:rPr>
        <w:t>por la dogmática jurídica procesal</w:t>
      </w:r>
      <w:r w:rsidRPr="00A62029">
        <w:rPr>
          <w:rStyle w:val="FootnoteReference"/>
          <w:rFonts w:ascii="Arial" w:hAnsi="Arial" w:cs="Arial"/>
          <w:sz w:val="22"/>
          <w:szCs w:val="22"/>
          <w:lang w:val="es-ES_tradnl"/>
        </w:rPr>
        <w:footnoteReference w:id="5"/>
      </w:r>
      <w:r w:rsidRPr="00A62029">
        <w:rPr>
          <w:rFonts w:ascii="Arial" w:hAnsi="Arial" w:cs="Arial"/>
          <w:sz w:val="22"/>
          <w:szCs w:val="22"/>
          <w:lang w:val="es-ES_tradnl"/>
        </w:rPr>
        <w:t xml:space="preserve"> trajo como consecuencia la exclusión, en la preocupación científica, de las  investigaciones sobre el </w:t>
      </w:r>
      <w:r w:rsidRPr="00A62029">
        <w:rPr>
          <w:rFonts w:ascii="Arial" w:hAnsi="Arial" w:cs="Arial"/>
          <w:i/>
          <w:sz w:val="22"/>
          <w:szCs w:val="22"/>
          <w:lang w:val="es-ES_tradnl"/>
        </w:rPr>
        <w:t>interés</w:t>
      </w:r>
      <w:r w:rsidRPr="00A62029">
        <w:rPr>
          <w:rFonts w:ascii="Arial" w:hAnsi="Arial" w:cs="Arial"/>
          <w:sz w:val="22"/>
          <w:szCs w:val="22"/>
          <w:lang w:val="es-ES_tradnl"/>
        </w:rPr>
        <w:t xml:space="preserve"> que con las estructuras procesales se protege y con ello quedaron obscurecidas las otras dos nociones conexas, de </w:t>
      </w:r>
      <w:r w:rsidRPr="00A62029">
        <w:rPr>
          <w:rFonts w:ascii="Arial" w:hAnsi="Arial" w:cs="Arial"/>
          <w:i/>
          <w:sz w:val="22"/>
          <w:szCs w:val="22"/>
          <w:lang w:val="es-ES_tradnl"/>
        </w:rPr>
        <w:t xml:space="preserve">pretensión </w:t>
      </w:r>
      <w:r w:rsidRPr="00A62029">
        <w:rPr>
          <w:rFonts w:ascii="Arial" w:hAnsi="Arial" w:cs="Arial"/>
          <w:sz w:val="22"/>
          <w:szCs w:val="22"/>
          <w:lang w:val="es-ES_tradnl"/>
        </w:rPr>
        <w:t xml:space="preserve">y </w:t>
      </w:r>
      <w:r w:rsidRPr="00A62029">
        <w:rPr>
          <w:rFonts w:ascii="Arial" w:hAnsi="Arial" w:cs="Arial"/>
          <w:i/>
          <w:sz w:val="22"/>
          <w:szCs w:val="22"/>
          <w:lang w:val="es-ES_tradnl"/>
        </w:rPr>
        <w:t>legitimación</w:t>
      </w:r>
      <w:r w:rsidRPr="00A62029">
        <w:rPr>
          <w:rFonts w:ascii="Arial" w:hAnsi="Arial" w:cs="Arial"/>
          <w:sz w:val="22"/>
          <w:szCs w:val="22"/>
          <w:lang w:val="es-ES_tradnl"/>
        </w:rPr>
        <w:t xml:space="preserve">,. Solo el advenimiento de una especie particular de intereses con proyección jurídica, como es el que se agrupa bajo la denominación de </w:t>
      </w:r>
      <w:r w:rsidRPr="00A62029">
        <w:rPr>
          <w:rFonts w:ascii="Arial" w:hAnsi="Arial" w:cs="Arial"/>
          <w:i/>
          <w:sz w:val="22"/>
          <w:szCs w:val="22"/>
          <w:lang w:val="es-ES_tradnl"/>
        </w:rPr>
        <w:t>intereses supraindividuales</w:t>
      </w:r>
      <w:r w:rsidRPr="00A62029">
        <w:rPr>
          <w:rFonts w:ascii="Arial" w:hAnsi="Arial" w:cs="Arial"/>
          <w:sz w:val="22"/>
          <w:szCs w:val="22"/>
          <w:lang w:val="es-ES_tradnl"/>
        </w:rPr>
        <w:t xml:space="preserve">, y la consecuente necesidad de reformular o adaptar las nociones vinculadas de </w:t>
      </w:r>
      <w:r w:rsidRPr="00A62029">
        <w:rPr>
          <w:rFonts w:ascii="Arial" w:hAnsi="Arial" w:cs="Arial"/>
          <w:i/>
          <w:sz w:val="22"/>
          <w:szCs w:val="22"/>
          <w:lang w:val="es-ES_tradnl"/>
        </w:rPr>
        <w:t>pretensión</w:t>
      </w:r>
      <w:r w:rsidRPr="00A62029">
        <w:rPr>
          <w:rFonts w:ascii="Arial" w:hAnsi="Arial" w:cs="Arial"/>
          <w:sz w:val="22"/>
          <w:szCs w:val="22"/>
          <w:lang w:val="es-ES_tradnl"/>
        </w:rPr>
        <w:t xml:space="preserve"> y </w:t>
      </w:r>
      <w:r w:rsidRPr="00A62029">
        <w:rPr>
          <w:rFonts w:ascii="Arial" w:hAnsi="Arial" w:cs="Arial"/>
          <w:i/>
          <w:sz w:val="22"/>
          <w:szCs w:val="22"/>
          <w:lang w:val="es-ES_tradnl"/>
        </w:rPr>
        <w:t>legitimación</w:t>
      </w:r>
      <w:r w:rsidRPr="00A62029">
        <w:rPr>
          <w:rFonts w:ascii="Arial" w:hAnsi="Arial" w:cs="Arial"/>
          <w:sz w:val="22"/>
          <w:szCs w:val="22"/>
          <w:lang w:val="es-ES_tradnl"/>
        </w:rPr>
        <w:t>, necesarias para posibilitar su tutela procesal, ha dado nuevo impulso a los  estudios sobre aquellas materias básicas del quehacer científico en el ámbito del proceso judicial</w:t>
      </w:r>
      <w:r>
        <w:rPr>
          <w:rStyle w:val="FootnoteReference"/>
          <w:rFonts w:ascii="Arial" w:hAnsi="Arial" w:cs="Arial"/>
          <w:sz w:val="22"/>
          <w:szCs w:val="22"/>
          <w:lang w:val="es-ES_tradnl"/>
        </w:rPr>
        <w:footnoteReference w:id="6"/>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Sin embargo, el hábito de prescindir de las especies de </w:t>
      </w:r>
      <w:r w:rsidRPr="00A62029">
        <w:rPr>
          <w:rFonts w:ascii="Arial" w:hAnsi="Arial" w:cs="Arial"/>
          <w:i/>
          <w:sz w:val="22"/>
          <w:szCs w:val="22"/>
          <w:lang w:val="es-ES_tradnl"/>
        </w:rPr>
        <w:t>intereses instrumentales</w:t>
      </w:r>
      <w:r w:rsidRPr="00A62029">
        <w:rPr>
          <w:rFonts w:ascii="Arial" w:hAnsi="Arial" w:cs="Arial"/>
          <w:sz w:val="22"/>
          <w:szCs w:val="22"/>
          <w:lang w:val="es-ES_tradnl"/>
        </w:rPr>
        <w:t xml:space="preserve"> para individualizar y describir los fenómenos procesales –los que se analizan desde el ángulo de la pura </w:t>
      </w:r>
      <w:r w:rsidRPr="00A62029">
        <w:rPr>
          <w:rFonts w:ascii="Arial" w:hAnsi="Arial" w:cs="Arial"/>
          <w:i/>
          <w:sz w:val="22"/>
          <w:szCs w:val="22"/>
          <w:lang w:val="es-ES_tradnl"/>
        </w:rPr>
        <w:t>actividad</w:t>
      </w:r>
      <w:r w:rsidRPr="00A62029">
        <w:rPr>
          <w:rFonts w:ascii="Arial" w:hAnsi="Arial" w:cs="Arial"/>
          <w:sz w:val="22"/>
          <w:szCs w:val="22"/>
          <w:lang w:val="es-ES_tradnl"/>
        </w:rPr>
        <w:t xml:space="preserve">, prescindiendo del </w:t>
      </w:r>
      <w:r w:rsidRPr="00A62029">
        <w:rPr>
          <w:rFonts w:ascii="Arial" w:hAnsi="Arial" w:cs="Arial"/>
          <w:i/>
          <w:sz w:val="22"/>
          <w:szCs w:val="22"/>
          <w:lang w:val="es-ES_tradnl"/>
        </w:rPr>
        <w:t>poder</w:t>
      </w:r>
      <w:r w:rsidRPr="00A62029">
        <w:rPr>
          <w:rFonts w:ascii="Arial" w:hAnsi="Arial" w:cs="Arial"/>
          <w:sz w:val="22"/>
          <w:szCs w:val="22"/>
          <w:lang w:val="es-ES_tradnl"/>
        </w:rPr>
        <w:t xml:space="preserve"> con que se realizan</w:t>
      </w:r>
      <w:r w:rsidRPr="00A62029">
        <w:rPr>
          <w:rStyle w:val="FootnoteReference"/>
          <w:rFonts w:ascii="Arial" w:hAnsi="Arial" w:cs="Arial"/>
          <w:sz w:val="22"/>
          <w:szCs w:val="22"/>
          <w:lang w:val="es-ES_tradnl"/>
        </w:rPr>
        <w:footnoteReference w:id="7"/>
      </w:r>
      <w:r w:rsidRPr="00A62029">
        <w:rPr>
          <w:rFonts w:ascii="Arial" w:hAnsi="Arial" w:cs="Arial"/>
          <w:sz w:val="22"/>
          <w:szCs w:val="22"/>
          <w:lang w:val="es-ES_tradnl"/>
        </w:rPr>
        <w:t xml:space="preserve"> y de la </w:t>
      </w:r>
      <w:r w:rsidRPr="00A62029">
        <w:rPr>
          <w:rFonts w:ascii="Arial" w:hAnsi="Arial" w:cs="Arial"/>
          <w:i/>
          <w:sz w:val="22"/>
          <w:szCs w:val="22"/>
          <w:lang w:val="es-ES_tradnl"/>
        </w:rPr>
        <w:t>vinculación</w:t>
      </w:r>
      <w:r w:rsidRPr="00A62029">
        <w:rPr>
          <w:rFonts w:ascii="Arial" w:hAnsi="Arial" w:cs="Arial"/>
          <w:sz w:val="22"/>
          <w:szCs w:val="22"/>
          <w:lang w:val="es-ES_tradnl"/>
        </w:rPr>
        <w:t xml:space="preserve"> que</w:t>
      </w:r>
      <w:r>
        <w:rPr>
          <w:rFonts w:ascii="Arial" w:hAnsi="Arial" w:cs="Arial"/>
          <w:sz w:val="22"/>
          <w:szCs w:val="22"/>
          <w:lang w:val="es-ES_tradnl"/>
        </w:rPr>
        <w:t xml:space="preserve"> </w:t>
      </w:r>
      <w:r w:rsidRPr="00A62029">
        <w:rPr>
          <w:rFonts w:ascii="Arial" w:hAnsi="Arial" w:cs="Arial"/>
          <w:sz w:val="22"/>
          <w:szCs w:val="22"/>
          <w:lang w:val="es-ES_tradnl"/>
        </w:rPr>
        <w:t>provoca</w:t>
      </w:r>
      <w:r>
        <w:rPr>
          <w:rFonts w:ascii="Arial" w:hAnsi="Arial" w:cs="Arial"/>
          <w:sz w:val="22"/>
          <w:szCs w:val="22"/>
          <w:lang w:val="es-ES_tradnl"/>
        </w:rPr>
        <w:t xml:space="preserve"> su ejercicio</w:t>
      </w:r>
      <w:r w:rsidRPr="00A62029">
        <w:rPr>
          <w:rFonts w:ascii="Arial" w:hAnsi="Arial" w:cs="Arial"/>
          <w:sz w:val="22"/>
          <w:szCs w:val="22"/>
          <w:lang w:val="es-ES_tradnl"/>
        </w:rPr>
        <w:t xml:space="preserve">, como medios de tutelar singulares intereses (privados y públicos)-, viene dificultando la ubicación de las nuevas materias de investigación y la </w:t>
      </w:r>
      <w:r>
        <w:rPr>
          <w:rFonts w:ascii="Arial" w:hAnsi="Arial" w:cs="Arial"/>
          <w:sz w:val="22"/>
          <w:szCs w:val="22"/>
          <w:lang w:val="es-ES_tradnl"/>
        </w:rPr>
        <w:t>repercusión que ellas tienen</w:t>
      </w:r>
      <w:r w:rsidRPr="00A62029">
        <w:rPr>
          <w:rFonts w:ascii="Arial" w:hAnsi="Arial" w:cs="Arial"/>
          <w:sz w:val="22"/>
          <w:szCs w:val="22"/>
          <w:lang w:val="es-ES_tradnl"/>
        </w:rPr>
        <w:t xml:space="preserve"> en el ámbito de las relaciones jurídicas procesales.</w:t>
      </w:r>
    </w:p>
    <w:p w:rsidR="00877ED0" w:rsidRPr="00A62029" w:rsidRDefault="00877ED0" w:rsidP="00A62029">
      <w:pPr>
        <w:pStyle w:val="NormalWeb"/>
        <w:spacing w:before="0" w:beforeAutospacing="0" w:after="0" w:afterAutospacing="0" w:line="360" w:lineRule="auto"/>
        <w:jc w:val="both"/>
        <w:rPr>
          <w:rFonts w:ascii="Arial" w:hAnsi="Arial" w:cs="Arial"/>
          <w:i/>
          <w:sz w:val="22"/>
          <w:szCs w:val="22"/>
          <w:lang w:val="es-ES_tradnl"/>
        </w:rPr>
      </w:pP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Style w:val="FootnoteReference"/>
          <w:rFonts w:ascii="Arial" w:hAnsi="Arial" w:cs="Arial"/>
          <w:sz w:val="22"/>
          <w:szCs w:val="22"/>
          <w:lang w:val="es-ES_tradnl"/>
        </w:rPr>
      </w:pPr>
      <w:r w:rsidRPr="00A62029">
        <w:rPr>
          <w:rFonts w:ascii="Arial" w:hAnsi="Arial" w:cs="Arial"/>
          <w:sz w:val="22"/>
          <w:szCs w:val="22"/>
          <w:lang w:val="es-ES_tradnl"/>
        </w:rPr>
        <w:t xml:space="preserve">Ese estado de cosas nos obliga a reunir esos tres tópicos </w:t>
      </w:r>
      <w:r w:rsidRPr="00A62029">
        <w:rPr>
          <w:rFonts w:ascii="Arial" w:hAnsi="Arial" w:cs="Arial"/>
          <w:i/>
          <w:iCs/>
          <w:sz w:val="22"/>
          <w:szCs w:val="22"/>
          <w:lang w:val="es-ES_tradnl"/>
        </w:rPr>
        <w:t xml:space="preserve">—interés, pretensión </w:t>
      </w:r>
      <w:r w:rsidRPr="00A62029">
        <w:rPr>
          <w:rFonts w:ascii="Arial" w:hAnsi="Arial" w:cs="Arial"/>
          <w:sz w:val="22"/>
          <w:szCs w:val="22"/>
          <w:lang w:val="es-ES_tradnl"/>
        </w:rPr>
        <w:t xml:space="preserve">y </w:t>
      </w:r>
      <w:r w:rsidRPr="00A62029">
        <w:rPr>
          <w:rFonts w:ascii="Arial" w:hAnsi="Arial" w:cs="Arial"/>
          <w:i/>
          <w:iCs/>
          <w:sz w:val="22"/>
          <w:szCs w:val="22"/>
          <w:lang w:val="es-ES_tradnl"/>
        </w:rPr>
        <w:t xml:space="preserve">legitimación- </w:t>
      </w:r>
      <w:r w:rsidRPr="00A62029">
        <w:rPr>
          <w:rFonts w:ascii="Arial" w:hAnsi="Arial" w:cs="Arial"/>
          <w:sz w:val="22"/>
          <w:szCs w:val="22"/>
          <w:lang w:val="es-ES_tradnl"/>
        </w:rPr>
        <w:t>en nuestra exposición, habida cuenta que la posición que adoptemos con relación a los dos primeros será la base de nuestra concepción en cuanto al último. Esa íntima vinculación de nuestra tema con el del interés y la pretensión se desprende con claridad, además de lo expuesto, de las enseñanzas de José Ramiro PODETTI, para quien, al abordar el espinoso tópico de las tercerías, apuntaba que el “grado y naturaleza del interés que protege la facultad de pedir protección jurídica...determina la clase de legitimación (...) y el tipo de sujeto procesal que puede ostentar el interviniente”, de donde, a su vez, “surgen las facultades que integran la acción correspondientes al sujeto procesal activo, que puede ejercitar el interviniente”</w:t>
      </w:r>
      <w:r w:rsidRPr="00A62029">
        <w:rPr>
          <w:rStyle w:val="FootnoteReference"/>
          <w:rFonts w:ascii="Arial" w:hAnsi="Arial" w:cs="Arial"/>
          <w:sz w:val="22"/>
          <w:szCs w:val="22"/>
          <w:lang w:val="es-ES_tradnl"/>
        </w:rPr>
        <w:footnoteReference w:id="8"/>
      </w:r>
      <w:r w:rsidRPr="00A62029">
        <w:rPr>
          <w:rFonts w:ascii="Arial" w:hAnsi="Arial" w:cs="Arial"/>
          <w:sz w:val="22"/>
          <w:szCs w:val="22"/>
          <w:lang w:val="es-ES_tradnl"/>
        </w:rPr>
        <w:t>.</w:t>
      </w:r>
      <w:r w:rsidRPr="00A62029">
        <w:rPr>
          <w:rStyle w:val="FootnoteReference"/>
          <w:rFonts w:ascii="Arial" w:hAnsi="Arial" w:cs="Arial"/>
          <w:sz w:val="22"/>
          <w:szCs w:val="22"/>
          <w:lang w:val="es-ES_tradnl"/>
        </w:rPr>
        <w:t>.</w:t>
      </w:r>
    </w:p>
    <w:p w:rsidR="00877ED0" w:rsidRPr="00A62029" w:rsidRDefault="00877ED0" w:rsidP="00A62029">
      <w:pPr>
        <w:pStyle w:val="NormalWeb"/>
        <w:spacing w:before="0" w:beforeAutospacing="0" w:after="0" w:afterAutospacing="0" w:line="360" w:lineRule="auto"/>
        <w:ind w:firstLine="708"/>
        <w:jc w:val="both"/>
        <w:rPr>
          <w:rFonts w:ascii="Arial" w:hAnsi="Arial" w:cs="Arial"/>
          <w:sz w:val="22"/>
          <w:szCs w:val="22"/>
          <w:u w:val="single"/>
          <w:lang w:val="es-ES_tradnl"/>
        </w:rPr>
      </w:pPr>
      <w:r w:rsidRPr="00A62029">
        <w:rPr>
          <w:rFonts w:ascii="Arial" w:hAnsi="Arial" w:cs="Arial"/>
          <w:sz w:val="22"/>
          <w:szCs w:val="22"/>
          <w:lang w:val="es-ES_tradnl"/>
        </w:rPr>
        <w:t xml:space="preserve"> </w:t>
      </w:r>
      <w:r w:rsidRPr="00A62029">
        <w:rPr>
          <w:rFonts w:ascii="Arial" w:hAnsi="Arial" w:cs="Arial"/>
          <w:sz w:val="22"/>
          <w:szCs w:val="22"/>
          <w:lang w:val="es-ES_tradnl"/>
        </w:rPr>
        <w:br/>
      </w:r>
      <w:r w:rsidRPr="00A62029">
        <w:rPr>
          <w:rFonts w:ascii="Arial" w:hAnsi="Arial" w:cs="Arial"/>
          <w:b/>
          <w:sz w:val="22"/>
          <w:szCs w:val="22"/>
          <w:lang w:val="es-ES_tradnl"/>
        </w:rPr>
        <w:t xml:space="preserve">2.- </w:t>
      </w:r>
      <w:r w:rsidRPr="00A62029">
        <w:rPr>
          <w:rFonts w:ascii="Arial" w:hAnsi="Arial" w:cs="Arial"/>
          <w:sz w:val="22"/>
          <w:szCs w:val="22"/>
          <w:u w:val="single"/>
          <w:lang w:val="es-ES_tradnl"/>
        </w:rPr>
        <w:t>INTERÉS</w:t>
      </w:r>
      <w:r w:rsidRPr="00A62029">
        <w:rPr>
          <w:rFonts w:ascii="Arial" w:hAnsi="Arial" w:cs="Arial"/>
          <w:sz w:val="22"/>
          <w:szCs w:val="22"/>
          <w:lang w:val="es-ES_tradnl"/>
        </w:rPr>
        <w:t>:-</w:t>
      </w:r>
      <w:r w:rsidRPr="00A62029">
        <w:rPr>
          <w:rFonts w:ascii="Arial" w:hAnsi="Arial" w:cs="Arial"/>
          <w:sz w:val="22"/>
          <w:szCs w:val="22"/>
          <w:u w:val="single"/>
          <w:lang w:val="es-ES_tradnl"/>
        </w:rPr>
        <w:t xml:space="preserve"> </w:t>
      </w:r>
    </w:p>
    <w:p w:rsidR="00877ED0" w:rsidRPr="00A62029" w:rsidRDefault="00877ED0" w:rsidP="00A62029">
      <w:pPr>
        <w:pStyle w:val="NormalWeb"/>
        <w:spacing w:before="0" w:beforeAutospacing="0" w:after="0" w:afterAutospacing="0" w:line="360" w:lineRule="auto"/>
        <w:ind w:firstLine="708"/>
        <w:jc w:val="both"/>
        <w:rPr>
          <w:rFonts w:ascii="Arial" w:hAnsi="Arial" w:cs="Arial"/>
          <w:sz w:val="22"/>
          <w:szCs w:val="22"/>
          <w:u w:val="single"/>
          <w:lang w:val="es-ES_tradnl"/>
        </w:rPr>
      </w:pPr>
    </w:p>
    <w:p w:rsidR="00877ED0" w:rsidRPr="00A62029" w:rsidRDefault="00877ED0" w:rsidP="00A62029">
      <w:pPr>
        <w:pStyle w:val="NormalWeb"/>
        <w:numPr>
          <w:ilvl w:val="0"/>
          <w:numId w:val="3"/>
        </w:numPr>
        <w:spacing w:before="0" w:beforeAutospacing="0" w:after="0" w:afterAutospacing="0" w:line="360" w:lineRule="auto"/>
        <w:jc w:val="both"/>
        <w:rPr>
          <w:rFonts w:ascii="Arial" w:hAnsi="Arial" w:cs="Arial"/>
          <w:sz w:val="22"/>
          <w:szCs w:val="22"/>
          <w:u w:val="single"/>
          <w:lang w:val="es-ES_tradnl"/>
        </w:rPr>
      </w:pPr>
      <w:r w:rsidRPr="00A62029">
        <w:rPr>
          <w:rFonts w:ascii="Arial" w:hAnsi="Arial" w:cs="Arial"/>
          <w:i/>
          <w:iCs/>
          <w:sz w:val="22"/>
          <w:szCs w:val="22"/>
          <w:lang w:val="es-ES_tradnl"/>
        </w:rPr>
        <w:t xml:space="preserve">Concepto: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u w:val="single"/>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Nos enrolamos en la corriente </w:t>
      </w:r>
      <w:r w:rsidRPr="00A62029">
        <w:rPr>
          <w:rFonts w:ascii="Arial" w:hAnsi="Arial" w:cs="Arial"/>
          <w:i/>
          <w:iCs/>
          <w:sz w:val="22"/>
          <w:szCs w:val="22"/>
          <w:lang w:val="es-ES_tradnl"/>
        </w:rPr>
        <w:t xml:space="preserve">objetiva </w:t>
      </w:r>
      <w:r w:rsidRPr="00A62029">
        <w:rPr>
          <w:rFonts w:ascii="Arial" w:hAnsi="Arial" w:cs="Arial"/>
          <w:sz w:val="22"/>
          <w:szCs w:val="22"/>
          <w:lang w:val="es-ES_tradnl"/>
        </w:rPr>
        <w:t xml:space="preserve">para la delimitación de la noción de </w:t>
      </w:r>
      <w:r w:rsidRPr="00A62029">
        <w:rPr>
          <w:rFonts w:ascii="Arial" w:hAnsi="Arial" w:cs="Arial"/>
          <w:i/>
          <w:iCs/>
          <w:sz w:val="22"/>
          <w:szCs w:val="22"/>
          <w:lang w:val="es-ES_tradnl"/>
        </w:rPr>
        <w:t xml:space="preserve">interés, </w:t>
      </w:r>
      <w:r w:rsidRPr="00A62029">
        <w:rPr>
          <w:rFonts w:ascii="Arial" w:hAnsi="Arial" w:cs="Arial"/>
          <w:sz w:val="22"/>
          <w:szCs w:val="22"/>
          <w:lang w:val="es-ES_tradnl"/>
        </w:rPr>
        <w:t xml:space="preserve">en general, y de </w:t>
      </w:r>
      <w:r w:rsidRPr="00A62029">
        <w:rPr>
          <w:rFonts w:ascii="Arial" w:hAnsi="Arial" w:cs="Arial"/>
          <w:i/>
          <w:iCs/>
          <w:sz w:val="22"/>
          <w:szCs w:val="22"/>
          <w:lang w:val="es-ES_tradnl"/>
        </w:rPr>
        <w:t xml:space="preserve">interés jurídico, </w:t>
      </w:r>
      <w:r w:rsidRPr="00A62029">
        <w:rPr>
          <w:rFonts w:ascii="Arial" w:hAnsi="Arial" w:cs="Arial"/>
          <w:sz w:val="22"/>
          <w:szCs w:val="22"/>
          <w:lang w:val="es-ES_tradnl"/>
        </w:rPr>
        <w:t xml:space="preserve">en particular. La concepción </w:t>
      </w:r>
      <w:r w:rsidRPr="00A62029">
        <w:rPr>
          <w:rFonts w:ascii="Arial" w:hAnsi="Arial" w:cs="Arial"/>
          <w:i/>
          <w:iCs/>
          <w:sz w:val="22"/>
          <w:szCs w:val="22"/>
          <w:lang w:val="es-ES_tradnl"/>
        </w:rPr>
        <w:t xml:space="preserve">subjetiva </w:t>
      </w:r>
      <w:r w:rsidRPr="00A62029">
        <w:rPr>
          <w:rFonts w:ascii="Arial" w:hAnsi="Arial" w:cs="Arial"/>
          <w:sz w:val="22"/>
          <w:szCs w:val="22"/>
          <w:lang w:val="es-ES_tradnl"/>
        </w:rPr>
        <w:t>se ve reflejada en el pensamiento de Ugo ROCCO</w:t>
      </w:r>
      <w:r w:rsidRPr="00A62029">
        <w:rPr>
          <w:rStyle w:val="FootnoteReference"/>
          <w:rFonts w:ascii="Arial" w:hAnsi="Arial" w:cs="Arial"/>
          <w:sz w:val="22"/>
          <w:szCs w:val="22"/>
          <w:lang w:val="es-ES_tradnl"/>
        </w:rPr>
        <w:footnoteReference w:id="9"/>
      </w:r>
      <w:r w:rsidRPr="00A62029">
        <w:rPr>
          <w:rFonts w:ascii="Arial" w:hAnsi="Arial" w:cs="Arial"/>
          <w:sz w:val="22"/>
          <w:szCs w:val="22"/>
          <w:lang w:val="es-ES_tradnl"/>
        </w:rPr>
        <w:t xml:space="preserve">, autor italiano que, en nuestro país, es seguido por Adolfo Armando RIVAS, para quien </w:t>
      </w:r>
      <w:r w:rsidRPr="00A62029">
        <w:rPr>
          <w:rFonts w:ascii="Arial" w:hAnsi="Arial" w:cs="Arial"/>
          <w:i/>
          <w:iCs/>
          <w:sz w:val="22"/>
          <w:szCs w:val="22"/>
          <w:lang w:val="es-ES_tradnl"/>
        </w:rPr>
        <w:t xml:space="preserve">interés </w:t>
      </w:r>
      <w:r w:rsidRPr="00A62029">
        <w:rPr>
          <w:rFonts w:ascii="Arial" w:hAnsi="Arial" w:cs="Arial"/>
          <w:sz w:val="22"/>
          <w:szCs w:val="22"/>
          <w:lang w:val="es-ES_tradnl"/>
        </w:rPr>
        <w:t>“es el motivo que impulsa a producir concientemente un acto, llevar a cabo una actividad o abstenerse de concretarlos”, desarrollándose “en el ámbito subjetivo o psicológico tratándose de personas físicas” e “importando un juicio de valor y por lo tanto, una elaboración intelectual”</w:t>
      </w:r>
      <w:r w:rsidRPr="00A62029">
        <w:rPr>
          <w:rStyle w:val="FootnoteReference"/>
          <w:rFonts w:ascii="Arial" w:hAnsi="Arial" w:cs="Arial"/>
          <w:sz w:val="22"/>
          <w:szCs w:val="22"/>
          <w:lang w:val="es-ES_tradnl"/>
        </w:rPr>
        <w:footnoteReference w:id="10"/>
      </w:r>
      <w:r w:rsidRPr="00A62029">
        <w:rPr>
          <w:rFonts w:ascii="Arial" w:hAnsi="Arial" w:cs="Arial"/>
          <w:sz w:val="22"/>
          <w:szCs w:val="22"/>
          <w:lang w:val="es-ES_tradnl"/>
        </w:rPr>
        <w:t>.</w:t>
      </w:r>
    </w:p>
    <w:p w:rsidR="00877ED0" w:rsidRPr="00A62029" w:rsidRDefault="00877ED0" w:rsidP="00A62029">
      <w:pPr>
        <w:pStyle w:val="NormalWeb"/>
        <w:spacing w:before="0" w:beforeAutospacing="0" w:after="0" w:afterAutospacing="0" w:line="360" w:lineRule="auto"/>
        <w:ind w:firstLine="456"/>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En nuestro concepto, el interés, en el campo de las relaciones jurídicas regidas por el principio de legalidad, es una </w:t>
      </w:r>
      <w:r w:rsidRPr="00A62029">
        <w:rPr>
          <w:rFonts w:ascii="Arial" w:hAnsi="Arial" w:cs="Arial"/>
          <w:i/>
          <w:iCs/>
          <w:sz w:val="22"/>
          <w:szCs w:val="22"/>
          <w:lang w:val="es-ES_tradnl"/>
        </w:rPr>
        <w:t>posición</w:t>
      </w:r>
      <w:r w:rsidRPr="00A62029">
        <w:rPr>
          <w:rStyle w:val="FootnoteReference"/>
          <w:rFonts w:ascii="Arial" w:hAnsi="Arial" w:cs="Arial"/>
          <w:i/>
          <w:iCs/>
          <w:sz w:val="22"/>
          <w:szCs w:val="22"/>
          <w:lang w:val="es-ES_tradnl"/>
        </w:rPr>
        <w:footnoteReference w:id="11"/>
      </w:r>
      <w:r w:rsidRPr="00A62029">
        <w:rPr>
          <w:rFonts w:ascii="Arial" w:hAnsi="Arial" w:cs="Arial"/>
          <w:i/>
          <w:iCs/>
          <w:sz w:val="22"/>
          <w:szCs w:val="22"/>
          <w:lang w:val="es-ES_tradnl"/>
        </w:rPr>
        <w:t xml:space="preserve">, </w:t>
      </w:r>
      <w:r w:rsidRPr="00A62029">
        <w:rPr>
          <w:rFonts w:ascii="Arial" w:hAnsi="Arial" w:cs="Arial"/>
          <w:sz w:val="22"/>
          <w:szCs w:val="22"/>
          <w:lang w:val="es-ES_tradnl"/>
        </w:rPr>
        <w:t xml:space="preserve">no un </w:t>
      </w:r>
      <w:r w:rsidRPr="00A62029">
        <w:rPr>
          <w:rFonts w:ascii="Arial" w:hAnsi="Arial" w:cs="Arial"/>
          <w:i/>
          <w:iCs/>
          <w:sz w:val="22"/>
          <w:szCs w:val="22"/>
          <w:lang w:val="es-ES_tradnl"/>
        </w:rPr>
        <w:t xml:space="preserve">juicio, </w:t>
      </w:r>
      <w:r w:rsidRPr="00A62029">
        <w:rPr>
          <w:rFonts w:ascii="Arial" w:hAnsi="Arial" w:cs="Arial"/>
          <w:sz w:val="22"/>
          <w:szCs w:val="22"/>
          <w:lang w:val="es-ES_tradnl"/>
        </w:rPr>
        <w:t xml:space="preserve">lo que no nos lleva a desconocer que aquélla puede estar determinada por éste -y normalmente lo está-, pero en las relaciones sociales y particularmente, en las que se encuentran regidas por el derecho -las relaciones externas entre dos miembros de un grupo social-, es la regla jurídica la que, </w:t>
      </w:r>
      <w:r w:rsidRPr="00A62029">
        <w:rPr>
          <w:rFonts w:ascii="Arial" w:hAnsi="Arial" w:cs="Arial"/>
          <w:i/>
          <w:iCs/>
          <w:sz w:val="22"/>
          <w:szCs w:val="22"/>
          <w:lang w:val="es-ES_tradnl"/>
        </w:rPr>
        <w:t>como consecuencia de un juicio de valor acerca de los intereses que pueden converger sobre ciertos bienes</w:t>
      </w:r>
      <w:r w:rsidRPr="00A62029">
        <w:rPr>
          <w:rFonts w:ascii="Arial" w:hAnsi="Arial" w:cs="Arial"/>
          <w:iCs/>
          <w:sz w:val="22"/>
          <w:szCs w:val="22"/>
          <w:lang w:val="es-ES_tradnl"/>
        </w:rPr>
        <w:t xml:space="preserve"> y la ponderación de las diversas formas en que éstos pueden servir a la satisfacción de aquellos</w:t>
      </w:r>
      <w:r w:rsidRPr="00A62029">
        <w:rPr>
          <w:rFonts w:ascii="Arial" w:hAnsi="Arial" w:cs="Arial"/>
          <w:i/>
          <w:iCs/>
          <w:sz w:val="22"/>
          <w:szCs w:val="22"/>
          <w:lang w:val="es-ES_tradnl"/>
        </w:rPr>
        <w:t>,</w:t>
      </w:r>
      <w:r w:rsidRPr="00A62029">
        <w:rPr>
          <w:rFonts w:ascii="Arial" w:hAnsi="Arial" w:cs="Arial"/>
          <w:iCs/>
          <w:sz w:val="22"/>
          <w:szCs w:val="22"/>
          <w:lang w:val="es-ES_tradnl"/>
        </w:rPr>
        <w:t xml:space="preserve"> impone las </w:t>
      </w:r>
      <w:r w:rsidRPr="00A62029">
        <w:rPr>
          <w:rFonts w:ascii="Arial" w:hAnsi="Arial" w:cs="Arial"/>
          <w:i/>
          <w:iCs/>
          <w:sz w:val="22"/>
          <w:szCs w:val="22"/>
          <w:lang w:val="es-ES_tradnl"/>
        </w:rPr>
        <w:t xml:space="preserve">posiciones subjetivas </w:t>
      </w:r>
      <w:r w:rsidRPr="00A62029">
        <w:rPr>
          <w:rFonts w:ascii="Arial" w:hAnsi="Arial" w:cs="Arial"/>
          <w:iCs/>
          <w:sz w:val="22"/>
          <w:szCs w:val="22"/>
          <w:lang w:val="es-ES_tradnl"/>
        </w:rPr>
        <w:t>que</w:t>
      </w:r>
      <w:r w:rsidRPr="00A62029">
        <w:rPr>
          <w:rFonts w:ascii="Arial" w:hAnsi="Arial" w:cs="Arial"/>
          <w:i/>
          <w:iCs/>
          <w:sz w:val="22"/>
          <w:szCs w:val="22"/>
          <w:lang w:val="es-ES_tradnl"/>
        </w:rPr>
        <w:t xml:space="preserve"> </w:t>
      </w:r>
      <w:r w:rsidRPr="00A62029">
        <w:rPr>
          <w:rFonts w:ascii="Arial" w:hAnsi="Arial" w:cs="Arial"/>
          <w:iCs/>
          <w:sz w:val="22"/>
          <w:szCs w:val="22"/>
          <w:lang w:val="es-ES_tradnl"/>
        </w:rPr>
        <w:t xml:space="preserve">convienen a la </w:t>
      </w:r>
      <w:r w:rsidRPr="00A62029">
        <w:rPr>
          <w:rFonts w:ascii="Arial" w:hAnsi="Arial" w:cs="Arial"/>
          <w:i/>
          <w:iCs/>
          <w:sz w:val="22"/>
          <w:szCs w:val="22"/>
          <w:lang w:val="es-ES_tradnl"/>
        </w:rPr>
        <w:t xml:space="preserve">protección </w:t>
      </w:r>
      <w:r w:rsidRPr="00A62029">
        <w:rPr>
          <w:rFonts w:ascii="Arial" w:hAnsi="Arial" w:cs="Arial"/>
          <w:iCs/>
          <w:sz w:val="22"/>
          <w:szCs w:val="22"/>
          <w:lang w:val="es-ES_tradnl"/>
        </w:rPr>
        <w:t>de los intereses considerados valiosos, sea para conferir un poder de obrar que haga funcionar los mecanismos de protección, sea para vincular la conducta a dicho poder. El juicio de valor que puede presidir –y que, de hecho, preside- la conducta de los sujetos de intereses considerados por el orden jurídico,</w:t>
      </w:r>
      <w:r w:rsidRPr="00A62029">
        <w:rPr>
          <w:rFonts w:ascii="Arial" w:hAnsi="Arial" w:cs="Arial"/>
          <w:i/>
          <w:iCs/>
          <w:sz w:val="22"/>
          <w:szCs w:val="22"/>
          <w:lang w:val="es-ES_tradnl"/>
        </w:rPr>
        <w:t xml:space="preserve"> </w:t>
      </w:r>
      <w:r w:rsidRPr="00A62029">
        <w:rPr>
          <w:rFonts w:ascii="Arial" w:hAnsi="Arial" w:cs="Arial"/>
          <w:sz w:val="22"/>
          <w:szCs w:val="22"/>
          <w:lang w:val="es-ES_tradnl"/>
        </w:rPr>
        <w:t xml:space="preserve">solo es considerado en la medida que se </w:t>
      </w:r>
      <w:r w:rsidRPr="00A62029">
        <w:rPr>
          <w:rFonts w:ascii="Arial" w:hAnsi="Arial" w:cs="Arial"/>
          <w:i/>
          <w:iCs/>
          <w:sz w:val="22"/>
          <w:szCs w:val="22"/>
          <w:lang w:val="es-ES_tradnl"/>
        </w:rPr>
        <w:t xml:space="preserve">externalice </w:t>
      </w:r>
      <w:r w:rsidRPr="00A62029">
        <w:rPr>
          <w:rFonts w:ascii="Arial" w:hAnsi="Arial" w:cs="Arial"/>
          <w:sz w:val="22"/>
          <w:szCs w:val="22"/>
          <w:lang w:val="es-ES_tradnl"/>
        </w:rPr>
        <w:t xml:space="preserve">en una determinada posición objetiva, prevista en la norma de derecho, y coincida con el que tiene incorporado la norma jurídica, que informa las consecuencias que deben seguirse de la externalización del juicio individual.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La consideración puramente subjetiva del interés jurídico ha contribuido en gran medida a obscurecer la importancia de su consideración científica.</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iCs/>
          <w:sz w:val="22"/>
          <w:szCs w:val="22"/>
          <w:lang w:val="es-ES_tradnl"/>
        </w:rPr>
      </w:pPr>
      <w:r w:rsidRPr="00A62029">
        <w:rPr>
          <w:rFonts w:ascii="Arial" w:hAnsi="Arial" w:cs="Arial"/>
          <w:sz w:val="22"/>
          <w:szCs w:val="22"/>
          <w:lang w:val="es-ES_tradnl"/>
        </w:rPr>
        <w:t xml:space="preserve">En definitiva, </w:t>
      </w:r>
      <w:r w:rsidRPr="00A62029">
        <w:rPr>
          <w:rFonts w:ascii="Arial" w:hAnsi="Arial" w:cs="Arial"/>
          <w:iCs/>
          <w:sz w:val="22"/>
          <w:szCs w:val="22"/>
          <w:lang w:val="es-ES_tradnl"/>
        </w:rPr>
        <w:t>p</w:t>
      </w:r>
      <w:r w:rsidRPr="00A62029">
        <w:rPr>
          <w:rFonts w:ascii="Arial" w:hAnsi="Arial" w:cs="Arial"/>
          <w:sz w:val="22"/>
          <w:szCs w:val="22"/>
          <w:lang w:val="es-ES_tradnl"/>
        </w:rPr>
        <w:t xml:space="preserve">ara nosotros, el </w:t>
      </w:r>
      <w:r w:rsidRPr="00A62029">
        <w:rPr>
          <w:rFonts w:ascii="Arial" w:hAnsi="Arial" w:cs="Arial"/>
          <w:b/>
          <w:bCs/>
          <w:i/>
          <w:iCs/>
          <w:sz w:val="22"/>
          <w:szCs w:val="22"/>
          <w:lang w:val="es-ES_tradnl"/>
        </w:rPr>
        <w:t xml:space="preserve">interés jurídico </w:t>
      </w:r>
      <w:r w:rsidRPr="00A62029">
        <w:rPr>
          <w:rFonts w:ascii="Arial" w:hAnsi="Arial" w:cs="Arial"/>
          <w:sz w:val="22"/>
          <w:szCs w:val="22"/>
          <w:lang w:val="es-ES_tradnl"/>
        </w:rPr>
        <w:t xml:space="preserve">es la </w:t>
      </w:r>
      <w:r w:rsidRPr="00A62029">
        <w:rPr>
          <w:rFonts w:ascii="Arial" w:hAnsi="Arial" w:cs="Arial"/>
          <w:i/>
          <w:iCs/>
          <w:sz w:val="22"/>
          <w:szCs w:val="22"/>
          <w:lang w:val="es-ES_tradnl"/>
        </w:rPr>
        <w:t>posición de un sujeto favorable a la satisfacción de una necesidad</w:t>
      </w:r>
      <w:r w:rsidRPr="00A62029">
        <w:rPr>
          <w:rStyle w:val="FootnoteReference"/>
          <w:rFonts w:ascii="Arial" w:hAnsi="Arial" w:cs="Arial"/>
          <w:i/>
          <w:iCs/>
          <w:sz w:val="22"/>
          <w:szCs w:val="22"/>
          <w:lang w:val="es-ES_tradnl"/>
        </w:rPr>
        <w:footnoteReference w:id="12"/>
      </w:r>
      <w:r w:rsidRPr="00A62029">
        <w:rPr>
          <w:rFonts w:ascii="Arial" w:hAnsi="Arial" w:cs="Arial"/>
          <w:i/>
          <w:iCs/>
          <w:sz w:val="22"/>
          <w:szCs w:val="22"/>
          <w:lang w:val="es-ES_tradnl"/>
        </w:rPr>
        <w:t xml:space="preserve">, </w:t>
      </w:r>
      <w:r w:rsidRPr="00A62029">
        <w:rPr>
          <w:rFonts w:ascii="Arial" w:hAnsi="Arial" w:cs="Arial"/>
          <w:sz w:val="22"/>
          <w:szCs w:val="22"/>
          <w:lang w:val="es-ES_tradnl"/>
        </w:rPr>
        <w:t xml:space="preserve">que, cuando se enfrenta a otra similar que recae sobre el mismo bien, produce un </w:t>
      </w:r>
      <w:r w:rsidRPr="00A62029">
        <w:rPr>
          <w:rFonts w:ascii="Arial" w:hAnsi="Arial" w:cs="Arial"/>
          <w:i/>
          <w:iCs/>
          <w:sz w:val="22"/>
          <w:szCs w:val="22"/>
          <w:lang w:val="es-ES_tradnl"/>
        </w:rPr>
        <w:t xml:space="preserve">conflicto, </w:t>
      </w:r>
      <w:r w:rsidRPr="00A62029">
        <w:rPr>
          <w:rFonts w:ascii="Arial" w:hAnsi="Arial" w:cs="Arial"/>
          <w:sz w:val="22"/>
          <w:szCs w:val="22"/>
          <w:lang w:val="es-ES_tradnl"/>
        </w:rPr>
        <w:t xml:space="preserve">elemento sustancial de la </w:t>
      </w:r>
      <w:r w:rsidRPr="00A62029">
        <w:rPr>
          <w:rFonts w:ascii="Arial" w:hAnsi="Arial" w:cs="Arial"/>
          <w:b/>
          <w:bCs/>
          <w:i/>
          <w:iCs/>
          <w:sz w:val="22"/>
          <w:szCs w:val="22"/>
          <w:lang w:val="es-ES_tradnl"/>
        </w:rPr>
        <w:t xml:space="preserve">relación jurídica, </w:t>
      </w:r>
      <w:r w:rsidRPr="00A62029">
        <w:rPr>
          <w:rFonts w:ascii="Arial" w:hAnsi="Arial" w:cs="Arial"/>
          <w:sz w:val="22"/>
          <w:szCs w:val="22"/>
          <w:lang w:val="es-ES_tradnl"/>
        </w:rPr>
        <w:t xml:space="preserve">la que no es otra cosa que una forma de </w:t>
      </w:r>
      <w:r w:rsidRPr="00A62029">
        <w:rPr>
          <w:rFonts w:ascii="Arial" w:hAnsi="Arial" w:cs="Arial"/>
          <w:b/>
          <w:i/>
          <w:iCs/>
          <w:sz w:val="22"/>
          <w:szCs w:val="22"/>
          <w:lang w:val="es-ES_tradnl"/>
        </w:rPr>
        <w:t xml:space="preserve">componer </w:t>
      </w:r>
      <w:r w:rsidRPr="00A62029">
        <w:rPr>
          <w:rFonts w:ascii="Arial" w:hAnsi="Arial" w:cs="Arial"/>
          <w:b/>
          <w:bCs/>
          <w:i/>
          <w:iCs/>
          <w:sz w:val="22"/>
          <w:szCs w:val="22"/>
          <w:lang w:val="es-ES_tradnl"/>
        </w:rPr>
        <w:t xml:space="preserve">o resolver el conflicto </w:t>
      </w:r>
      <w:r w:rsidRPr="00A62029">
        <w:rPr>
          <w:rFonts w:ascii="Arial" w:hAnsi="Arial" w:cs="Arial"/>
          <w:sz w:val="22"/>
          <w:szCs w:val="22"/>
          <w:lang w:val="es-ES_tradnl"/>
        </w:rPr>
        <w:t xml:space="preserve">por una </w:t>
      </w:r>
      <w:r w:rsidRPr="00A62029">
        <w:rPr>
          <w:rFonts w:ascii="Arial" w:hAnsi="Arial" w:cs="Arial"/>
          <w:i/>
          <w:iCs/>
          <w:sz w:val="22"/>
          <w:szCs w:val="22"/>
          <w:lang w:val="es-ES_tradnl"/>
        </w:rPr>
        <w:t xml:space="preserve">norma jurídica, </w:t>
      </w:r>
      <w:r w:rsidRPr="00A62029">
        <w:rPr>
          <w:rFonts w:ascii="Arial" w:hAnsi="Arial" w:cs="Arial"/>
          <w:sz w:val="22"/>
          <w:szCs w:val="22"/>
          <w:lang w:val="es-ES_tradnl"/>
        </w:rPr>
        <w:t xml:space="preserve">a través de la </w:t>
      </w:r>
      <w:r w:rsidRPr="00A62029">
        <w:rPr>
          <w:rFonts w:ascii="Arial" w:hAnsi="Arial" w:cs="Arial"/>
          <w:i/>
          <w:iCs/>
          <w:sz w:val="22"/>
          <w:szCs w:val="22"/>
          <w:lang w:val="es-ES_tradnl"/>
        </w:rPr>
        <w:t>subordinación de uno de los intereses y el predominio del otro</w:t>
      </w:r>
      <w:r w:rsidRPr="00A62029">
        <w:rPr>
          <w:rStyle w:val="FootnoteReference"/>
          <w:rFonts w:ascii="Arial" w:hAnsi="Arial" w:cs="Arial"/>
          <w:i/>
          <w:iCs/>
          <w:sz w:val="22"/>
          <w:szCs w:val="22"/>
          <w:lang w:val="es-ES_tradnl"/>
        </w:rPr>
        <w:footnoteReference w:id="13"/>
      </w:r>
      <w:r w:rsidRPr="00A62029">
        <w:rPr>
          <w:rFonts w:ascii="Arial" w:hAnsi="Arial" w:cs="Arial"/>
          <w:i/>
          <w:iCs/>
          <w:sz w:val="22"/>
          <w:szCs w:val="22"/>
          <w:lang w:val="es-ES_tradnl"/>
        </w:rPr>
        <w:t xml:space="preserve">. </w:t>
      </w:r>
      <w:r w:rsidRPr="00A62029">
        <w:rPr>
          <w:rFonts w:ascii="Arial" w:hAnsi="Arial" w:cs="Arial"/>
          <w:iCs/>
          <w:sz w:val="22"/>
          <w:szCs w:val="22"/>
          <w:lang w:val="es-ES_tradnl"/>
        </w:rPr>
        <w:t>Desde la perspectiva de la regulación normativa del conflicto, se ha dicho que “El Derecho, en particular, con sus normas, ofrece a las partes el medio para verificar la justicia de su pretensión o de la resistencia a la pretensión ajena. Si fuese posible una estadística, se vería cuantas litis, por esta vía, terminan por abortar”</w:t>
      </w:r>
      <w:r w:rsidRPr="00A62029">
        <w:rPr>
          <w:rStyle w:val="FootnoteReference"/>
          <w:rFonts w:ascii="Arial" w:hAnsi="Arial" w:cs="Arial"/>
          <w:iCs/>
          <w:sz w:val="22"/>
          <w:szCs w:val="22"/>
          <w:lang w:val="es-ES_tradnl"/>
        </w:rPr>
        <w:footnoteReference w:id="14"/>
      </w:r>
      <w:r w:rsidRPr="00A62029">
        <w:rPr>
          <w:rFonts w:ascii="Arial" w:hAnsi="Arial" w:cs="Arial"/>
          <w:iCs/>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iCs/>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iCs/>
          <w:sz w:val="22"/>
          <w:szCs w:val="22"/>
          <w:lang w:val="es-ES_tradnl"/>
        </w:rPr>
      </w:pPr>
      <w:r w:rsidRPr="00A62029">
        <w:rPr>
          <w:rFonts w:ascii="Arial" w:hAnsi="Arial" w:cs="Arial"/>
          <w:iCs/>
          <w:sz w:val="22"/>
          <w:szCs w:val="22"/>
          <w:lang w:val="es-ES_tradnl"/>
        </w:rPr>
        <w:t xml:space="preserve">En casos excepcionales, aunque no poco frecuentes, la norma jurídica no alcanza el propósito de imponer la valoración que el legislador realiza de los intereses en conflicto –por diversas razones que no es del caso detallar aquí-, mostrándose impotente para apaciguar el choque de intereses, el que se mantiene e incluso se agrava, convirtiéndose en un </w:t>
      </w:r>
      <w:r w:rsidRPr="00A62029">
        <w:rPr>
          <w:rFonts w:ascii="Arial" w:hAnsi="Arial" w:cs="Arial"/>
          <w:i/>
          <w:iCs/>
          <w:sz w:val="22"/>
          <w:szCs w:val="22"/>
          <w:lang w:val="es-ES_tradnl"/>
        </w:rPr>
        <w:t>litigio</w:t>
      </w:r>
      <w:r w:rsidRPr="00A62029">
        <w:rPr>
          <w:rFonts w:ascii="Arial" w:hAnsi="Arial" w:cs="Arial"/>
          <w:iCs/>
          <w:sz w:val="22"/>
          <w:szCs w:val="22"/>
          <w:lang w:val="es-ES_tradnl"/>
        </w:rPr>
        <w:t xml:space="preserve"> -según la descripción que hicimos al comienzo- que, al no poder superarse por los propios sujetos enfrentados, quienes tienen prohibido, como regla general, asumir la defensa privada de sus intereses, solo puede encontrar solución en la intervención de un órgano del Estado, que, en forma </w:t>
      </w:r>
      <w:r w:rsidRPr="00A62029">
        <w:rPr>
          <w:rFonts w:ascii="Arial" w:hAnsi="Arial" w:cs="Arial"/>
          <w:i/>
          <w:iCs/>
          <w:sz w:val="22"/>
          <w:szCs w:val="22"/>
          <w:lang w:val="es-ES_tradnl"/>
        </w:rPr>
        <w:t xml:space="preserve">impartial </w:t>
      </w:r>
      <w:r w:rsidRPr="00A62029">
        <w:rPr>
          <w:rFonts w:ascii="Arial" w:hAnsi="Arial" w:cs="Arial"/>
          <w:iCs/>
          <w:sz w:val="22"/>
          <w:szCs w:val="22"/>
          <w:lang w:val="es-ES_tradnl"/>
        </w:rPr>
        <w:t xml:space="preserve">e </w:t>
      </w:r>
      <w:r w:rsidRPr="00A62029">
        <w:rPr>
          <w:rFonts w:ascii="Arial" w:hAnsi="Arial" w:cs="Arial"/>
          <w:i/>
          <w:iCs/>
          <w:sz w:val="22"/>
          <w:szCs w:val="22"/>
          <w:lang w:val="es-ES_tradnl"/>
        </w:rPr>
        <w:t>imparcial</w:t>
      </w:r>
      <w:r w:rsidRPr="00A62029">
        <w:rPr>
          <w:rFonts w:ascii="Arial" w:hAnsi="Arial" w:cs="Arial"/>
          <w:iCs/>
          <w:sz w:val="22"/>
          <w:szCs w:val="22"/>
          <w:lang w:val="es-ES_tradnl"/>
        </w:rPr>
        <w:t>, determine, en concreto e imperativamente, el sentido que la valoración contenida en la norma adquiere en el caso y eventualmente, imponga, coactivamente, la conducta prevista en ella como medio de satisfacer, efectivamente, el interés calificado de predominante y se subordine, en la realidad social, el que debe concurrir a la satisfacción</w:t>
      </w:r>
      <w:r w:rsidRPr="00A62029">
        <w:rPr>
          <w:rStyle w:val="FootnoteReference"/>
          <w:rFonts w:ascii="Arial" w:hAnsi="Arial" w:cs="Arial"/>
          <w:iCs/>
          <w:sz w:val="22"/>
          <w:szCs w:val="22"/>
          <w:lang w:val="es-ES_tradnl"/>
        </w:rPr>
        <w:footnoteReference w:id="15"/>
      </w:r>
      <w:r w:rsidRPr="00A62029">
        <w:rPr>
          <w:rFonts w:ascii="Arial" w:hAnsi="Arial" w:cs="Arial"/>
          <w:iCs/>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El fracaso de las normas que intentan componer el </w:t>
      </w:r>
      <w:r w:rsidRPr="00A62029">
        <w:rPr>
          <w:rFonts w:ascii="Arial" w:hAnsi="Arial" w:cs="Arial"/>
          <w:i/>
          <w:sz w:val="22"/>
          <w:szCs w:val="22"/>
          <w:lang w:val="es-ES_tradnl"/>
        </w:rPr>
        <w:t>conflicto</w:t>
      </w:r>
      <w:r w:rsidRPr="00A62029">
        <w:rPr>
          <w:rFonts w:ascii="Arial" w:hAnsi="Arial" w:cs="Arial"/>
          <w:sz w:val="22"/>
          <w:szCs w:val="22"/>
          <w:lang w:val="es-ES_tradnl"/>
        </w:rPr>
        <w:t xml:space="preserve">, en el plano del mismo vínculo entre los sujetos de los intereses enfrentados, y el desorden que se sigue, en el seno de la sociedad, de la persistencia de los </w:t>
      </w:r>
      <w:r w:rsidRPr="00A62029">
        <w:rPr>
          <w:rFonts w:ascii="Arial" w:hAnsi="Arial" w:cs="Arial"/>
          <w:i/>
          <w:sz w:val="22"/>
          <w:szCs w:val="22"/>
          <w:lang w:val="es-ES_tradnl"/>
        </w:rPr>
        <w:t>litigios</w:t>
      </w:r>
      <w:r w:rsidRPr="00A62029">
        <w:rPr>
          <w:rFonts w:ascii="Arial" w:hAnsi="Arial" w:cs="Arial"/>
          <w:sz w:val="22"/>
          <w:szCs w:val="22"/>
          <w:lang w:val="es-ES_tradnl"/>
        </w:rPr>
        <w:t>, hace nacer</w:t>
      </w:r>
      <w:r w:rsidRPr="00A62029">
        <w:rPr>
          <w:rFonts w:ascii="Arial" w:hAnsi="Arial" w:cs="Arial"/>
          <w:i/>
          <w:sz w:val="22"/>
          <w:szCs w:val="22"/>
          <w:lang w:val="es-ES_tradnl"/>
        </w:rPr>
        <w:t>,</w:t>
      </w:r>
      <w:r w:rsidRPr="00A62029">
        <w:rPr>
          <w:rFonts w:ascii="Arial" w:hAnsi="Arial" w:cs="Arial"/>
          <w:sz w:val="22"/>
          <w:szCs w:val="22"/>
          <w:lang w:val="es-ES_tradnl"/>
        </w:rPr>
        <w:t xml:space="preserve"> un </w:t>
      </w:r>
      <w:r w:rsidRPr="00A62029">
        <w:rPr>
          <w:rFonts w:ascii="Arial" w:hAnsi="Arial" w:cs="Arial"/>
          <w:i/>
          <w:iCs/>
          <w:sz w:val="22"/>
          <w:szCs w:val="22"/>
          <w:lang w:val="es-ES_tradnl"/>
        </w:rPr>
        <w:t xml:space="preserve">tercer interés </w:t>
      </w:r>
      <w:r w:rsidRPr="00A62029">
        <w:rPr>
          <w:rFonts w:ascii="Arial" w:hAnsi="Arial" w:cs="Arial"/>
          <w:sz w:val="22"/>
          <w:szCs w:val="22"/>
          <w:lang w:val="es-ES_tradnl"/>
        </w:rPr>
        <w:t xml:space="preserve">que surgió como una posición favorable a la necesidad —pública- de </w:t>
      </w:r>
      <w:r w:rsidRPr="00A62029">
        <w:rPr>
          <w:rFonts w:ascii="Arial" w:hAnsi="Arial" w:cs="Arial"/>
          <w:i/>
          <w:iCs/>
          <w:sz w:val="22"/>
          <w:szCs w:val="22"/>
          <w:lang w:val="es-ES_tradnl"/>
        </w:rPr>
        <w:t xml:space="preserve">componer el litigio, </w:t>
      </w:r>
      <w:r w:rsidRPr="00A62029">
        <w:rPr>
          <w:rFonts w:ascii="Arial" w:hAnsi="Arial" w:cs="Arial"/>
          <w:sz w:val="22"/>
          <w:szCs w:val="22"/>
          <w:lang w:val="es-ES_tradnl"/>
        </w:rPr>
        <w:t xml:space="preserve">y que, con la expansión de las sociedades y la multiplicación y diversificación de los intereses, como así, la organización de los Estados de Derecho, bajo el principio de legalidad, adquirió un nuevo y más amplio significado, que se designa con la expresión: </w:t>
      </w:r>
      <w:r w:rsidRPr="00A62029">
        <w:rPr>
          <w:rFonts w:ascii="Arial" w:hAnsi="Arial" w:cs="Arial"/>
          <w:i/>
          <w:iCs/>
          <w:sz w:val="22"/>
          <w:szCs w:val="22"/>
          <w:lang w:val="es-ES_tradnl"/>
        </w:rPr>
        <w:t>actuación del orden jurídico en los casos concretos</w:t>
      </w:r>
      <w:r w:rsidRPr="00A62029">
        <w:rPr>
          <w:rStyle w:val="FootnoteReference"/>
          <w:rFonts w:ascii="Arial" w:hAnsi="Arial" w:cs="Arial"/>
          <w:i/>
          <w:iCs/>
          <w:sz w:val="22"/>
          <w:szCs w:val="22"/>
          <w:lang w:val="es-ES_tradnl"/>
        </w:rPr>
        <w:footnoteReference w:id="16"/>
      </w:r>
      <w:r w:rsidRPr="00A62029">
        <w:rPr>
          <w:rFonts w:ascii="Arial" w:hAnsi="Arial" w:cs="Arial"/>
          <w:sz w:val="22"/>
          <w:szCs w:val="22"/>
          <w:lang w:val="es-ES_tradnl"/>
        </w:rPr>
        <w:t>. El carácter trascendente de ese interés, para la conformación, permanencia y estabilidad del grupo social, constituye el fundamento de la monopolización por el Estado de</w:t>
      </w:r>
      <w:r>
        <w:rPr>
          <w:rFonts w:ascii="Arial" w:hAnsi="Arial" w:cs="Arial"/>
          <w:sz w:val="22"/>
          <w:szCs w:val="22"/>
          <w:lang w:val="es-ES_tradnl"/>
        </w:rPr>
        <w:t xml:space="preserve"> su</w:t>
      </w:r>
      <w:r w:rsidRPr="00A62029">
        <w:rPr>
          <w:rFonts w:ascii="Arial" w:hAnsi="Arial" w:cs="Arial"/>
          <w:sz w:val="22"/>
          <w:szCs w:val="22"/>
          <w:lang w:val="es-ES_tradnl"/>
        </w:rPr>
        <w:t xml:space="preserve"> desenvolvimiento</w:t>
      </w:r>
      <w:r w:rsidRPr="00A62029">
        <w:rPr>
          <w:rStyle w:val="FootnoteReference"/>
          <w:rFonts w:ascii="Arial" w:hAnsi="Arial" w:cs="Arial"/>
          <w:sz w:val="22"/>
          <w:szCs w:val="22"/>
          <w:lang w:val="es-ES_tradnl"/>
        </w:rPr>
        <w:footnoteReference w:id="17"/>
      </w:r>
      <w:r w:rsidRPr="00A62029">
        <w:rPr>
          <w:rFonts w:ascii="Arial" w:hAnsi="Arial" w:cs="Arial"/>
          <w:sz w:val="22"/>
          <w:szCs w:val="22"/>
          <w:lang w:val="es-ES_tradnl"/>
        </w:rPr>
        <w:t>, que se concreta en la función de impartir justicia y en la consecuente prohibición de hacer justicia por mano propia</w:t>
      </w:r>
      <w:r>
        <w:rPr>
          <w:rFonts w:ascii="Arial" w:hAnsi="Arial" w:cs="Arial"/>
          <w:sz w:val="22"/>
          <w:szCs w:val="22"/>
          <w:lang w:val="es-ES_tradnl"/>
        </w:rPr>
        <w:t>.</w:t>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En el proceso judicial convergen, así, tres especies de interés: dos pertenecientes a los sujetos del litigio  -en principio, contrapuestos- y otro desenvuelto mediante la estrecha colaboración entre aquéllos –a quienes se  les asigna un </w:t>
      </w:r>
      <w:r w:rsidRPr="00A62029">
        <w:rPr>
          <w:rFonts w:ascii="Arial" w:hAnsi="Arial" w:cs="Arial"/>
          <w:i/>
          <w:sz w:val="22"/>
          <w:szCs w:val="22"/>
          <w:lang w:val="es-ES_tradnl"/>
        </w:rPr>
        <w:t xml:space="preserve">poder </w:t>
      </w:r>
      <w:r w:rsidRPr="00A62029">
        <w:rPr>
          <w:rFonts w:ascii="Arial" w:hAnsi="Arial" w:cs="Arial"/>
          <w:sz w:val="22"/>
          <w:szCs w:val="22"/>
          <w:lang w:val="es-ES_tradnl"/>
        </w:rPr>
        <w:t xml:space="preserve">de actuar- y el órgano del Estado encargado de resolverlo –titular de una potestad de decidir-. Los dos primeros pueden ser públicos o privados y se manifiestan en diversas formas en cada conflicto en particular, mientras que el tercero, como se dijo, es siempre público y resulta invariable frente a los singulares enfrentamientos de intereses que se propone resolver. Podemos decir que en el marco del proceso judicial tenemos dos intereses </w:t>
      </w:r>
      <w:r w:rsidRPr="00A62029">
        <w:rPr>
          <w:rFonts w:ascii="Arial" w:hAnsi="Arial" w:cs="Arial"/>
          <w:i/>
          <w:iCs/>
          <w:sz w:val="22"/>
          <w:szCs w:val="22"/>
          <w:lang w:val="es-ES_tradnl"/>
        </w:rPr>
        <w:t xml:space="preserve">en litigio, </w:t>
      </w:r>
      <w:r w:rsidRPr="00A62029">
        <w:rPr>
          <w:rFonts w:ascii="Arial" w:hAnsi="Arial" w:cs="Arial"/>
          <w:sz w:val="22"/>
          <w:szCs w:val="22"/>
          <w:lang w:val="es-ES_tradnl"/>
        </w:rPr>
        <w:t xml:space="preserve">contingentes y variables, y otro, </w:t>
      </w:r>
      <w:r w:rsidRPr="00A62029">
        <w:rPr>
          <w:rFonts w:ascii="Arial" w:hAnsi="Arial" w:cs="Arial"/>
          <w:i/>
          <w:iCs/>
          <w:sz w:val="22"/>
          <w:szCs w:val="22"/>
          <w:lang w:val="es-ES_tradnl"/>
        </w:rPr>
        <w:t xml:space="preserve">en resolverlo, </w:t>
      </w:r>
      <w:r w:rsidRPr="00A62029">
        <w:rPr>
          <w:rFonts w:ascii="Arial" w:hAnsi="Arial" w:cs="Arial"/>
          <w:sz w:val="22"/>
          <w:szCs w:val="22"/>
          <w:lang w:val="es-ES_tradnl"/>
        </w:rPr>
        <w:t xml:space="preserve">necesario e invariable.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Los intereses </w:t>
      </w:r>
      <w:r w:rsidRPr="00A62029">
        <w:rPr>
          <w:rFonts w:ascii="Arial" w:hAnsi="Arial" w:cs="Arial"/>
          <w:i/>
          <w:iCs/>
          <w:sz w:val="22"/>
          <w:szCs w:val="22"/>
          <w:lang w:val="es-ES_tradnl"/>
        </w:rPr>
        <w:t xml:space="preserve">en litigio </w:t>
      </w:r>
      <w:r w:rsidRPr="00A62029">
        <w:rPr>
          <w:rFonts w:ascii="Arial" w:hAnsi="Arial" w:cs="Arial"/>
          <w:sz w:val="22"/>
          <w:szCs w:val="22"/>
          <w:lang w:val="es-ES_tradnl"/>
        </w:rPr>
        <w:t xml:space="preserve">pueden ser tan variados como aparecen regulados en el ordenamiento jurídico estatal, el que intenta responder al tejido de necesidades que surgen en el desarrollo de la vida en sociedad, valorándolas y ponderando su importancia con el propósito de procurar, a los sujetos que las sufren, los bienes que se estimen aptos para su satisfacción. </w:t>
      </w:r>
    </w:p>
    <w:p w:rsidR="00877ED0" w:rsidRPr="00A62029" w:rsidRDefault="00877ED0" w:rsidP="00A62029">
      <w:pPr>
        <w:pStyle w:val="NormalWeb"/>
        <w:spacing w:before="0" w:beforeAutospacing="0" w:after="0" w:afterAutospacing="0" w:line="360" w:lineRule="auto"/>
        <w:ind w:firstLine="456"/>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El </w:t>
      </w:r>
      <w:r w:rsidRPr="00A62029">
        <w:rPr>
          <w:rFonts w:ascii="Arial" w:hAnsi="Arial" w:cs="Arial"/>
          <w:i/>
          <w:iCs/>
          <w:sz w:val="22"/>
          <w:szCs w:val="22"/>
          <w:lang w:val="es-ES_tradnl"/>
        </w:rPr>
        <w:t xml:space="preserve">interés en decidir el litigio, </w:t>
      </w:r>
      <w:r w:rsidRPr="00A62029">
        <w:rPr>
          <w:rFonts w:ascii="Arial" w:hAnsi="Arial" w:cs="Arial"/>
          <w:sz w:val="22"/>
          <w:szCs w:val="22"/>
          <w:lang w:val="es-ES_tradnl"/>
        </w:rPr>
        <w:t xml:space="preserve">es uno solo, invariable en cualquier especie de procedimiento, y de carácter público, puesto que nace como consecuencia de la necesidad —social- de </w:t>
      </w:r>
      <w:r w:rsidRPr="00A62029">
        <w:rPr>
          <w:rFonts w:ascii="Arial" w:hAnsi="Arial" w:cs="Arial"/>
          <w:i/>
          <w:iCs/>
          <w:sz w:val="22"/>
          <w:szCs w:val="22"/>
          <w:lang w:val="es-ES_tradnl"/>
        </w:rPr>
        <w:t xml:space="preserve">suprimir la defensa privada </w:t>
      </w:r>
      <w:r w:rsidRPr="00A62029">
        <w:rPr>
          <w:rFonts w:ascii="Arial" w:hAnsi="Arial" w:cs="Arial"/>
          <w:sz w:val="22"/>
          <w:szCs w:val="22"/>
          <w:lang w:val="es-ES_tradnl"/>
        </w:rPr>
        <w:t xml:space="preserve">para impedir el caos social y brindar a los </w:t>
      </w:r>
      <w:r w:rsidRPr="00A62029">
        <w:rPr>
          <w:rFonts w:ascii="Arial" w:hAnsi="Arial" w:cs="Arial"/>
          <w:i/>
          <w:sz w:val="22"/>
          <w:szCs w:val="22"/>
          <w:lang w:val="es-ES_tradnl"/>
        </w:rPr>
        <w:t>intereses en litigio</w:t>
      </w:r>
      <w:r w:rsidRPr="00A62029">
        <w:rPr>
          <w:rFonts w:ascii="Arial" w:hAnsi="Arial" w:cs="Arial"/>
          <w:sz w:val="22"/>
          <w:szCs w:val="22"/>
          <w:lang w:val="es-ES_tradnl"/>
        </w:rPr>
        <w:t xml:space="preserve"> una solución que sea racional y adecuada a las valoraciones que imperan en cada sociedad y en cada época de su evolución, objetivo que solo puede asumir, como hemos destacado precedentemente, un sujeto que cuente con la entidad institucional indispensable para erigirse en representante de la sociedad en su conjunto, es decir, el Estado, figura de la organización social.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b/>
          <w:bCs/>
          <w:i/>
          <w:iCs/>
          <w:sz w:val="22"/>
          <w:szCs w:val="22"/>
          <w:lang w:val="es-ES_tradnl"/>
        </w:rPr>
      </w:pPr>
      <w:r w:rsidRPr="00A62029">
        <w:rPr>
          <w:rFonts w:ascii="Arial" w:hAnsi="Arial" w:cs="Arial"/>
          <w:sz w:val="22"/>
          <w:szCs w:val="22"/>
          <w:lang w:val="es-ES_tradnl"/>
        </w:rPr>
        <w:t xml:space="preserve">No todos los litigios llegan a decisión del Estado, no solo porque existen medios, alternativos a su intervención, para procurar su solución, sino, básicamente, en razón de que no es jurídicamente legítimo que aquél asuma oficiosamente la tutela de intereses pertenecientes a sujetos jurídicos individuales –sean públicos o privados-. De allí que, frente a un litigio regido por el orden jurídico estatal, </w:t>
      </w:r>
      <w:r>
        <w:rPr>
          <w:rFonts w:ascii="Arial" w:hAnsi="Arial" w:cs="Arial"/>
          <w:sz w:val="22"/>
          <w:szCs w:val="22"/>
          <w:lang w:val="es-ES_tradnl"/>
        </w:rPr>
        <w:t>para que</w:t>
      </w:r>
      <w:r w:rsidRPr="00A62029">
        <w:rPr>
          <w:rFonts w:ascii="Arial" w:hAnsi="Arial" w:cs="Arial"/>
          <w:sz w:val="22"/>
          <w:szCs w:val="22"/>
          <w:lang w:val="es-ES_tradnl"/>
        </w:rPr>
        <w:t xml:space="preserve"> se actualice, en el caso concreto, ese </w:t>
      </w:r>
      <w:r w:rsidRPr="00A62029">
        <w:rPr>
          <w:rFonts w:ascii="Arial" w:hAnsi="Arial" w:cs="Arial"/>
          <w:i/>
          <w:iCs/>
          <w:sz w:val="22"/>
          <w:szCs w:val="22"/>
          <w:lang w:val="es-ES_tradnl"/>
        </w:rPr>
        <w:t xml:space="preserve">interés en resolver </w:t>
      </w:r>
      <w:r w:rsidRPr="00A62029">
        <w:rPr>
          <w:rFonts w:ascii="Arial" w:hAnsi="Arial" w:cs="Arial"/>
          <w:sz w:val="22"/>
          <w:szCs w:val="22"/>
          <w:lang w:val="es-ES_tradnl"/>
        </w:rPr>
        <w:t xml:space="preserve">el litigio, es necesario que los titulares de los </w:t>
      </w:r>
      <w:r w:rsidRPr="00A62029">
        <w:rPr>
          <w:rFonts w:ascii="Arial" w:hAnsi="Arial" w:cs="Arial"/>
          <w:i/>
          <w:iCs/>
          <w:sz w:val="22"/>
          <w:szCs w:val="22"/>
          <w:lang w:val="es-ES_tradnl"/>
        </w:rPr>
        <w:t xml:space="preserve">intereses en conflicto </w:t>
      </w:r>
      <w:r w:rsidRPr="00A62029">
        <w:rPr>
          <w:rFonts w:ascii="Arial" w:hAnsi="Arial" w:cs="Arial"/>
          <w:sz w:val="22"/>
          <w:szCs w:val="22"/>
          <w:lang w:val="es-ES_tradnl"/>
        </w:rPr>
        <w:t xml:space="preserve">se encuentren en situación de no poder proveer a la satisfacción de los mismos, sea por discrepar en su valoración, fáctica o jurídica, o por voluntaria desobediencia de alguno de ellos o porque la propia ley exija que la satisfacción sea provista por el Estado –asegurándose así la observancia de los requisitos impuestos por el orden jurídico para la protección de alguno de los intereses opuestos-, demostrando que al </w:t>
      </w:r>
      <w:r w:rsidRPr="00A62029">
        <w:rPr>
          <w:rFonts w:ascii="Arial" w:hAnsi="Arial" w:cs="Arial"/>
          <w:i/>
          <w:iCs/>
          <w:sz w:val="22"/>
          <w:szCs w:val="22"/>
          <w:lang w:val="es-ES_tradnl"/>
        </w:rPr>
        <w:t xml:space="preserve">interés en conflicto </w:t>
      </w:r>
      <w:r w:rsidRPr="00A62029">
        <w:rPr>
          <w:rFonts w:ascii="Arial" w:hAnsi="Arial" w:cs="Arial"/>
          <w:sz w:val="22"/>
          <w:szCs w:val="22"/>
          <w:lang w:val="es-ES_tradnl"/>
        </w:rPr>
        <w:t xml:space="preserve">se le agrega el </w:t>
      </w:r>
      <w:r w:rsidRPr="00A62029">
        <w:rPr>
          <w:rFonts w:ascii="Arial" w:hAnsi="Arial" w:cs="Arial"/>
          <w:b/>
          <w:bCs/>
          <w:i/>
          <w:iCs/>
          <w:sz w:val="22"/>
          <w:szCs w:val="22"/>
          <w:lang w:val="es-ES_tradnl"/>
        </w:rPr>
        <w:t xml:space="preserve">interés </w:t>
      </w:r>
      <w:r w:rsidRPr="00A62029">
        <w:rPr>
          <w:rFonts w:ascii="Arial" w:hAnsi="Arial" w:cs="Arial"/>
          <w:b/>
          <w:bCs/>
          <w:sz w:val="22"/>
          <w:szCs w:val="22"/>
          <w:lang w:val="es-ES_tradnl"/>
        </w:rPr>
        <w:t xml:space="preserve">en </w:t>
      </w:r>
      <w:r w:rsidRPr="00A62029">
        <w:rPr>
          <w:rFonts w:ascii="Arial" w:hAnsi="Arial" w:cs="Arial"/>
          <w:b/>
          <w:bCs/>
          <w:i/>
          <w:iCs/>
          <w:sz w:val="22"/>
          <w:szCs w:val="22"/>
          <w:lang w:val="es-ES_tradnl"/>
        </w:rPr>
        <w:t>obrar.</w:t>
      </w:r>
    </w:p>
    <w:p w:rsidR="00877ED0" w:rsidRPr="00A62029" w:rsidRDefault="00877ED0" w:rsidP="00A62029">
      <w:pPr>
        <w:pStyle w:val="NormalWeb"/>
        <w:spacing w:before="0" w:beforeAutospacing="0" w:after="0" w:afterAutospacing="0" w:line="360" w:lineRule="auto"/>
        <w:jc w:val="both"/>
        <w:rPr>
          <w:rFonts w:ascii="Arial" w:hAnsi="Arial" w:cs="Arial"/>
          <w:b/>
          <w:bCs/>
          <w:i/>
          <w:iCs/>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Esa particular especie de interés se resuelve en la posición favorable a la necesidad de dar certeza, imperatividad y ejecutividad a la tutela jurídica brindada a aquellos intereses en conflicto, despejando el </w:t>
      </w:r>
      <w:r w:rsidRPr="00A62029">
        <w:rPr>
          <w:rFonts w:ascii="Arial" w:hAnsi="Arial" w:cs="Arial"/>
          <w:i/>
          <w:iCs/>
          <w:sz w:val="22"/>
          <w:szCs w:val="22"/>
          <w:lang w:val="es-ES_tradnl"/>
        </w:rPr>
        <w:t>daño</w:t>
      </w:r>
      <w:r w:rsidRPr="00A62029">
        <w:rPr>
          <w:rFonts w:ascii="Arial" w:hAnsi="Arial" w:cs="Arial"/>
          <w:iCs/>
          <w:sz w:val="22"/>
          <w:szCs w:val="22"/>
          <w:lang w:val="es-ES_tradnl"/>
        </w:rPr>
        <w:t>, individual y social,</w:t>
      </w:r>
      <w:r w:rsidRPr="00A62029">
        <w:rPr>
          <w:rFonts w:ascii="Arial" w:hAnsi="Arial" w:cs="Arial"/>
          <w:i/>
          <w:iCs/>
          <w:sz w:val="22"/>
          <w:szCs w:val="22"/>
          <w:lang w:val="es-ES_tradnl"/>
        </w:rPr>
        <w:t xml:space="preserve"> </w:t>
      </w:r>
      <w:r w:rsidRPr="00A62029">
        <w:rPr>
          <w:rFonts w:ascii="Arial" w:hAnsi="Arial" w:cs="Arial"/>
          <w:sz w:val="22"/>
          <w:szCs w:val="22"/>
          <w:lang w:val="es-ES_tradnl"/>
        </w:rPr>
        <w:t>que deriva de cualquier “menoscabo, oscurecimiento o desvalorización del derecho o interés protegido”, provenientes sea de la “comisión u omisión consiente o involuntaria de un tercero, sea de un hecho o estado de la naturaleza (muerte, insania, minoridad), un hecho propio (error u omisiones al redactar un acta del registro civil), o simplemente, sea de una situación jurídica (condominio, sociedad)”</w:t>
      </w:r>
      <w:r w:rsidRPr="00A62029">
        <w:rPr>
          <w:rStyle w:val="FootnoteReference"/>
          <w:rFonts w:ascii="Arial" w:hAnsi="Arial" w:cs="Arial"/>
          <w:sz w:val="22"/>
          <w:szCs w:val="22"/>
          <w:lang w:val="es-ES_tradnl"/>
        </w:rPr>
        <w:footnoteReference w:id="18"/>
      </w:r>
      <w:r w:rsidRPr="00A62029">
        <w:rPr>
          <w:rFonts w:ascii="Arial" w:hAnsi="Arial" w:cs="Arial"/>
          <w:sz w:val="22"/>
          <w:szCs w:val="22"/>
          <w:lang w:val="es-ES_tradnl"/>
        </w:rPr>
        <w:t>; se lo ha descripto, con mayor generalidad, diciendo que “existe cada vez que, después de la negación (explícita o implícita) de un derecho del actor o (lo que en gran medida es lo mismo).de la afirmación de un derecho frente a él, este derecho sin la declaración judicial de la existencia del derecho de el actor o de la inexistencia del otro, no podría eliminar el daño consistente en los efectos perjudiciales de la negativa o de la afirmación del demandado que se evita no con el resarcimiento pecuniario, sino con el reconocimiento de lo infundado de la negación o de la afirmación”</w:t>
      </w:r>
      <w:r w:rsidRPr="00A62029">
        <w:rPr>
          <w:rStyle w:val="FootnoteReference"/>
          <w:rFonts w:ascii="Arial" w:hAnsi="Arial" w:cs="Arial"/>
          <w:sz w:val="22"/>
          <w:szCs w:val="22"/>
          <w:lang w:val="es-ES_tradnl"/>
        </w:rPr>
        <w:footnoteReference w:id="19"/>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iCs/>
          <w:sz w:val="22"/>
          <w:szCs w:val="22"/>
          <w:lang w:val="es-ES_tradnl"/>
        </w:rPr>
      </w:pPr>
      <w:r w:rsidRPr="00A62029">
        <w:rPr>
          <w:rFonts w:ascii="Arial" w:hAnsi="Arial" w:cs="Arial"/>
          <w:sz w:val="22"/>
          <w:szCs w:val="22"/>
          <w:lang w:val="es-ES_tradnl"/>
        </w:rPr>
        <w:t xml:space="preserve">Este </w:t>
      </w:r>
      <w:r w:rsidRPr="00A62029">
        <w:rPr>
          <w:rFonts w:ascii="Arial" w:hAnsi="Arial" w:cs="Arial"/>
          <w:i/>
          <w:iCs/>
          <w:sz w:val="22"/>
          <w:szCs w:val="22"/>
          <w:lang w:val="es-ES_tradnl"/>
        </w:rPr>
        <w:t xml:space="preserve">interés en obrar, </w:t>
      </w:r>
      <w:r w:rsidRPr="00A62029">
        <w:rPr>
          <w:rFonts w:ascii="Arial" w:hAnsi="Arial" w:cs="Arial"/>
          <w:sz w:val="22"/>
          <w:szCs w:val="22"/>
          <w:lang w:val="es-ES_tradnl"/>
        </w:rPr>
        <w:t xml:space="preserve">que tiene protección constitucional en el artículo 18, Const. Nac., y artículo 8 de la Convención Americana sobre Derechos Humanos, no se identifica, como surge de lo expuesto, con el interés </w:t>
      </w:r>
      <w:r w:rsidRPr="00A62029">
        <w:rPr>
          <w:rFonts w:ascii="Arial" w:hAnsi="Arial" w:cs="Arial"/>
          <w:i/>
          <w:iCs/>
          <w:sz w:val="22"/>
          <w:szCs w:val="22"/>
          <w:lang w:val="es-ES_tradnl"/>
        </w:rPr>
        <w:t xml:space="preserve">en conflicto, </w:t>
      </w:r>
      <w:r w:rsidRPr="00A62029">
        <w:rPr>
          <w:rFonts w:ascii="Arial" w:hAnsi="Arial" w:cs="Arial"/>
          <w:sz w:val="22"/>
          <w:szCs w:val="22"/>
          <w:lang w:val="es-ES_tradnl"/>
        </w:rPr>
        <w:t xml:space="preserve">sin perjuicio de que tiende a su satisfacción –esta vez por intermedio de los órganos del Estado y sobre la base de una declaración de certeza acerca de la legitimidad de la pretensión o de la resistencia entre las que se articula el </w:t>
      </w:r>
      <w:r w:rsidRPr="00A62029">
        <w:rPr>
          <w:rFonts w:ascii="Arial" w:hAnsi="Arial" w:cs="Arial"/>
          <w:i/>
          <w:sz w:val="22"/>
          <w:szCs w:val="22"/>
          <w:lang w:val="es-ES_tradnl"/>
        </w:rPr>
        <w:t>litigio-</w:t>
      </w:r>
      <w:r w:rsidRPr="00A62029">
        <w:rPr>
          <w:rFonts w:ascii="Arial" w:hAnsi="Arial" w:cs="Arial"/>
          <w:sz w:val="22"/>
          <w:szCs w:val="22"/>
          <w:lang w:val="es-ES_tradnl"/>
        </w:rPr>
        <w:t xml:space="preserve">-, </w:t>
      </w:r>
      <w:r w:rsidRPr="00A62029">
        <w:rPr>
          <w:rFonts w:ascii="Arial" w:hAnsi="Arial" w:cs="Arial"/>
          <w:i/>
          <w:iCs/>
          <w:sz w:val="22"/>
          <w:szCs w:val="22"/>
          <w:lang w:val="es-ES_tradnl"/>
        </w:rPr>
        <w:t xml:space="preserve">debiendo </w:t>
      </w:r>
      <w:r w:rsidRPr="00A62029">
        <w:rPr>
          <w:rFonts w:ascii="Arial" w:hAnsi="Arial" w:cs="Arial"/>
          <w:sz w:val="22"/>
          <w:szCs w:val="22"/>
          <w:lang w:val="es-ES_tradnl"/>
        </w:rPr>
        <w:t xml:space="preserve">calificarse como un </w:t>
      </w:r>
      <w:r w:rsidRPr="00A62029">
        <w:rPr>
          <w:rFonts w:ascii="Arial" w:hAnsi="Arial" w:cs="Arial"/>
          <w:i/>
          <w:iCs/>
          <w:sz w:val="22"/>
          <w:szCs w:val="22"/>
          <w:lang w:val="es-ES_tradnl"/>
        </w:rPr>
        <w:t>interés instrumental</w:t>
      </w:r>
      <w:r w:rsidRPr="00A62029">
        <w:rPr>
          <w:rStyle w:val="FootnoteReference"/>
          <w:rFonts w:ascii="Arial" w:hAnsi="Arial" w:cs="Arial"/>
          <w:i/>
          <w:iCs/>
          <w:sz w:val="22"/>
          <w:szCs w:val="22"/>
          <w:lang w:val="es-ES_tradnl"/>
        </w:rPr>
        <w:footnoteReference w:id="20"/>
      </w:r>
      <w:r w:rsidRPr="00A62029">
        <w:rPr>
          <w:rFonts w:ascii="Arial" w:hAnsi="Arial" w:cs="Arial"/>
          <w:i/>
          <w:iCs/>
          <w:sz w:val="22"/>
          <w:szCs w:val="22"/>
          <w:lang w:val="es-ES_tradnl"/>
        </w:rPr>
        <w:t xml:space="preserve"> </w:t>
      </w:r>
      <w:r w:rsidRPr="00A62029">
        <w:rPr>
          <w:rFonts w:ascii="Arial" w:hAnsi="Arial" w:cs="Arial"/>
          <w:sz w:val="22"/>
          <w:szCs w:val="22"/>
          <w:lang w:val="es-ES_tradnl"/>
        </w:rPr>
        <w:t xml:space="preserve">pues todo su significado se resuelve en acceder y motorizar la vía institucional que abre la posibilidad de que el </w:t>
      </w:r>
      <w:r w:rsidRPr="00A62029">
        <w:rPr>
          <w:rFonts w:ascii="Arial" w:hAnsi="Arial" w:cs="Arial"/>
          <w:i/>
          <w:iCs/>
          <w:sz w:val="22"/>
          <w:szCs w:val="22"/>
          <w:lang w:val="es-ES_tradnl"/>
        </w:rPr>
        <w:t>interés en conflicto</w:t>
      </w:r>
      <w:r w:rsidRPr="00A62029">
        <w:rPr>
          <w:rFonts w:ascii="Arial" w:hAnsi="Arial" w:cs="Arial"/>
          <w:iCs/>
          <w:sz w:val="22"/>
          <w:szCs w:val="22"/>
          <w:lang w:val="es-ES_tradnl"/>
        </w:rPr>
        <w:t xml:space="preserve"> encuentre </w:t>
      </w:r>
      <w:r w:rsidRPr="00A62029">
        <w:rPr>
          <w:rFonts w:ascii="Arial" w:hAnsi="Arial" w:cs="Arial"/>
          <w:sz w:val="22"/>
          <w:szCs w:val="22"/>
          <w:lang w:val="es-ES_tradnl"/>
        </w:rPr>
        <w:t>satisfacción</w:t>
      </w:r>
      <w:r w:rsidRPr="00A62029">
        <w:rPr>
          <w:rFonts w:ascii="Arial" w:hAnsi="Arial" w:cs="Arial"/>
          <w:i/>
          <w:iCs/>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iCs/>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i/>
          <w:iCs/>
          <w:sz w:val="22"/>
          <w:szCs w:val="22"/>
          <w:lang w:val="es-ES_tradnl"/>
        </w:rPr>
      </w:pPr>
      <w:r w:rsidRPr="00A62029">
        <w:rPr>
          <w:rFonts w:ascii="Arial" w:hAnsi="Arial" w:cs="Arial"/>
          <w:sz w:val="22"/>
          <w:szCs w:val="22"/>
          <w:lang w:val="es-ES_tradnl"/>
        </w:rPr>
        <w:t xml:space="preserve">De allí que la protección que instituye el orden jurídico para la tutela de este </w:t>
      </w:r>
      <w:r w:rsidRPr="00A62029">
        <w:rPr>
          <w:rFonts w:ascii="Arial" w:hAnsi="Arial" w:cs="Arial"/>
          <w:i/>
          <w:iCs/>
          <w:sz w:val="22"/>
          <w:szCs w:val="22"/>
          <w:lang w:val="es-ES_tradnl"/>
        </w:rPr>
        <w:t xml:space="preserve">interés </w:t>
      </w:r>
      <w:r w:rsidRPr="00A62029">
        <w:rPr>
          <w:rFonts w:ascii="Arial" w:hAnsi="Arial" w:cs="Arial"/>
          <w:sz w:val="22"/>
          <w:szCs w:val="22"/>
          <w:lang w:val="es-ES_tradnl"/>
        </w:rPr>
        <w:t xml:space="preserve">en </w:t>
      </w:r>
      <w:r w:rsidRPr="00A62029">
        <w:rPr>
          <w:rFonts w:ascii="Arial" w:hAnsi="Arial" w:cs="Arial"/>
          <w:i/>
          <w:iCs/>
          <w:sz w:val="22"/>
          <w:szCs w:val="22"/>
          <w:lang w:val="es-ES_tradnl"/>
        </w:rPr>
        <w:t xml:space="preserve">obrar </w:t>
      </w:r>
      <w:r w:rsidRPr="00A62029">
        <w:rPr>
          <w:rFonts w:ascii="Arial" w:hAnsi="Arial" w:cs="Arial"/>
          <w:sz w:val="22"/>
          <w:szCs w:val="22"/>
          <w:lang w:val="es-ES_tradnl"/>
        </w:rPr>
        <w:t xml:space="preserve">es de naturaleza, también, instrumental, denominado </w:t>
      </w:r>
      <w:r w:rsidRPr="00A62029">
        <w:rPr>
          <w:rFonts w:ascii="Arial" w:hAnsi="Arial" w:cs="Arial"/>
          <w:i/>
          <w:iCs/>
          <w:sz w:val="22"/>
          <w:szCs w:val="22"/>
          <w:lang w:val="es-ES_tradnl"/>
        </w:rPr>
        <w:t xml:space="preserve">derecho de acción </w:t>
      </w:r>
      <w:r w:rsidRPr="00A62029">
        <w:rPr>
          <w:rFonts w:ascii="Arial" w:hAnsi="Arial" w:cs="Arial"/>
          <w:sz w:val="22"/>
          <w:szCs w:val="22"/>
          <w:lang w:val="es-ES_tradnl"/>
        </w:rPr>
        <w:t xml:space="preserve">y calificado por la doctrina de </w:t>
      </w:r>
      <w:r w:rsidRPr="00A62029">
        <w:rPr>
          <w:rFonts w:ascii="Arial" w:hAnsi="Arial" w:cs="Arial"/>
          <w:i/>
          <w:iCs/>
          <w:sz w:val="22"/>
          <w:szCs w:val="22"/>
          <w:lang w:val="es-ES_tradnl"/>
        </w:rPr>
        <w:t xml:space="preserve">formal </w:t>
      </w:r>
      <w:r w:rsidRPr="00A62029">
        <w:rPr>
          <w:rFonts w:ascii="Arial" w:hAnsi="Arial" w:cs="Arial"/>
          <w:sz w:val="22"/>
          <w:szCs w:val="22"/>
          <w:lang w:val="es-ES_tradnl"/>
        </w:rPr>
        <w:t xml:space="preserve">o </w:t>
      </w:r>
      <w:r w:rsidRPr="00A62029">
        <w:rPr>
          <w:rFonts w:ascii="Arial" w:hAnsi="Arial" w:cs="Arial"/>
          <w:i/>
          <w:iCs/>
          <w:sz w:val="22"/>
          <w:szCs w:val="22"/>
          <w:lang w:val="es-ES_tradnl"/>
        </w:rPr>
        <w:t xml:space="preserve">procesal.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En definitiva, el </w:t>
      </w:r>
      <w:r w:rsidRPr="00A62029">
        <w:rPr>
          <w:rFonts w:ascii="Arial" w:hAnsi="Arial" w:cs="Arial"/>
          <w:i/>
          <w:iCs/>
          <w:sz w:val="22"/>
          <w:szCs w:val="22"/>
          <w:lang w:val="es-ES_tradnl"/>
        </w:rPr>
        <w:t xml:space="preserve">interés en conflicto </w:t>
      </w:r>
      <w:r w:rsidRPr="00A62029">
        <w:rPr>
          <w:rFonts w:ascii="Arial" w:hAnsi="Arial" w:cs="Arial"/>
          <w:sz w:val="22"/>
          <w:szCs w:val="22"/>
          <w:lang w:val="es-ES_tradnl"/>
        </w:rPr>
        <w:t xml:space="preserve">es de naturaleza material, en cuanto se localiza en la </w:t>
      </w:r>
      <w:r w:rsidRPr="00A62029">
        <w:rPr>
          <w:rFonts w:ascii="Arial" w:hAnsi="Arial" w:cs="Arial"/>
          <w:i/>
          <w:iCs/>
          <w:sz w:val="22"/>
          <w:szCs w:val="22"/>
          <w:lang w:val="es-ES_tradnl"/>
        </w:rPr>
        <w:t xml:space="preserve">materia </w:t>
      </w:r>
      <w:r w:rsidRPr="00A62029">
        <w:rPr>
          <w:rFonts w:ascii="Arial" w:hAnsi="Arial" w:cs="Arial"/>
          <w:sz w:val="22"/>
          <w:szCs w:val="22"/>
          <w:lang w:val="es-ES_tradnl"/>
        </w:rPr>
        <w:t xml:space="preserve">del orden jurídico —el conflicto-, y </w:t>
      </w:r>
      <w:r w:rsidRPr="00A62029">
        <w:rPr>
          <w:rFonts w:ascii="Arial" w:hAnsi="Arial" w:cs="Arial"/>
          <w:i/>
          <w:iCs/>
          <w:sz w:val="22"/>
          <w:szCs w:val="22"/>
          <w:lang w:val="es-ES_tradnl"/>
        </w:rPr>
        <w:t xml:space="preserve">sustancial </w:t>
      </w:r>
      <w:r w:rsidRPr="00A62029">
        <w:rPr>
          <w:rFonts w:ascii="Arial" w:hAnsi="Arial" w:cs="Arial"/>
          <w:sz w:val="22"/>
          <w:szCs w:val="22"/>
          <w:lang w:val="es-ES_tradnl"/>
        </w:rPr>
        <w:t xml:space="preserve">en cuanto se encuentra protegido por normas </w:t>
      </w:r>
      <w:r w:rsidRPr="00A62029">
        <w:rPr>
          <w:rFonts w:ascii="Arial" w:hAnsi="Arial" w:cs="Arial"/>
          <w:i/>
          <w:iCs/>
          <w:sz w:val="22"/>
          <w:szCs w:val="22"/>
          <w:lang w:val="es-ES_tradnl"/>
        </w:rPr>
        <w:t xml:space="preserve">sustanciales, </w:t>
      </w:r>
      <w:r w:rsidRPr="00A62029">
        <w:rPr>
          <w:rFonts w:ascii="Arial" w:hAnsi="Arial" w:cs="Arial"/>
          <w:sz w:val="22"/>
          <w:szCs w:val="22"/>
          <w:lang w:val="es-ES_tradnl"/>
        </w:rPr>
        <w:t xml:space="preserve">que se ocupan de </w:t>
      </w:r>
      <w:r w:rsidRPr="00A62029">
        <w:rPr>
          <w:rFonts w:ascii="Arial" w:hAnsi="Arial" w:cs="Arial"/>
          <w:i/>
          <w:iCs/>
          <w:sz w:val="22"/>
          <w:szCs w:val="22"/>
          <w:lang w:val="es-ES_tradnl"/>
        </w:rPr>
        <w:t xml:space="preserve">componer </w:t>
      </w:r>
      <w:r w:rsidRPr="00A62029">
        <w:rPr>
          <w:rFonts w:ascii="Arial" w:hAnsi="Arial" w:cs="Arial"/>
          <w:sz w:val="22"/>
          <w:szCs w:val="22"/>
          <w:lang w:val="es-ES_tradnl"/>
        </w:rPr>
        <w:t xml:space="preserve">el conflicto atribuyendo el bien de la vida, objeto de ese conflicto, a uno de los titulares de los intereses enfrentados </w:t>
      </w:r>
      <w:r w:rsidRPr="00A62029">
        <w:rPr>
          <w:rFonts w:ascii="Arial" w:hAnsi="Arial" w:cs="Arial"/>
          <w:i/>
          <w:iCs/>
          <w:sz w:val="22"/>
          <w:szCs w:val="22"/>
          <w:lang w:val="es-ES_tradnl"/>
        </w:rPr>
        <w:t xml:space="preserve">—derecho subjetivo </w:t>
      </w:r>
      <w:r w:rsidRPr="00A62029">
        <w:rPr>
          <w:rFonts w:ascii="Arial" w:hAnsi="Arial" w:cs="Arial"/>
          <w:sz w:val="22"/>
          <w:szCs w:val="22"/>
          <w:lang w:val="es-ES_tradnl"/>
        </w:rPr>
        <w:t xml:space="preserve">o </w:t>
      </w:r>
      <w:r w:rsidRPr="00A62029">
        <w:rPr>
          <w:rFonts w:ascii="Arial" w:hAnsi="Arial" w:cs="Arial"/>
          <w:i/>
          <w:iCs/>
          <w:sz w:val="22"/>
          <w:szCs w:val="22"/>
          <w:lang w:val="es-ES_tradnl"/>
        </w:rPr>
        <w:t xml:space="preserve">interés protegido- </w:t>
      </w:r>
      <w:r w:rsidRPr="00A62029">
        <w:rPr>
          <w:rFonts w:ascii="Arial" w:hAnsi="Arial" w:cs="Arial"/>
          <w:sz w:val="22"/>
          <w:szCs w:val="22"/>
          <w:lang w:val="es-ES_tradnl"/>
        </w:rPr>
        <w:t xml:space="preserve">e imponiendo al otro el deber —obligación- de concurrir con su sacrificio a esa atribución. </w:t>
      </w:r>
    </w:p>
    <w:p w:rsidR="00877ED0" w:rsidRPr="00A62029" w:rsidRDefault="00877ED0" w:rsidP="00A62029">
      <w:pPr>
        <w:pStyle w:val="NormalWeb"/>
        <w:spacing w:before="0" w:beforeAutospacing="0" w:after="0" w:afterAutospacing="0" w:line="360" w:lineRule="auto"/>
        <w:ind w:firstLine="456"/>
        <w:jc w:val="both"/>
        <w:rPr>
          <w:rFonts w:ascii="Arial" w:hAnsi="Arial" w:cs="Arial"/>
          <w:sz w:val="22"/>
          <w:szCs w:val="22"/>
          <w:lang w:val="es-ES_tradnl"/>
        </w:rPr>
      </w:pPr>
    </w:p>
    <w:p w:rsidR="00877ED0" w:rsidRPr="00F201F5" w:rsidRDefault="00877ED0" w:rsidP="00A62029">
      <w:pPr>
        <w:pStyle w:val="NormalWeb"/>
        <w:spacing w:before="0" w:beforeAutospacing="0" w:after="0" w:afterAutospacing="0" w:line="360" w:lineRule="auto"/>
        <w:jc w:val="both"/>
        <w:rPr>
          <w:rFonts w:ascii="Arial" w:hAnsi="Arial" w:cs="Arial"/>
          <w:iCs/>
          <w:sz w:val="22"/>
          <w:szCs w:val="22"/>
          <w:lang w:val="es-ES_tradnl"/>
        </w:rPr>
      </w:pPr>
      <w:r w:rsidRPr="00A62029">
        <w:rPr>
          <w:rFonts w:ascii="Arial" w:hAnsi="Arial" w:cs="Arial"/>
          <w:sz w:val="22"/>
          <w:szCs w:val="22"/>
          <w:lang w:val="es-ES_tradnl"/>
        </w:rPr>
        <w:t xml:space="preserve">El </w:t>
      </w:r>
      <w:r w:rsidRPr="00A62029">
        <w:rPr>
          <w:rFonts w:ascii="Arial" w:hAnsi="Arial" w:cs="Arial"/>
          <w:i/>
          <w:iCs/>
          <w:sz w:val="22"/>
          <w:szCs w:val="22"/>
          <w:lang w:val="es-ES_tradnl"/>
        </w:rPr>
        <w:t xml:space="preserve">interés en obrar, </w:t>
      </w:r>
      <w:r w:rsidRPr="00A62029">
        <w:rPr>
          <w:rFonts w:ascii="Arial" w:hAnsi="Arial" w:cs="Arial"/>
          <w:sz w:val="22"/>
          <w:szCs w:val="22"/>
          <w:lang w:val="es-ES_tradnl"/>
        </w:rPr>
        <w:t xml:space="preserve">es de naturaleza instrumental, pues permite el acceso a los medios que servirán para la composición del </w:t>
      </w:r>
      <w:r w:rsidRPr="00A62029">
        <w:rPr>
          <w:rFonts w:ascii="Arial" w:hAnsi="Arial" w:cs="Arial"/>
          <w:i/>
          <w:sz w:val="22"/>
          <w:szCs w:val="22"/>
          <w:lang w:val="es-ES_tradnl"/>
        </w:rPr>
        <w:t>litigio</w:t>
      </w:r>
      <w:r w:rsidRPr="00A62029">
        <w:rPr>
          <w:rFonts w:ascii="Arial" w:hAnsi="Arial" w:cs="Arial"/>
          <w:sz w:val="22"/>
          <w:szCs w:val="22"/>
          <w:lang w:val="es-ES_tradnl"/>
        </w:rPr>
        <w:t xml:space="preserve"> por un sujeto imparcial que impondrá su decisión a los titulares de los intereses opuestos, dando ocasión para el desenvolvimiento del otro </w:t>
      </w:r>
      <w:r w:rsidRPr="00A62029">
        <w:rPr>
          <w:rFonts w:ascii="Arial" w:hAnsi="Arial" w:cs="Arial"/>
          <w:i/>
          <w:iCs/>
          <w:sz w:val="22"/>
          <w:szCs w:val="22"/>
          <w:lang w:val="es-ES_tradnl"/>
        </w:rPr>
        <w:t>interés de carácter final</w:t>
      </w:r>
      <w:r>
        <w:rPr>
          <w:rFonts w:ascii="Arial" w:hAnsi="Arial" w:cs="Arial"/>
          <w:iCs/>
          <w:sz w:val="22"/>
          <w:szCs w:val="22"/>
          <w:lang w:val="es-ES_tradnl"/>
        </w:rPr>
        <w:t xml:space="preserve"> -</w:t>
      </w:r>
      <w:r w:rsidRPr="00A62029">
        <w:rPr>
          <w:rFonts w:ascii="Arial" w:hAnsi="Arial" w:cs="Arial"/>
          <w:sz w:val="22"/>
          <w:szCs w:val="22"/>
          <w:lang w:val="es-ES_tradnl"/>
        </w:rPr>
        <w:t xml:space="preserve">que </w:t>
      </w:r>
      <w:r>
        <w:rPr>
          <w:rFonts w:ascii="Arial" w:hAnsi="Arial" w:cs="Arial"/>
          <w:sz w:val="22"/>
          <w:szCs w:val="22"/>
          <w:lang w:val="es-ES_tradnl"/>
        </w:rPr>
        <w:t>radica</w:t>
      </w:r>
      <w:r w:rsidRPr="00A62029">
        <w:rPr>
          <w:rFonts w:ascii="Arial" w:hAnsi="Arial" w:cs="Arial"/>
          <w:sz w:val="22"/>
          <w:szCs w:val="22"/>
          <w:lang w:val="es-ES_tradnl"/>
        </w:rPr>
        <w:t xml:space="preserve"> e</w:t>
      </w:r>
      <w:r>
        <w:rPr>
          <w:rFonts w:ascii="Arial" w:hAnsi="Arial" w:cs="Arial"/>
          <w:sz w:val="22"/>
          <w:szCs w:val="22"/>
          <w:lang w:val="es-ES_tradnl"/>
        </w:rPr>
        <w:t>n</w:t>
      </w:r>
      <w:r w:rsidRPr="00A62029">
        <w:rPr>
          <w:rFonts w:ascii="Arial" w:hAnsi="Arial" w:cs="Arial"/>
          <w:sz w:val="22"/>
          <w:szCs w:val="22"/>
          <w:lang w:val="es-ES_tradnl"/>
        </w:rPr>
        <w:t xml:space="preserve"> proveer </w:t>
      </w:r>
      <w:r w:rsidRPr="00A62029">
        <w:rPr>
          <w:rFonts w:ascii="Arial" w:hAnsi="Arial" w:cs="Arial"/>
          <w:iCs/>
          <w:sz w:val="22"/>
          <w:szCs w:val="22"/>
          <w:lang w:val="es-ES_tradnl"/>
        </w:rPr>
        <w:t>a la</w:t>
      </w:r>
      <w:r w:rsidRPr="00A62029">
        <w:rPr>
          <w:rFonts w:ascii="Arial" w:hAnsi="Arial" w:cs="Arial"/>
          <w:i/>
          <w:iCs/>
          <w:sz w:val="22"/>
          <w:szCs w:val="22"/>
          <w:lang w:val="es-ES_tradnl"/>
        </w:rPr>
        <w:t xml:space="preserve"> </w:t>
      </w:r>
      <w:r w:rsidRPr="00A62029">
        <w:rPr>
          <w:rFonts w:ascii="Arial" w:hAnsi="Arial" w:cs="Arial"/>
          <w:iCs/>
          <w:sz w:val="22"/>
          <w:szCs w:val="22"/>
          <w:lang w:val="es-ES_tradnl"/>
        </w:rPr>
        <w:t xml:space="preserve">definitiva </w:t>
      </w:r>
      <w:r w:rsidRPr="00A62029">
        <w:rPr>
          <w:rFonts w:ascii="Arial" w:hAnsi="Arial" w:cs="Arial"/>
          <w:i/>
          <w:iCs/>
          <w:sz w:val="22"/>
          <w:szCs w:val="22"/>
          <w:lang w:val="es-ES_tradnl"/>
        </w:rPr>
        <w:t>composición del litigio</w:t>
      </w:r>
      <w:r>
        <w:rPr>
          <w:rFonts w:ascii="Arial" w:hAnsi="Arial" w:cs="Arial"/>
          <w:i/>
          <w:iCs/>
          <w:sz w:val="22"/>
          <w:szCs w:val="22"/>
          <w:lang w:val="es-ES_tradnl"/>
        </w:rPr>
        <w:t>-</w:t>
      </w:r>
      <w:r w:rsidRPr="00A62029">
        <w:rPr>
          <w:rFonts w:ascii="Arial" w:hAnsi="Arial" w:cs="Arial"/>
          <w:iCs/>
          <w:sz w:val="22"/>
          <w:szCs w:val="22"/>
          <w:lang w:val="es-ES_tradnl"/>
        </w:rPr>
        <w:t>, también de carácter público y raíz procesal</w:t>
      </w:r>
      <w:r>
        <w:rPr>
          <w:rFonts w:ascii="Arial" w:hAnsi="Arial" w:cs="Arial"/>
          <w:iCs/>
          <w:sz w:val="22"/>
          <w:szCs w:val="22"/>
          <w:lang w:val="es-ES_tradnl"/>
        </w:rPr>
        <w:t xml:space="preserve"> en relación a aquél, pero </w:t>
      </w:r>
      <w:r>
        <w:rPr>
          <w:rFonts w:ascii="Arial" w:hAnsi="Arial" w:cs="Arial"/>
          <w:i/>
          <w:iCs/>
          <w:sz w:val="22"/>
          <w:szCs w:val="22"/>
          <w:lang w:val="es-ES_tradnl"/>
        </w:rPr>
        <w:t xml:space="preserve">instrumental </w:t>
      </w:r>
      <w:r>
        <w:rPr>
          <w:rFonts w:ascii="Arial" w:hAnsi="Arial" w:cs="Arial"/>
          <w:iCs/>
          <w:sz w:val="22"/>
          <w:szCs w:val="22"/>
          <w:lang w:val="es-ES_tradnl"/>
        </w:rPr>
        <w:t>respecto de los intereses públicos que el orden jurídico se propone proteger</w:t>
      </w:r>
      <w:r w:rsidRPr="00A62029">
        <w:rPr>
          <w:rFonts w:ascii="Arial" w:hAnsi="Arial" w:cs="Arial"/>
          <w:i/>
          <w:iCs/>
          <w:sz w:val="22"/>
          <w:szCs w:val="22"/>
          <w:lang w:val="es-ES_tradnl"/>
        </w:rPr>
        <w:t>.</w:t>
      </w:r>
    </w:p>
    <w:p w:rsidR="00877ED0" w:rsidRPr="00A62029" w:rsidRDefault="00877ED0" w:rsidP="00A62029">
      <w:pPr>
        <w:pStyle w:val="NormalWeb"/>
        <w:spacing w:before="0" w:beforeAutospacing="0" w:after="0" w:afterAutospacing="0" w:line="360" w:lineRule="auto"/>
        <w:ind w:firstLine="456"/>
        <w:jc w:val="both"/>
        <w:rPr>
          <w:rFonts w:ascii="Arial" w:hAnsi="Arial" w:cs="Arial"/>
          <w:i/>
          <w:iCs/>
          <w:sz w:val="22"/>
          <w:szCs w:val="22"/>
          <w:lang w:val="es-ES_tradnl"/>
        </w:rPr>
      </w:pPr>
    </w:p>
    <w:p w:rsidR="00877ED0" w:rsidRPr="00A62029" w:rsidRDefault="00877ED0" w:rsidP="00A62029">
      <w:pPr>
        <w:pStyle w:val="NormalWeb"/>
        <w:spacing w:before="0" w:beforeAutospacing="0" w:after="0" w:afterAutospacing="0" w:line="360" w:lineRule="auto"/>
        <w:ind w:firstLine="456"/>
        <w:jc w:val="both"/>
        <w:rPr>
          <w:rFonts w:ascii="Arial" w:hAnsi="Arial" w:cs="Arial"/>
          <w:i/>
          <w:iCs/>
          <w:sz w:val="22"/>
          <w:szCs w:val="22"/>
          <w:lang w:val="es-ES_tradnl"/>
        </w:rPr>
      </w:pPr>
      <w:r w:rsidRPr="00A62029">
        <w:rPr>
          <w:rFonts w:ascii="Arial" w:hAnsi="Arial" w:cs="Arial"/>
          <w:i/>
          <w:iCs/>
          <w:sz w:val="22"/>
          <w:szCs w:val="22"/>
          <w:lang w:val="es-ES_tradnl"/>
        </w:rPr>
        <w:t>b) Clases de interés en conflicto:-</w:t>
      </w:r>
    </w:p>
    <w:p w:rsidR="00877ED0" w:rsidRPr="00A62029" w:rsidRDefault="00877ED0" w:rsidP="00A62029">
      <w:pPr>
        <w:pStyle w:val="NormalWeb"/>
        <w:spacing w:before="0" w:beforeAutospacing="0" w:after="0" w:afterAutospacing="0" w:line="360" w:lineRule="auto"/>
        <w:jc w:val="both"/>
        <w:rPr>
          <w:rFonts w:ascii="Arial" w:hAnsi="Arial" w:cs="Arial"/>
          <w:iCs/>
          <w:sz w:val="22"/>
          <w:szCs w:val="22"/>
          <w:lang w:val="es-ES_tradnl"/>
        </w:rPr>
      </w:pPr>
      <w:r w:rsidRPr="00A62029">
        <w:rPr>
          <w:rFonts w:ascii="Arial" w:hAnsi="Arial" w:cs="Arial"/>
          <w:iCs/>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iCs/>
          <w:sz w:val="22"/>
          <w:szCs w:val="22"/>
          <w:lang w:val="es-ES_tradnl"/>
        </w:rPr>
        <w:t>Hemos</w:t>
      </w:r>
      <w:r w:rsidRPr="00A62029">
        <w:rPr>
          <w:rFonts w:ascii="Arial" w:hAnsi="Arial" w:cs="Arial"/>
          <w:i/>
          <w:iCs/>
          <w:sz w:val="22"/>
          <w:szCs w:val="22"/>
          <w:lang w:val="es-ES_tradnl"/>
        </w:rPr>
        <w:t xml:space="preserve"> </w:t>
      </w:r>
      <w:r w:rsidRPr="00A62029">
        <w:rPr>
          <w:rFonts w:ascii="Arial" w:hAnsi="Arial" w:cs="Arial"/>
          <w:sz w:val="22"/>
          <w:szCs w:val="22"/>
          <w:lang w:val="es-ES_tradnl"/>
        </w:rPr>
        <w:t xml:space="preserve">referido ya dos de las clases de interés jurídico que pueden converger sobre un mismo bien relevante para el orden jurídico estatal, que surgen de considerar la calidad del sujeto de la necesidad y la situación de ésta relativa al bien que sirve de medio a la satisfacción de aquella: </w:t>
      </w:r>
      <w:r w:rsidRPr="00A62029">
        <w:rPr>
          <w:rFonts w:ascii="Arial" w:hAnsi="Arial" w:cs="Arial"/>
          <w:i/>
          <w:iCs/>
          <w:sz w:val="22"/>
          <w:szCs w:val="22"/>
          <w:lang w:val="es-ES_tradnl"/>
        </w:rPr>
        <w:t xml:space="preserve">privados </w:t>
      </w:r>
      <w:r w:rsidRPr="00A62029">
        <w:rPr>
          <w:rFonts w:ascii="Arial" w:hAnsi="Arial" w:cs="Arial"/>
          <w:sz w:val="22"/>
          <w:szCs w:val="22"/>
          <w:lang w:val="es-ES_tradnl"/>
        </w:rPr>
        <w:t xml:space="preserve">—que pertenecen a la esfera de uno o más individuos determinados, relativos a necesidades que se manifiestan en su propia órbita vital, dentro de la que encuentran satisfacción- y </w:t>
      </w:r>
      <w:r w:rsidRPr="00A62029">
        <w:rPr>
          <w:rFonts w:ascii="Arial" w:hAnsi="Arial" w:cs="Arial"/>
          <w:i/>
          <w:iCs/>
          <w:sz w:val="22"/>
          <w:szCs w:val="22"/>
          <w:lang w:val="es-ES_tradnl"/>
        </w:rPr>
        <w:t xml:space="preserve">públicos </w:t>
      </w:r>
      <w:r w:rsidRPr="00A62029">
        <w:rPr>
          <w:rFonts w:ascii="Arial" w:hAnsi="Arial" w:cs="Arial"/>
          <w:sz w:val="22"/>
          <w:szCs w:val="22"/>
          <w:lang w:val="es-ES_tradnl"/>
        </w:rPr>
        <w:t>—que se manifiestan en todo un núcleo social, de modo uniforme, por cuanto responden a necesidades del grupo, por lo que su satisfacción se encomienda a órganos de la sociedad que integran el Estado ante la imposibilidad de perseguir individualmente, por cada miembro del grupo, tal satisfacción</w:t>
      </w:r>
      <w:r w:rsidRPr="00A62029">
        <w:rPr>
          <w:rStyle w:val="FootnoteReference"/>
          <w:rFonts w:ascii="Arial" w:hAnsi="Arial" w:cs="Arial"/>
          <w:sz w:val="22"/>
          <w:szCs w:val="22"/>
          <w:lang w:val="es-ES_tradnl"/>
        </w:rPr>
        <w:footnoteReference w:id="21"/>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En la segunda mitad del siglo XX aparecieron dos tipos de interés intermedios</w:t>
      </w:r>
      <w:r w:rsidRPr="00A62029">
        <w:rPr>
          <w:rStyle w:val="FootnoteReference"/>
          <w:rFonts w:ascii="Arial" w:hAnsi="Arial" w:cs="Arial"/>
          <w:sz w:val="22"/>
          <w:szCs w:val="22"/>
          <w:lang w:val="es-ES_tradnl"/>
        </w:rPr>
        <w:footnoteReference w:id="22"/>
      </w:r>
      <w:r w:rsidRPr="00A62029">
        <w:rPr>
          <w:rFonts w:ascii="Arial" w:hAnsi="Arial" w:cs="Arial"/>
          <w:sz w:val="22"/>
          <w:szCs w:val="22"/>
          <w:lang w:val="es-ES_tradnl"/>
        </w:rPr>
        <w:t xml:space="preserve"> entre aquéllos: los intereses </w:t>
      </w:r>
      <w:r w:rsidRPr="00A62029">
        <w:rPr>
          <w:rFonts w:ascii="Arial" w:hAnsi="Arial" w:cs="Arial"/>
          <w:i/>
          <w:iCs/>
          <w:sz w:val="22"/>
          <w:szCs w:val="22"/>
          <w:lang w:val="es-ES_tradnl"/>
        </w:rPr>
        <w:t xml:space="preserve">colectivos </w:t>
      </w:r>
      <w:r w:rsidRPr="00A62029">
        <w:rPr>
          <w:rFonts w:ascii="Arial" w:hAnsi="Arial" w:cs="Arial"/>
          <w:sz w:val="22"/>
          <w:szCs w:val="22"/>
          <w:lang w:val="es-ES_tradnl"/>
        </w:rPr>
        <w:t>—que responden a las necesidades de una categoría definida de sujetos (v.gr., abogados; médicos; empleados del Estado; etc.) “que se encuentran en una misma situación jurídica con respecto a un bien que todos ellos disfrutan conjunta y solidariamente y respecto del que experimentan una común necesidad”</w:t>
      </w:r>
      <w:r w:rsidRPr="00A62029">
        <w:rPr>
          <w:rStyle w:val="FootnoteReference"/>
          <w:rFonts w:ascii="Arial" w:hAnsi="Arial" w:cs="Arial"/>
          <w:sz w:val="22"/>
          <w:szCs w:val="22"/>
          <w:lang w:val="es-ES_tradnl"/>
        </w:rPr>
        <w:footnoteReference w:id="23"/>
      </w:r>
      <w:r w:rsidRPr="00A62029">
        <w:rPr>
          <w:rFonts w:ascii="Arial" w:hAnsi="Arial" w:cs="Arial"/>
          <w:sz w:val="22"/>
          <w:szCs w:val="22"/>
          <w:lang w:val="es-ES_tradnl"/>
        </w:rPr>
        <w:t>, de suerte que su satisfacción puede perseguirse por órganos debidamente constituidos del grupo</w:t>
      </w:r>
      <w:r w:rsidRPr="00A62029">
        <w:rPr>
          <w:rStyle w:val="FootnoteReference"/>
          <w:rFonts w:ascii="Arial" w:hAnsi="Arial" w:cs="Arial"/>
          <w:sz w:val="22"/>
          <w:szCs w:val="22"/>
          <w:lang w:val="es-ES_tradnl"/>
        </w:rPr>
        <w:footnoteReference w:id="24"/>
      </w:r>
      <w:r w:rsidRPr="00A62029">
        <w:rPr>
          <w:rFonts w:ascii="Arial" w:hAnsi="Arial" w:cs="Arial"/>
          <w:sz w:val="22"/>
          <w:szCs w:val="22"/>
          <w:lang w:val="es-ES_tradnl"/>
        </w:rPr>
        <w:t xml:space="preserve">- .y los intereses </w:t>
      </w:r>
      <w:r w:rsidRPr="00A62029">
        <w:rPr>
          <w:rFonts w:ascii="Arial" w:hAnsi="Arial" w:cs="Arial"/>
          <w:i/>
          <w:iCs/>
          <w:sz w:val="22"/>
          <w:szCs w:val="22"/>
          <w:lang w:val="es-ES_tradnl"/>
        </w:rPr>
        <w:t xml:space="preserve">difusos </w:t>
      </w:r>
      <w:r w:rsidRPr="00A62029">
        <w:rPr>
          <w:rFonts w:ascii="Arial" w:hAnsi="Arial" w:cs="Arial"/>
          <w:sz w:val="22"/>
          <w:szCs w:val="22"/>
          <w:lang w:val="es-ES_tradnl"/>
        </w:rPr>
        <w:t xml:space="preserve">-originados en necesidades comunes a un grupo indeterminado de personas (consumidores de determinados productos; habitantes de un territorio; usuarios de un servicio público; etc.), que se satisfacen, solidariamente, con bienes indivisibles –medio ambiente; paisaje; diseño urbanístico; patrimonio histórico, etc.- y cuya supresión o deterioro, por hechos particularmente dañosos, afecta simultáneamente a todo el grupo y en ocasiones, a cada uno de sus integrantes.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Cabe anotar que nuestra Corte Suprema Nacional ha preferido hacer referencia a </w:t>
      </w:r>
      <w:r w:rsidRPr="00A62029">
        <w:rPr>
          <w:rFonts w:ascii="Arial" w:hAnsi="Arial" w:cs="Arial"/>
          <w:i/>
          <w:sz w:val="22"/>
          <w:szCs w:val="22"/>
          <w:lang w:val="es-ES_tradnl"/>
        </w:rPr>
        <w:t>derechos de incidencia colectiva que tienen por objeto bienes colectivos</w:t>
      </w:r>
      <w:r w:rsidRPr="00A62029">
        <w:rPr>
          <w:rFonts w:ascii="Arial" w:hAnsi="Arial" w:cs="Arial"/>
          <w:sz w:val="22"/>
          <w:szCs w:val="22"/>
          <w:lang w:val="es-ES_tradnl"/>
        </w:rPr>
        <w:t>, a los que caracteriza según “dos elementos de calificación que resultan prevalentes”, uno de los cuales es la “pluralidad de sujetos” y el otro “un bien que, como el ambiente, es de naturaleza colectiva”, precisando que “estos bienes no tienen por titulares a una pluralidad indeterminada de personas, ya que ello implicaría que si se determinara el sujeto en el proceso éste sería el titular, lo cual no es admisible” y que “Tampoco hay una comunidad en sentido técnico, ya que ello importaría la posibilidad de peticionar la extinción del régimen de cotitularidad”, para concluir en que “Estos bienes no pertenecen a la esfera individual sino social y no son divisibles en modo alguno”</w:t>
      </w:r>
      <w:r w:rsidRPr="00A62029">
        <w:rPr>
          <w:rStyle w:val="FootnoteReference"/>
          <w:rFonts w:ascii="Arial" w:hAnsi="Arial" w:cs="Arial"/>
          <w:sz w:val="22"/>
          <w:szCs w:val="22"/>
          <w:lang w:val="es-ES_tradnl"/>
        </w:rPr>
        <w:footnoteReference w:id="25"/>
      </w:r>
      <w:r w:rsidRPr="00A62029">
        <w:rPr>
          <w:rFonts w:ascii="Arial" w:hAnsi="Arial" w:cs="Arial"/>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Sin que pretendamos agotar los tipos de interés que son útiles para la comprensión de todo el fenómeno jurídico, nos basta, a los fines que nos propone este Congreso, tener clara la idea de las especies analizadas. </w:t>
      </w:r>
    </w:p>
    <w:p w:rsidR="00877ED0" w:rsidRPr="00A62029" w:rsidRDefault="00877ED0" w:rsidP="00A62029">
      <w:pPr>
        <w:pStyle w:val="NormalWeb"/>
        <w:spacing w:before="0" w:beforeAutospacing="0" w:after="0" w:afterAutospacing="0" w:line="360" w:lineRule="auto"/>
        <w:ind w:firstLine="708"/>
        <w:jc w:val="both"/>
        <w:rPr>
          <w:rFonts w:ascii="Arial" w:hAnsi="Arial" w:cs="Arial"/>
          <w:sz w:val="22"/>
          <w:szCs w:val="22"/>
          <w:lang w:val="es-ES_tradnl"/>
        </w:rPr>
      </w:pPr>
    </w:p>
    <w:p w:rsidR="00877ED0" w:rsidRPr="00A62029" w:rsidRDefault="00877ED0" w:rsidP="00A62029">
      <w:pPr>
        <w:pStyle w:val="NormalWeb"/>
        <w:numPr>
          <w:ilvl w:val="1"/>
          <w:numId w:val="4"/>
        </w:numPr>
        <w:tabs>
          <w:tab w:val="clear" w:pos="2148"/>
          <w:tab w:val="num" w:pos="-57"/>
        </w:tabs>
        <w:spacing w:before="0" w:beforeAutospacing="0" w:after="0" w:afterAutospacing="0" w:line="360" w:lineRule="auto"/>
        <w:ind w:left="0" w:firstLine="0"/>
        <w:jc w:val="both"/>
        <w:rPr>
          <w:rFonts w:ascii="Arial" w:hAnsi="Arial" w:cs="Arial"/>
          <w:b/>
          <w:bCs/>
          <w:i/>
          <w:iCs/>
          <w:sz w:val="22"/>
          <w:szCs w:val="22"/>
          <w:lang w:val="es-ES_tradnl"/>
        </w:rPr>
      </w:pPr>
      <w:r w:rsidRPr="00A62029">
        <w:rPr>
          <w:rFonts w:ascii="Arial" w:hAnsi="Arial" w:cs="Arial"/>
          <w:sz w:val="22"/>
          <w:szCs w:val="22"/>
          <w:lang w:val="es-ES_tradnl"/>
        </w:rPr>
        <w:t xml:space="preserve">LA PRETENSIÓN: </w:t>
      </w:r>
    </w:p>
    <w:p w:rsidR="00877ED0" w:rsidRPr="00A62029" w:rsidRDefault="00877ED0" w:rsidP="00A62029">
      <w:pPr>
        <w:pStyle w:val="NormalWeb"/>
        <w:spacing w:before="0" w:beforeAutospacing="0" w:after="0" w:afterAutospacing="0" w:line="360" w:lineRule="auto"/>
        <w:jc w:val="both"/>
        <w:rPr>
          <w:rFonts w:ascii="Arial" w:hAnsi="Arial" w:cs="Arial"/>
          <w:b/>
          <w:bCs/>
          <w:i/>
          <w:iCs/>
          <w:sz w:val="22"/>
          <w:szCs w:val="22"/>
          <w:lang w:val="es-ES_tradnl"/>
        </w:rPr>
      </w:pPr>
    </w:p>
    <w:p w:rsidR="00877ED0" w:rsidRPr="00A62029" w:rsidRDefault="00877ED0" w:rsidP="00A62029">
      <w:pPr>
        <w:pStyle w:val="NormalWeb"/>
        <w:numPr>
          <w:ilvl w:val="2"/>
          <w:numId w:val="4"/>
        </w:numPr>
        <w:spacing w:before="0" w:beforeAutospacing="0" w:after="0" w:afterAutospacing="0" w:line="360" w:lineRule="auto"/>
        <w:jc w:val="both"/>
        <w:rPr>
          <w:rFonts w:ascii="Arial" w:hAnsi="Arial" w:cs="Arial"/>
          <w:b/>
          <w:bCs/>
          <w:i/>
          <w:iCs/>
          <w:sz w:val="22"/>
          <w:szCs w:val="22"/>
          <w:lang w:val="es-ES_tradnl"/>
        </w:rPr>
      </w:pPr>
      <w:r w:rsidRPr="00A62029">
        <w:rPr>
          <w:rFonts w:ascii="Arial" w:hAnsi="Arial" w:cs="Arial"/>
          <w:i/>
          <w:iCs/>
          <w:sz w:val="22"/>
          <w:szCs w:val="22"/>
          <w:lang w:val="es-ES_tradnl"/>
        </w:rPr>
        <w:t>Concepto:</w:t>
      </w:r>
    </w:p>
    <w:p w:rsidR="00877ED0" w:rsidRPr="00A62029" w:rsidRDefault="00877ED0" w:rsidP="00A62029">
      <w:pPr>
        <w:pStyle w:val="NormalWeb"/>
        <w:spacing w:before="0" w:beforeAutospacing="0" w:after="0" w:afterAutospacing="0" w:line="360" w:lineRule="auto"/>
        <w:ind w:firstLine="2679"/>
        <w:jc w:val="both"/>
        <w:rPr>
          <w:rFonts w:ascii="Arial" w:hAnsi="Arial" w:cs="Arial"/>
          <w:i/>
          <w:iCs/>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i/>
          <w:iCs/>
          <w:sz w:val="22"/>
          <w:szCs w:val="22"/>
          <w:lang w:val="es-ES_tradnl"/>
        </w:rPr>
        <w:t xml:space="preserve">Anticipamos </w:t>
      </w:r>
      <w:r w:rsidRPr="00A62029">
        <w:rPr>
          <w:rFonts w:ascii="Arial" w:hAnsi="Arial" w:cs="Arial"/>
          <w:sz w:val="22"/>
          <w:szCs w:val="22"/>
          <w:lang w:val="es-ES_tradnl"/>
        </w:rPr>
        <w:t xml:space="preserve">que el </w:t>
      </w:r>
      <w:r w:rsidRPr="00A62029">
        <w:rPr>
          <w:rFonts w:ascii="Arial" w:hAnsi="Arial" w:cs="Arial"/>
          <w:i/>
          <w:iCs/>
          <w:sz w:val="22"/>
          <w:szCs w:val="22"/>
          <w:lang w:val="es-ES_tradnl"/>
        </w:rPr>
        <w:t xml:space="preserve">litigio </w:t>
      </w:r>
      <w:r w:rsidRPr="00A62029">
        <w:rPr>
          <w:rFonts w:ascii="Arial" w:hAnsi="Arial" w:cs="Arial"/>
          <w:sz w:val="22"/>
          <w:szCs w:val="22"/>
          <w:lang w:val="es-ES_tradnl"/>
        </w:rPr>
        <w:t xml:space="preserve">se caracteriza por agregar al </w:t>
      </w:r>
      <w:r w:rsidRPr="00A62029">
        <w:rPr>
          <w:rFonts w:ascii="Arial" w:hAnsi="Arial" w:cs="Arial"/>
          <w:i/>
          <w:iCs/>
          <w:sz w:val="22"/>
          <w:szCs w:val="22"/>
          <w:lang w:val="es-ES_tradnl"/>
        </w:rPr>
        <w:t xml:space="preserve">conflicto de intereses </w:t>
      </w:r>
      <w:r w:rsidRPr="00A62029">
        <w:rPr>
          <w:rFonts w:ascii="Arial" w:hAnsi="Arial" w:cs="Arial"/>
          <w:sz w:val="22"/>
          <w:szCs w:val="22"/>
          <w:lang w:val="es-ES_tradnl"/>
        </w:rPr>
        <w:t xml:space="preserve">una </w:t>
      </w:r>
      <w:r w:rsidRPr="00A62029">
        <w:rPr>
          <w:rFonts w:ascii="Arial" w:hAnsi="Arial" w:cs="Arial"/>
          <w:i/>
          <w:iCs/>
          <w:sz w:val="22"/>
          <w:szCs w:val="22"/>
          <w:lang w:val="es-ES_tradnl"/>
        </w:rPr>
        <w:t xml:space="preserve">actividad </w:t>
      </w:r>
      <w:r w:rsidRPr="00A62029">
        <w:rPr>
          <w:rFonts w:ascii="Arial" w:hAnsi="Arial" w:cs="Arial"/>
          <w:sz w:val="22"/>
          <w:szCs w:val="22"/>
          <w:lang w:val="es-ES_tradnl"/>
        </w:rPr>
        <w:t xml:space="preserve">dirigida a hacer prevalecer uno de los intereses enfrentados, subordinando el otro a la satisfacción del primero. Esa </w:t>
      </w:r>
      <w:r w:rsidRPr="00A62029">
        <w:rPr>
          <w:rFonts w:ascii="Arial" w:hAnsi="Arial" w:cs="Arial"/>
          <w:i/>
          <w:iCs/>
          <w:sz w:val="22"/>
          <w:szCs w:val="22"/>
          <w:lang w:val="es-ES_tradnl"/>
        </w:rPr>
        <w:t xml:space="preserve">actividad </w:t>
      </w:r>
      <w:r w:rsidRPr="00A62029">
        <w:rPr>
          <w:rFonts w:ascii="Arial" w:hAnsi="Arial" w:cs="Arial"/>
          <w:sz w:val="22"/>
          <w:szCs w:val="22"/>
          <w:lang w:val="es-ES_tradnl"/>
        </w:rPr>
        <w:t xml:space="preserve">es la </w:t>
      </w:r>
      <w:r w:rsidRPr="00A62029">
        <w:rPr>
          <w:rFonts w:ascii="Arial" w:hAnsi="Arial" w:cs="Arial"/>
          <w:i/>
          <w:iCs/>
          <w:sz w:val="22"/>
          <w:szCs w:val="22"/>
          <w:lang w:val="es-ES_tradnl"/>
        </w:rPr>
        <w:t xml:space="preserve">pretensión, </w:t>
      </w:r>
      <w:r w:rsidRPr="00A62029">
        <w:rPr>
          <w:rFonts w:ascii="Arial" w:hAnsi="Arial" w:cs="Arial"/>
          <w:sz w:val="22"/>
          <w:szCs w:val="22"/>
          <w:lang w:val="es-ES_tradnl"/>
        </w:rPr>
        <w:t xml:space="preserve">que se caracteriza por la </w:t>
      </w:r>
      <w:r w:rsidRPr="00A62029">
        <w:rPr>
          <w:rFonts w:ascii="Arial" w:hAnsi="Arial" w:cs="Arial"/>
          <w:i/>
          <w:iCs/>
          <w:sz w:val="22"/>
          <w:szCs w:val="22"/>
          <w:lang w:val="es-ES_tradnl"/>
        </w:rPr>
        <w:t xml:space="preserve">voluntad </w:t>
      </w:r>
      <w:r w:rsidRPr="00A62029">
        <w:rPr>
          <w:rFonts w:ascii="Arial" w:hAnsi="Arial" w:cs="Arial"/>
          <w:sz w:val="22"/>
          <w:szCs w:val="22"/>
          <w:lang w:val="es-ES_tradnl"/>
        </w:rPr>
        <w:t xml:space="preserve">de subordinar uno de los intereses en conflicto en beneficio del otro, que resulta predominante según la valoración impuesta normativamente.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La pretensión queda ubicada como </w:t>
      </w:r>
      <w:r w:rsidRPr="00A62029">
        <w:rPr>
          <w:rFonts w:ascii="Arial" w:hAnsi="Arial" w:cs="Arial"/>
          <w:i/>
          <w:iCs/>
          <w:sz w:val="22"/>
          <w:szCs w:val="22"/>
          <w:lang w:val="es-ES_tradnl"/>
        </w:rPr>
        <w:t xml:space="preserve">acto voluntario </w:t>
      </w:r>
      <w:r w:rsidRPr="00A62029">
        <w:rPr>
          <w:rFonts w:ascii="Arial" w:hAnsi="Arial" w:cs="Arial"/>
          <w:sz w:val="22"/>
          <w:szCs w:val="22"/>
          <w:lang w:val="es-ES_tradnl"/>
        </w:rPr>
        <w:t xml:space="preserve">-no como </w:t>
      </w:r>
      <w:r w:rsidRPr="00A62029">
        <w:rPr>
          <w:rFonts w:ascii="Arial" w:hAnsi="Arial" w:cs="Arial"/>
          <w:i/>
          <w:iCs/>
          <w:sz w:val="22"/>
          <w:szCs w:val="22"/>
          <w:lang w:val="es-ES_tradnl"/>
        </w:rPr>
        <w:t xml:space="preserve">interés protegido </w:t>
      </w:r>
      <w:r w:rsidRPr="00A62029">
        <w:rPr>
          <w:rFonts w:ascii="Arial" w:hAnsi="Arial" w:cs="Arial"/>
          <w:sz w:val="22"/>
          <w:szCs w:val="22"/>
          <w:lang w:val="es-ES_tradnl"/>
        </w:rPr>
        <w:t xml:space="preserve">o  como </w:t>
      </w:r>
      <w:r w:rsidRPr="00A62029">
        <w:rPr>
          <w:rFonts w:ascii="Arial" w:hAnsi="Arial" w:cs="Arial"/>
          <w:i/>
          <w:iCs/>
          <w:sz w:val="22"/>
          <w:szCs w:val="22"/>
          <w:lang w:val="es-ES_tradnl"/>
        </w:rPr>
        <w:t xml:space="preserve">derecho- </w:t>
      </w:r>
      <w:r w:rsidRPr="00A62029">
        <w:rPr>
          <w:rFonts w:ascii="Arial" w:hAnsi="Arial" w:cs="Arial"/>
          <w:sz w:val="22"/>
          <w:szCs w:val="22"/>
          <w:lang w:val="es-ES_tradnl"/>
        </w:rPr>
        <w:t xml:space="preserve">que se dirige a la satisfacción de un </w:t>
      </w:r>
      <w:r w:rsidRPr="00A62029">
        <w:rPr>
          <w:rFonts w:ascii="Arial" w:hAnsi="Arial" w:cs="Arial"/>
          <w:i/>
          <w:iCs/>
          <w:sz w:val="22"/>
          <w:szCs w:val="22"/>
          <w:lang w:val="es-ES_tradnl"/>
        </w:rPr>
        <w:t xml:space="preserve">interés protegido, </w:t>
      </w:r>
      <w:r w:rsidRPr="00A62029">
        <w:rPr>
          <w:rFonts w:ascii="Arial" w:hAnsi="Arial" w:cs="Arial"/>
          <w:sz w:val="22"/>
          <w:szCs w:val="22"/>
          <w:lang w:val="es-ES_tradnl"/>
        </w:rPr>
        <w:t xml:space="preserve">finalidad que puede alcanzar inmediatamente —aún por encima de su fundamento de hecho y de derecho- si el titular del interés subordinado </w:t>
      </w:r>
      <w:r w:rsidRPr="00A62029">
        <w:rPr>
          <w:rFonts w:ascii="Arial" w:hAnsi="Arial" w:cs="Arial"/>
          <w:i/>
          <w:iCs/>
          <w:sz w:val="22"/>
          <w:szCs w:val="22"/>
          <w:lang w:val="es-ES_tradnl"/>
        </w:rPr>
        <w:t xml:space="preserve">no la resiste </w:t>
      </w:r>
      <w:r w:rsidRPr="00A62029">
        <w:rPr>
          <w:rFonts w:ascii="Arial" w:hAnsi="Arial" w:cs="Arial"/>
          <w:sz w:val="22"/>
          <w:szCs w:val="22"/>
          <w:lang w:val="es-ES_tradnl"/>
        </w:rPr>
        <w:t xml:space="preserve">y se somete a ella.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La pretensión, cuando se hace valer extrajudicialmente, produce particulares efectos jurídicos</w:t>
      </w:r>
      <w:r w:rsidRPr="00A62029">
        <w:rPr>
          <w:rStyle w:val="FootnoteReference"/>
          <w:rFonts w:ascii="Arial" w:hAnsi="Arial" w:cs="Arial"/>
          <w:sz w:val="22"/>
          <w:szCs w:val="22"/>
          <w:lang w:val="es-ES_tradnl"/>
        </w:rPr>
        <w:footnoteReference w:id="26"/>
      </w:r>
      <w:r w:rsidRPr="00A62029">
        <w:rPr>
          <w:rFonts w:ascii="Arial" w:hAnsi="Arial" w:cs="Arial"/>
          <w:sz w:val="22"/>
          <w:szCs w:val="22"/>
          <w:lang w:val="es-ES_tradnl"/>
        </w:rPr>
        <w:t>, como la exigibilidad del crédito y la mora del deudor</w:t>
      </w:r>
      <w:r w:rsidRPr="00A62029">
        <w:rPr>
          <w:rStyle w:val="FootnoteReference"/>
          <w:rFonts w:ascii="Arial" w:hAnsi="Arial" w:cs="Arial"/>
          <w:sz w:val="22"/>
          <w:szCs w:val="22"/>
          <w:lang w:val="es-ES_tradnl"/>
        </w:rPr>
        <w:footnoteReference w:id="27"/>
      </w:r>
      <w:r w:rsidRPr="00A62029">
        <w:rPr>
          <w:rFonts w:ascii="Arial" w:hAnsi="Arial" w:cs="Arial"/>
          <w:sz w:val="22"/>
          <w:szCs w:val="22"/>
          <w:lang w:val="es-ES_tradnl"/>
        </w:rPr>
        <w:t xml:space="preserve"> o la suspensión de la prescripción liberatoria</w:t>
      </w:r>
      <w:r w:rsidRPr="00A62029">
        <w:rPr>
          <w:rStyle w:val="FootnoteReference"/>
          <w:rFonts w:ascii="Arial" w:hAnsi="Arial" w:cs="Arial"/>
          <w:sz w:val="22"/>
          <w:szCs w:val="22"/>
          <w:lang w:val="es-ES_tradnl"/>
        </w:rPr>
        <w:footnoteReference w:id="28"/>
      </w:r>
      <w:r w:rsidRPr="00A62029">
        <w:rPr>
          <w:rFonts w:ascii="Arial" w:hAnsi="Arial" w:cs="Arial"/>
          <w:sz w:val="22"/>
          <w:szCs w:val="22"/>
          <w:lang w:val="es-ES_tradnl"/>
        </w:rPr>
        <w:t>; asimismo, la abstención del titular de la pretensión produce particulares efectos jurídicos como es la prescripción del poder conferido por el orden jurídico para al alcanzar la tutela del interés protegido</w:t>
      </w:r>
      <w:r w:rsidRPr="00A62029">
        <w:rPr>
          <w:rStyle w:val="FootnoteReference"/>
          <w:rFonts w:ascii="Arial" w:hAnsi="Arial" w:cs="Arial"/>
          <w:sz w:val="22"/>
          <w:szCs w:val="22"/>
          <w:lang w:val="es-ES_tradnl"/>
        </w:rPr>
        <w:footnoteReference w:id="29"/>
      </w:r>
      <w:r w:rsidRPr="00A62029">
        <w:rPr>
          <w:rFonts w:ascii="Arial" w:hAnsi="Arial" w:cs="Arial"/>
          <w:sz w:val="22"/>
          <w:szCs w:val="22"/>
          <w:lang w:val="es-ES_tradnl"/>
        </w:rPr>
        <w:t xml:space="preserve"> o la caducidad de la acción que permite el acceso a la justicia estatal</w:t>
      </w:r>
      <w:r w:rsidRPr="00A62029">
        <w:rPr>
          <w:rStyle w:val="FootnoteReference"/>
          <w:rFonts w:ascii="Arial" w:hAnsi="Arial" w:cs="Arial"/>
          <w:sz w:val="22"/>
          <w:szCs w:val="22"/>
          <w:lang w:val="es-ES_tradnl"/>
        </w:rPr>
        <w:footnoteReference w:id="30"/>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La voluntaria subordinación del sujeto contra el que se dirige la pretensión evita el </w:t>
      </w:r>
      <w:r w:rsidRPr="00A62029">
        <w:rPr>
          <w:rFonts w:ascii="Arial" w:hAnsi="Arial" w:cs="Arial"/>
          <w:i/>
          <w:iCs/>
          <w:sz w:val="22"/>
          <w:szCs w:val="22"/>
          <w:lang w:val="es-ES_tradnl"/>
        </w:rPr>
        <w:t xml:space="preserve">litigio </w:t>
      </w:r>
      <w:r w:rsidRPr="00A62029">
        <w:rPr>
          <w:rFonts w:ascii="Arial" w:hAnsi="Arial" w:cs="Arial"/>
          <w:sz w:val="22"/>
          <w:szCs w:val="22"/>
          <w:lang w:val="es-ES_tradnl"/>
        </w:rPr>
        <w:t xml:space="preserve">y permite la actuación pacífica del derecho, sin intervención del órgano del Estado.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La </w:t>
      </w:r>
      <w:r w:rsidRPr="00A62029">
        <w:rPr>
          <w:rFonts w:ascii="Arial" w:hAnsi="Arial" w:cs="Arial"/>
          <w:i/>
          <w:iCs/>
          <w:sz w:val="22"/>
          <w:szCs w:val="22"/>
          <w:lang w:val="es-ES_tradnl"/>
        </w:rPr>
        <w:t xml:space="preserve">resistencia </w:t>
      </w:r>
      <w:r w:rsidRPr="00A62029">
        <w:rPr>
          <w:rFonts w:ascii="Arial" w:hAnsi="Arial" w:cs="Arial"/>
          <w:sz w:val="22"/>
          <w:szCs w:val="22"/>
          <w:lang w:val="es-ES_tradnl"/>
        </w:rPr>
        <w:t xml:space="preserve">a la pretensión, por el titular del interés que se pretende subordinar, hace nacer el </w:t>
      </w:r>
      <w:r w:rsidRPr="00A62029">
        <w:rPr>
          <w:rFonts w:ascii="Arial" w:hAnsi="Arial" w:cs="Arial"/>
          <w:b/>
          <w:bCs/>
          <w:i/>
          <w:iCs/>
          <w:sz w:val="22"/>
          <w:szCs w:val="22"/>
          <w:lang w:val="es-ES_tradnl"/>
        </w:rPr>
        <w:t xml:space="preserve">litigio, </w:t>
      </w:r>
      <w:r w:rsidRPr="00A62029">
        <w:rPr>
          <w:rFonts w:ascii="Arial" w:hAnsi="Arial" w:cs="Arial"/>
          <w:sz w:val="22"/>
          <w:szCs w:val="22"/>
          <w:lang w:val="es-ES_tradnl"/>
        </w:rPr>
        <w:t xml:space="preserve">el cual se integra con un elemento material, que es el </w:t>
      </w:r>
      <w:r w:rsidRPr="00A62029">
        <w:rPr>
          <w:rFonts w:ascii="Arial" w:hAnsi="Arial" w:cs="Arial"/>
          <w:i/>
          <w:iCs/>
          <w:sz w:val="22"/>
          <w:szCs w:val="22"/>
          <w:lang w:val="es-ES_tradnl"/>
        </w:rPr>
        <w:t>conflicto de intereses</w:t>
      </w:r>
      <w:r w:rsidRPr="00A62029">
        <w:rPr>
          <w:rFonts w:ascii="Arial" w:hAnsi="Arial" w:cs="Arial"/>
          <w:iCs/>
          <w:sz w:val="22"/>
          <w:szCs w:val="22"/>
          <w:lang w:val="es-ES_tradnl"/>
        </w:rPr>
        <w:t xml:space="preserve"> regido por una norma jurídica-</w:t>
      </w:r>
      <w:r w:rsidRPr="00A62029">
        <w:rPr>
          <w:rFonts w:ascii="Arial" w:hAnsi="Arial" w:cs="Arial"/>
          <w:i/>
          <w:iCs/>
          <w:sz w:val="22"/>
          <w:szCs w:val="22"/>
          <w:lang w:val="es-ES_tradnl"/>
        </w:rPr>
        <w:t xml:space="preserve">, y </w:t>
      </w:r>
      <w:r w:rsidRPr="00A62029">
        <w:rPr>
          <w:rFonts w:ascii="Arial" w:hAnsi="Arial" w:cs="Arial"/>
          <w:sz w:val="22"/>
          <w:szCs w:val="22"/>
          <w:lang w:val="es-ES_tradnl"/>
        </w:rPr>
        <w:t xml:space="preserve">otro formal que es el </w:t>
      </w:r>
      <w:r w:rsidRPr="00A62029">
        <w:rPr>
          <w:rFonts w:ascii="Arial" w:hAnsi="Arial" w:cs="Arial"/>
          <w:i/>
          <w:iCs/>
          <w:sz w:val="22"/>
          <w:szCs w:val="22"/>
          <w:lang w:val="es-ES_tradnl"/>
        </w:rPr>
        <w:t xml:space="preserve">conflicto de voluntades </w:t>
      </w:r>
      <w:r w:rsidRPr="00A62029">
        <w:rPr>
          <w:rFonts w:ascii="Arial" w:hAnsi="Arial" w:cs="Arial"/>
          <w:sz w:val="22"/>
          <w:szCs w:val="22"/>
          <w:lang w:val="es-ES_tradnl"/>
        </w:rPr>
        <w:t>o como lo anticipamos</w:t>
      </w:r>
      <w:r>
        <w:rPr>
          <w:rFonts w:ascii="Arial" w:hAnsi="Arial" w:cs="Arial"/>
          <w:sz w:val="22"/>
          <w:szCs w:val="22"/>
          <w:lang w:val="es-ES_tradnl"/>
        </w:rPr>
        <w:t>,</w:t>
      </w:r>
      <w:r w:rsidRPr="00A62029">
        <w:rPr>
          <w:rFonts w:ascii="Arial" w:hAnsi="Arial" w:cs="Arial"/>
          <w:sz w:val="22"/>
          <w:szCs w:val="22"/>
          <w:lang w:val="es-ES_tradnl"/>
        </w:rPr>
        <w:t xml:space="preserve"> de </w:t>
      </w:r>
      <w:r w:rsidRPr="00A62029">
        <w:rPr>
          <w:rFonts w:ascii="Arial" w:hAnsi="Arial" w:cs="Arial"/>
          <w:i/>
          <w:iCs/>
          <w:sz w:val="22"/>
          <w:szCs w:val="22"/>
          <w:lang w:val="es-ES_tradnl"/>
        </w:rPr>
        <w:t xml:space="preserve">actividades </w:t>
      </w:r>
      <w:r w:rsidRPr="00A62029">
        <w:rPr>
          <w:rFonts w:ascii="Arial" w:hAnsi="Arial" w:cs="Arial"/>
          <w:sz w:val="22"/>
          <w:szCs w:val="22"/>
          <w:lang w:val="es-ES_tradnl"/>
        </w:rPr>
        <w:t>–voluntarias-. Este fenómeno tiene lugar antes del proceso y constituye, según nuestra particular opinión, la causa eficiente de su existencia</w:t>
      </w:r>
      <w:r w:rsidRPr="00A62029">
        <w:rPr>
          <w:rStyle w:val="FootnoteReference"/>
          <w:rFonts w:ascii="Arial" w:hAnsi="Arial" w:cs="Arial"/>
          <w:sz w:val="22"/>
          <w:szCs w:val="22"/>
          <w:lang w:val="es-ES_tradnl"/>
        </w:rPr>
        <w:footnoteReference w:id="31"/>
      </w:r>
      <w:r w:rsidRPr="00A62029">
        <w:rPr>
          <w:rFonts w:ascii="Arial" w:hAnsi="Arial" w:cs="Arial"/>
          <w:sz w:val="22"/>
          <w:szCs w:val="22"/>
          <w:lang w:val="es-ES_tradnl"/>
        </w:rPr>
        <w:t xml:space="preserve">, puesto que de él nace lo que hemos denominado como </w:t>
      </w:r>
      <w:r w:rsidRPr="00A62029">
        <w:rPr>
          <w:rFonts w:ascii="Arial" w:hAnsi="Arial" w:cs="Arial"/>
          <w:i/>
          <w:sz w:val="22"/>
          <w:szCs w:val="22"/>
          <w:lang w:val="es-ES_tradnl"/>
        </w:rPr>
        <w:t xml:space="preserve">interés en </w:t>
      </w:r>
      <w:r w:rsidRPr="00A62029">
        <w:rPr>
          <w:rFonts w:ascii="Arial" w:hAnsi="Arial" w:cs="Arial"/>
          <w:sz w:val="22"/>
          <w:szCs w:val="22"/>
          <w:lang w:val="es-ES_tradnl"/>
        </w:rPr>
        <w:t xml:space="preserve">obrar e </w:t>
      </w:r>
      <w:r w:rsidRPr="00A62029">
        <w:rPr>
          <w:rFonts w:ascii="Arial" w:hAnsi="Arial" w:cs="Arial"/>
          <w:i/>
          <w:sz w:val="22"/>
          <w:szCs w:val="22"/>
          <w:lang w:val="es-ES_tradnl"/>
        </w:rPr>
        <w:t>interés en la resolución del conflicto</w:t>
      </w:r>
      <w:r w:rsidRPr="00A62029">
        <w:rPr>
          <w:rFonts w:ascii="Arial" w:hAnsi="Arial" w:cs="Arial"/>
          <w:sz w:val="22"/>
          <w:szCs w:val="22"/>
          <w:lang w:val="es-ES_tradnl"/>
        </w:rPr>
        <w:t xml:space="preserve">, aún en aquellos casos en que la ley impone su necesidad para la obtención de determinados efectos jurídicos –en previsión, precisamente, de la existencia de un </w:t>
      </w:r>
      <w:r w:rsidRPr="00A62029">
        <w:rPr>
          <w:rFonts w:ascii="Arial" w:hAnsi="Arial" w:cs="Arial"/>
          <w:i/>
          <w:sz w:val="22"/>
          <w:szCs w:val="22"/>
          <w:lang w:val="es-ES_tradnl"/>
        </w:rPr>
        <w:t>litigio-</w:t>
      </w:r>
      <w:r w:rsidRPr="00A62029">
        <w:rPr>
          <w:rFonts w:ascii="Arial" w:hAnsi="Arial" w:cs="Arial"/>
          <w:sz w:val="22"/>
          <w:szCs w:val="22"/>
          <w:lang w:val="es-ES_tradnl"/>
        </w:rPr>
        <w:t xml:space="preserve">. Solo los casos que han sido calificados como de </w:t>
      </w:r>
      <w:r w:rsidRPr="00A62029">
        <w:rPr>
          <w:rFonts w:ascii="Arial" w:hAnsi="Arial" w:cs="Arial"/>
          <w:i/>
          <w:sz w:val="22"/>
          <w:szCs w:val="22"/>
          <w:lang w:val="es-ES_tradnl"/>
        </w:rPr>
        <w:t>jurisdicción voluntaria</w:t>
      </w:r>
      <w:r w:rsidRPr="00A62029">
        <w:rPr>
          <w:rFonts w:ascii="Arial" w:hAnsi="Arial" w:cs="Arial"/>
          <w:sz w:val="22"/>
          <w:szCs w:val="22"/>
          <w:lang w:val="es-ES_tradnl"/>
        </w:rPr>
        <w:t xml:space="preserve">, no responden a la necesidad de componer un </w:t>
      </w:r>
      <w:r w:rsidRPr="00A62029">
        <w:rPr>
          <w:rFonts w:ascii="Arial" w:hAnsi="Arial" w:cs="Arial"/>
          <w:i/>
          <w:sz w:val="22"/>
          <w:szCs w:val="22"/>
          <w:lang w:val="es-ES_tradnl"/>
        </w:rPr>
        <w:t>litigio</w:t>
      </w:r>
      <w:r>
        <w:rPr>
          <w:rFonts w:ascii="Arial" w:hAnsi="Arial" w:cs="Arial"/>
          <w:i/>
          <w:sz w:val="22"/>
          <w:szCs w:val="22"/>
          <w:lang w:val="es-ES_tradnl"/>
        </w:rPr>
        <w:t xml:space="preserve"> </w:t>
      </w:r>
      <w:r>
        <w:rPr>
          <w:rFonts w:ascii="Arial" w:hAnsi="Arial" w:cs="Arial"/>
          <w:sz w:val="22"/>
          <w:szCs w:val="22"/>
          <w:lang w:val="es-ES_tradnl"/>
        </w:rPr>
        <w:t>actual</w:t>
      </w:r>
      <w:r w:rsidRPr="00A62029">
        <w:rPr>
          <w:rFonts w:ascii="Arial" w:hAnsi="Arial" w:cs="Arial"/>
          <w:sz w:val="22"/>
          <w:szCs w:val="22"/>
          <w:lang w:val="es-ES_tradnl"/>
        </w:rPr>
        <w:t>.</w:t>
      </w:r>
    </w:p>
    <w:p w:rsidR="00877ED0" w:rsidRPr="00A62029" w:rsidRDefault="00877ED0" w:rsidP="00A62029">
      <w:pPr>
        <w:pStyle w:val="NormalWeb"/>
        <w:spacing w:before="0" w:beforeAutospacing="0" w:after="0" w:afterAutospacing="0" w:line="360" w:lineRule="auto"/>
        <w:ind w:firstLine="2679"/>
        <w:jc w:val="both"/>
        <w:rPr>
          <w:rFonts w:ascii="Arial" w:hAnsi="Arial" w:cs="Arial"/>
          <w:b/>
          <w:sz w:val="22"/>
          <w:szCs w:val="22"/>
          <w:lang w:val="es-ES_tradnl"/>
        </w:rPr>
      </w:pPr>
    </w:p>
    <w:p w:rsidR="00877ED0" w:rsidRPr="00A62029" w:rsidRDefault="00877ED0" w:rsidP="00A62029">
      <w:pPr>
        <w:pStyle w:val="NormalWeb"/>
        <w:spacing w:before="0" w:beforeAutospacing="0" w:after="0" w:afterAutospacing="0" w:line="360" w:lineRule="auto"/>
        <w:ind w:firstLine="2679"/>
        <w:jc w:val="both"/>
        <w:rPr>
          <w:rFonts w:ascii="Arial" w:hAnsi="Arial" w:cs="Arial"/>
          <w:sz w:val="22"/>
          <w:szCs w:val="22"/>
          <w:lang w:val="es-ES_tradnl"/>
        </w:rPr>
      </w:pPr>
      <w:r w:rsidRPr="00A62029">
        <w:rPr>
          <w:rFonts w:ascii="Arial" w:hAnsi="Arial" w:cs="Arial"/>
          <w:b/>
          <w:sz w:val="22"/>
          <w:szCs w:val="22"/>
          <w:lang w:val="es-ES_tradnl"/>
        </w:rPr>
        <w:t>b)</w:t>
      </w:r>
      <w:r w:rsidRPr="00A62029">
        <w:rPr>
          <w:rFonts w:ascii="Arial" w:hAnsi="Arial" w:cs="Arial"/>
          <w:sz w:val="22"/>
          <w:szCs w:val="22"/>
          <w:lang w:val="es-ES_tradnl"/>
        </w:rPr>
        <w:t xml:space="preserve"> </w:t>
      </w:r>
      <w:r w:rsidRPr="00A62029">
        <w:rPr>
          <w:rFonts w:ascii="Arial" w:hAnsi="Arial" w:cs="Arial"/>
          <w:i/>
          <w:iCs/>
          <w:sz w:val="22"/>
          <w:szCs w:val="22"/>
          <w:lang w:val="es-ES_tradnl"/>
        </w:rPr>
        <w:t xml:space="preserve">Elementos:- </w:t>
      </w:r>
    </w:p>
    <w:p w:rsidR="00877ED0" w:rsidRPr="00A62029" w:rsidRDefault="00877ED0" w:rsidP="00A62029">
      <w:pPr>
        <w:pStyle w:val="NormalWeb"/>
        <w:spacing w:before="0" w:beforeAutospacing="0" w:after="0" w:afterAutospacing="0" w:line="360" w:lineRule="auto"/>
        <w:ind w:firstLine="2679"/>
        <w:jc w:val="both"/>
        <w:rPr>
          <w:rFonts w:ascii="Arial" w:hAnsi="Arial" w:cs="Arial"/>
          <w:i/>
          <w:iCs/>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i/>
          <w:iCs/>
          <w:sz w:val="22"/>
          <w:szCs w:val="22"/>
          <w:lang w:val="es-ES_tradnl"/>
        </w:rPr>
        <w:t xml:space="preserve">La </w:t>
      </w:r>
      <w:r w:rsidRPr="00A62029">
        <w:rPr>
          <w:rFonts w:ascii="Arial" w:hAnsi="Arial" w:cs="Arial"/>
          <w:sz w:val="22"/>
          <w:szCs w:val="22"/>
          <w:lang w:val="es-ES_tradnl"/>
        </w:rPr>
        <w:t xml:space="preserve">pretensión se íntegra con </w:t>
      </w:r>
      <w:r w:rsidRPr="00A62029">
        <w:rPr>
          <w:rFonts w:ascii="Arial" w:hAnsi="Arial" w:cs="Arial"/>
          <w:b/>
          <w:bCs/>
          <w:i/>
          <w:iCs/>
          <w:sz w:val="22"/>
          <w:szCs w:val="22"/>
          <w:lang w:val="es-ES_tradnl"/>
        </w:rPr>
        <w:t>tres elementos:</w:t>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ind w:firstLine="2679"/>
        <w:jc w:val="both"/>
        <w:rPr>
          <w:rFonts w:ascii="Arial" w:hAnsi="Arial" w:cs="Arial"/>
          <w:sz w:val="22"/>
          <w:szCs w:val="22"/>
          <w:lang w:val="es-ES_tradnl"/>
        </w:rPr>
      </w:pPr>
      <w:r w:rsidRPr="00A62029">
        <w:rPr>
          <w:rFonts w:ascii="Arial" w:hAnsi="Arial" w:cs="Arial"/>
          <w:sz w:val="22"/>
          <w:szCs w:val="22"/>
          <w:lang w:val="es-ES_tradnl"/>
        </w:rPr>
        <w:t xml:space="preserve">1. </w:t>
      </w:r>
      <w:r w:rsidRPr="00A62029">
        <w:rPr>
          <w:rFonts w:ascii="Arial" w:hAnsi="Arial" w:cs="Arial"/>
          <w:i/>
          <w:iCs/>
          <w:sz w:val="22"/>
          <w:szCs w:val="22"/>
          <w:lang w:val="es-ES_tradnl"/>
        </w:rPr>
        <w:t xml:space="preserve">Subjetivo: </w:t>
      </w:r>
      <w:r w:rsidRPr="00A62029">
        <w:rPr>
          <w:rFonts w:ascii="Arial" w:hAnsi="Arial" w:cs="Arial"/>
          <w:sz w:val="22"/>
          <w:szCs w:val="22"/>
          <w:lang w:val="es-ES_tradnl"/>
        </w:rPr>
        <w:t xml:space="preserve">el </w:t>
      </w:r>
      <w:r w:rsidRPr="00A62029">
        <w:rPr>
          <w:rFonts w:ascii="Arial" w:hAnsi="Arial" w:cs="Arial"/>
          <w:i/>
          <w:iCs/>
          <w:sz w:val="22"/>
          <w:szCs w:val="22"/>
          <w:lang w:val="es-ES_tradnl"/>
        </w:rPr>
        <w:t xml:space="preserve">sujeto </w:t>
      </w:r>
      <w:r w:rsidRPr="00A62029">
        <w:rPr>
          <w:rFonts w:ascii="Arial" w:hAnsi="Arial" w:cs="Arial"/>
          <w:sz w:val="22"/>
          <w:szCs w:val="22"/>
          <w:lang w:val="es-ES_tradnl"/>
        </w:rPr>
        <w:t xml:space="preserve">pretendiente y el </w:t>
      </w:r>
      <w:r w:rsidRPr="00A62029">
        <w:rPr>
          <w:rFonts w:ascii="Arial" w:hAnsi="Arial" w:cs="Arial"/>
          <w:i/>
          <w:iCs/>
          <w:sz w:val="22"/>
          <w:szCs w:val="22"/>
          <w:lang w:val="es-ES_tradnl"/>
        </w:rPr>
        <w:t xml:space="preserve">sujeto </w:t>
      </w:r>
      <w:r w:rsidRPr="00A62029">
        <w:rPr>
          <w:rFonts w:ascii="Arial" w:hAnsi="Arial" w:cs="Arial"/>
          <w:sz w:val="22"/>
          <w:szCs w:val="22"/>
          <w:lang w:val="es-ES_tradnl"/>
        </w:rPr>
        <w:t xml:space="preserve">contra el cual se pretende </w:t>
      </w:r>
      <w:r w:rsidRPr="00A62029">
        <w:rPr>
          <w:rFonts w:ascii="Arial" w:hAnsi="Arial" w:cs="Arial"/>
          <w:i/>
          <w:iCs/>
          <w:sz w:val="22"/>
          <w:szCs w:val="22"/>
          <w:lang w:val="es-ES_tradnl"/>
        </w:rPr>
        <w:t xml:space="preserve">-activo </w:t>
      </w:r>
      <w:r w:rsidRPr="00A62029">
        <w:rPr>
          <w:rFonts w:ascii="Arial" w:hAnsi="Arial" w:cs="Arial"/>
          <w:sz w:val="22"/>
          <w:szCs w:val="22"/>
          <w:lang w:val="es-ES_tradnl"/>
        </w:rPr>
        <w:t xml:space="preserve">y </w:t>
      </w:r>
      <w:r w:rsidRPr="00A62029">
        <w:rPr>
          <w:rFonts w:ascii="Arial" w:hAnsi="Arial" w:cs="Arial"/>
          <w:i/>
          <w:iCs/>
          <w:sz w:val="22"/>
          <w:szCs w:val="22"/>
          <w:lang w:val="es-ES_tradnl"/>
        </w:rPr>
        <w:t xml:space="preserve">pasivo, </w:t>
      </w:r>
      <w:r w:rsidRPr="00A62029">
        <w:rPr>
          <w:rFonts w:ascii="Arial" w:hAnsi="Arial" w:cs="Arial"/>
          <w:sz w:val="22"/>
          <w:szCs w:val="22"/>
          <w:lang w:val="es-ES_tradnl"/>
        </w:rPr>
        <w:t>respectivamente-;</w:t>
      </w:r>
    </w:p>
    <w:p w:rsidR="00877ED0" w:rsidRPr="00A62029" w:rsidRDefault="00877ED0" w:rsidP="00A62029">
      <w:pPr>
        <w:pStyle w:val="NormalWeb"/>
        <w:spacing w:before="0" w:beforeAutospacing="0" w:after="0" w:afterAutospacing="0" w:line="360" w:lineRule="auto"/>
        <w:ind w:firstLine="2679"/>
        <w:jc w:val="both"/>
        <w:rPr>
          <w:rFonts w:ascii="Arial" w:hAnsi="Arial" w:cs="Arial"/>
          <w:sz w:val="22"/>
          <w:szCs w:val="22"/>
          <w:lang w:val="es-ES_tradnl"/>
        </w:rPr>
      </w:pPr>
      <w:r w:rsidRPr="00A62029">
        <w:rPr>
          <w:rFonts w:ascii="Arial" w:hAnsi="Arial" w:cs="Arial"/>
          <w:sz w:val="22"/>
          <w:szCs w:val="22"/>
          <w:lang w:val="es-ES_tradnl"/>
        </w:rPr>
        <w:t xml:space="preserve">2. </w:t>
      </w:r>
      <w:r w:rsidRPr="00A62029">
        <w:rPr>
          <w:rFonts w:ascii="Arial" w:hAnsi="Arial" w:cs="Arial"/>
          <w:i/>
          <w:iCs/>
          <w:sz w:val="22"/>
          <w:szCs w:val="22"/>
          <w:lang w:val="es-ES_tradnl"/>
        </w:rPr>
        <w:t xml:space="preserve">Objetivo: </w:t>
      </w:r>
      <w:r w:rsidRPr="00A62029">
        <w:rPr>
          <w:rFonts w:ascii="Arial" w:hAnsi="Arial" w:cs="Arial"/>
          <w:sz w:val="22"/>
          <w:szCs w:val="22"/>
          <w:lang w:val="es-ES_tradnl"/>
        </w:rPr>
        <w:t>el bien de la vida que es el medio de satisfacer una necesidad y que el pretendiente persigue obtener a través del ejercicio de la pretensión</w:t>
      </w:r>
      <w:r w:rsidRPr="00A62029">
        <w:rPr>
          <w:rStyle w:val="FootnoteReference"/>
          <w:rFonts w:ascii="Arial" w:hAnsi="Arial" w:cs="Arial"/>
          <w:sz w:val="22"/>
          <w:szCs w:val="22"/>
          <w:lang w:val="es-ES_tradnl"/>
        </w:rPr>
        <w:footnoteReference w:id="32"/>
      </w:r>
      <w:r w:rsidRPr="00A62029">
        <w:rPr>
          <w:rFonts w:ascii="Arial" w:hAnsi="Arial" w:cs="Arial"/>
          <w:sz w:val="22"/>
          <w:szCs w:val="22"/>
          <w:lang w:val="es-ES_tradnl"/>
        </w:rPr>
        <w:t>;</w:t>
      </w:r>
    </w:p>
    <w:p w:rsidR="00877ED0" w:rsidRPr="00A62029" w:rsidRDefault="00877ED0" w:rsidP="00A62029">
      <w:pPr>
        <w:pStyle w:val="NormalWeb"/>
        <w:spacing w:before="0" w:beforeAutospacing="0" w:after="0" w:afterAutospacing="0" w:line="360" w:lineRule="auto"/>
        <w:ind w:firstLine="2679"/>
        <w:jc w:val="both"/>
        <w:rPr>
          <w:rFonts w:ascii="Arial" w:hAnsi="Arial" w:cs="Arial"/>
          <w:sz w:val="22"/>
          <w:szCs w:val="22"/>
          <w:lang w:val="es-ES_tradnl"/>
        </w:rPr>
      </w:pPr>
      <w:r w:rsidRPr="00A62029">
        <w:rPr>
          <w:rFonts w:ascii="Arial" w:hAnsi="Arial" w:cs="Arial"/>
          <w:sz w:val="22"/>
          <w:szCs w:val="22"/>
          <w:lang w:val="es-ES_tradnl"/>
        </w:rPr>
        <w:t xml:space="preserve">3. </w:t>
      </w:r>
      <w:r w:rsidRPr="00A62029">
        <w:rPr>
          <w:rFonts w:ascii="Arial" w:hAnsi="Arial" w:cs="Arial"/>
          <w:i/>
          <w:iCs/>
          <w:sz w:val="22"/>
          <w:szCs w:val="22"/>
          <w:lang w:val="es-ES_tradnl"/>
        </w:rPr>
        <w:t xml:space="preserve">Causal: </w:t>
      </w:r>
      <w:r w:rsidRPr="00A62029">
        <w:rPr>
          <w:rFonts w:ascii="Arial" w:hAnsi="Arial" w:cs="Arial"/>
          <w:sz w:val="22"/>
          <w:szCs w:val="22"/>
          <w:lang w:val="es-ES_tradnl"/>
        </w:rPr>
        <w:t xml:space="preserve">que tiene relación con el fundamento o las </w:t>
      </w:r>
      <w:r w:rsidRPr="00A62029">
        <w:rPr>
          <w:rFonts w:ascii="Arial" w:hAnsi="Arial" w:cs="Arial"/>
          <w:i/>
          <w:iCs/>
          <w:sz w:val="22"/>
          <w:szCs w:val="22"/>
          <w:lang w:val="es-ES_tradnl"/>
        </w:rPr>
        <w:t xml:space="preserve">razones </w:t>
      </w:r>
      <w:r w:rsidRPr="00A62029">
        <w:rPr>
          <w:rFonts w:ascii="Arial" w:hAnsi="Arial" w:cs="Arial"/>
          <w:sz w:val="22"/>
          <w:szCs w:val="22"/>
          <w:lang w:val="es-ES_tradnl"/>
        </w:rPr>
        <w:t xml:space="preserve">que se expresan o se </w:t>
      </w:r>
      <w:r w:rsidRPr="00A62029">
        <w:rPr>
          <w:rFonts w:ascii="Arial" w:hAnsi="Arial" w:cs="Arial"/>
          <w:i/>
          <w:sz w:val="22"/>
          <w:szCs w:val="22"/>
          <w:lang w:val="es-ES_tradnl"/>
        </w:rPr>
        <w:t xml:space="preserve">afirman </w:t>
      </w:r>
      <w:r w:rsidRPr="00A62029">
        <w:rPr>
          <w:rFonts w:ascii="Arial" w:hAnsi="Arial" w:cs="Arial"/>
          <w:sz w:val="22"/>
          <w:szCs w:val="22"/>
          <w:lang w:val="es-ES_tradnl"/>
        </w:rPr>
        <w:t>para legitimar la pretensión dentro de un ordenamiento jurídico determinado, exhibiendo la tutela que las normas que integran ese orden le confieren</w:t>
      </w:r>
      <w:r>
        <w:rPr>
          <w:rFonts w:ascii="Arial" w:hAnsi="Arial" w:cs="Arial"/>
          <w:sz w:val="22"/>
          <w:szCs w:val="22"/>
          <w:lang w:val="es-ES_tradnl"/>
        </w:rPr>
        <w:t>. E</w:t>
      </w:r>
      <w:r w:rsidRPr="00A62029">
        <w:rPr>
          <w:rFonts w:ascii="Arial" w:hAnsi="Arial" w:cs="Arial"/>
          <w:sz w:val="22"/>
          <w:szCs w:val="22"/>
          <w:lang w:val="es-ES_tradnl"/>
        </w:rPr>
        <w:t>n razón que dicha tutela se confiere a determinados intereses manifestados en situaciones de hecho singulares que son descriptas por las normas legales sustanciales y que operan como condición de la tutela conferida</w:t>
      </w:r>
      <w:r>
        <w:rPr>
          <w:rFonts w:ascii="Arial" w:hAnsi="Arial" w:cs="Arial"/>
          <w:sz w:val="22"/>
          <w:szCs w:val="22"/>
          <w:lang w:val="es-ES_tradnl"/>
        </w:rPr>
        <w:t>, l</w:t>
      </w:r>
      <w:r w:rsidRPr="00A62029">
        <w:rPr>
          <w:rFonts w:ascii="Arial" w:hAnsi="Arial" w:cs="Arial"/>
          <w:sz w:val="22"/>
          <w:szCs w:val="22"/>
          <w:lang w:val="es-ES_tradnl"/>
        </w:rPr>
        <w:t xml:space="preserve">a legitimidad de una pretensión surgirá, necesariamente, de la vinculación del hecho, fuente del interés que se persigue proteger, con una determinada norma legal; de allí que la pretensión deberá contar con </w:t>
      </w:r>
      <w:r w:rsidRPr="00A62029">
        <w:rPr>
          <w:rFonts w:ascii="Arial" w:hAnsi="Arial" w:cs="Arial"/>
          <w:i/>
          <w:iCs/>
          <w:sz w:val="22"/>
          <w:szCs w:val="22"/>
          <w:lang w:val="es-ES_tradnl"/>
        </w:rPr>
        <w:t xml:space="preserve">razones de hecho </w:t>
      </w:r>
      <w:r w:rsidRPr="00A62029">
        <w:rPr>
          <w:rFonts w:ascii="Arial" w:hAnsi="Arial" w:cs="Arial"/>
          <w:sz w:val="22"/>
          <w:szCs w:val="22"/>
          <w:lang w:val="es-ES_tradnl"/>
        </w:rPr>
        <w:t xml:space="preserve">y </w:t>
      </w:r>
      <w:r w:rsidRPr="00A62029">
        <w:rPr>
          <w:rFonts w:ascii="Arial" w:hAnsi="Arial" w:cs="Arial"/>
          <w:i/>
          <w:iCs/>
          <w:sz w:val="22"/>
          <w:szCs w:val="22"/>
          <w:lang w:val="es-ES_tradnl"/>
        </w:rPr>
        <w:t xml:space="preserve">razones de derecho, </w:t>
      </w:r>
      <w:r w:rsidRPr="00A62029">
        <w:rPr>
          <w:rFonts w:ascii="Arial" w:hAnsi="Arial" w:cs="Arial"/>
          <w:sz w:val="22"/>
          <w:szCs w:val="22"/>
          <w:lang w:val="es-ES_tradnl"/>
        </w:rPr>
        <w:t xml:space="preserve">de cuya conjunción se extraerá su legitimidad -su protección dentro de un ordenamiento legal singular- </w:t>
      </w:r>
    </w:p>
    <w:p w:rsidR="00877ED0" w:rsidRPr="00A62029" w:rsidRDefault="00877ED0" w:rsidP="00A62029">
      <w:pPr>
        <w:pStyle w:val="NormalWeb"/>
        <w:spacing w:before="0" w:beforeAutospacing="0" w:after="0" w:afterAutospacing="0" w:line="360" w:lineRule="auto"/>
        <w:ind w:firstLine="2679"/>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Adviértase que el elemento causal no requiere de la efectiva existencia del hecho que se </w:t>
      </w:r>
      <w:r w:rsidRPr="00A62029">
        <w:rPr>
          <w:rFonts w:ascii="Arial" w:hAnsi="Arial" w:cs="Arial"/>
          <w:i/>
          <w:sz w:val="22"/>
          <w:szCs w:val="22"/>
          <w:lang w:val="es-ES_tradnl"/>
        </w:rPr>
        <w:t xml:space="preserve">afirma </w:t>
      </w:r>
      <w:r w:rsidRPr="00A62029">
        <w:rPr>
          <w:rFonts w:ascii="Arial" w:hAnsi="Arial" w:cs="Arial"/>
          <w:sz w:val="22"/>
          <w:szCs w:val="22"/>
          <w:lang w:val="es-ES_tradnl"/>
        </w:rPr>
        <w:t xml:space="preserve">contemplado en una norma del ordenamiento jurídico, del que se deriva la legitimidad del interés cuyo predominio se reclama y la exigibilidad de la subordinación que se requiere, puesto que la pretensión tiene eficacia con independencia de que el derecho que con ella se hace valer tenga efectiva existencia en la realidad jurídica e incluso, en el plano extrajudicial, con </w:t>
      </w:r>
      <w:r>
        <w:rPr>
          <w:rFonts w:ascii="Arial" w:hAnsi="Arial" w:cs="Arial"/>
          <w:sz w:val="22"/>
          <w:szCs w:val="22"/>
          <w:lang w:val="es-ES_tradnl"/>
        </w:rPr>
        <w:t xml:space="preserve">abstracción de </w:t>
      </w:r>
      <w:r w:rsidRPr="00A62029">
        <w:rPr>
          <w:rFonts w:ascii="Arial" w:hAnsi="Arial" w:cs="Arial"/>
          <w:sz w:val="22"/>
          <w:szCs w:val="22"/>
          <w:lang w:val="es-ES_tradnl"/>
        </w:rPr>
        <w:t xml:space="preserve">la </w:t>
      </w:r>
      <w:r w:rsidRPr="00A62029">
        <w:rPr>
          <w:rFonts w:ascii="Arial" w:hAnsi="Arial" w:cs="Arial"/>
          <w:i/>
          <w:sz w:val="22"/>
          <w:szCs w:val="22"/>
          <w:lang w:val="es-ES_tradnl"/>
        </w:rPr>
        <w:t xml:space="preserve">afirmación </w:t>
      </w:r>
      <w:r w:rsidRPr="00A62029">
        <w:rPr>
          <w:rFonts w:ascii="Arial" w:hAnsi="Arial" w:cs="Arial"/>
          <w:sz w:val="22"/>
          <w:szCs w:val="22"/>
          <w:lang w:val="es-ES_tradnl"/>
        </w:rPr>
        <w:t>de las razones de hecho y de derecho en las que se funda dicha legitimidad</w:t>
      </w:r>
      <w:r w:rsidRPr="00A62029">
        <w:rPr>
          <w:rStyle w:val="FootnoteReference"/>
          <w:rFonts w:ascii="Arial" w:hAnsi="Arial" w:cs="Arial"/>
          <w:i/>
          <w:sz w:val="22"/>
          <w:szCs w:val="22"/>
          <w:lang w:val="es-ES_tradnl"/>
        </w:rPr>
        <w:footnoteReference w:id="33"/>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De allí que los elementos enunciados no se encuentren todos en un mismo plano como integrantes de la pretensión; los </w:t>
      </w:r>
      <w:r w:rsidRPr="00A62029">
        <w:rPr>
          <w:rFonts w:ascii="Arial" w:hAnsi="Arial" w:cs="Arial"/>
          <w:b/>
          <w:bCs/>
          <w:sz w:val="22"/>
          <w:szCs w:val="22"/>
          <w:lang w:val="es-ES_tradnl"/>
        </w:rPr>
        <w:t xml:space="preserve">dos primeros </w:t>
      </w:r>
      <w:r w:rsidRPr="00A62029">
        <w:rPr>
          <w:rFonts w:ascii="Arial" w:hAnsi="Arial" w:cs="Arial"/>
          <w:sz w:val="22"/>
          <w:szCs w:val="22"/>
          <w:lang w:val="es-ES_tradnl"/>
        </w:rPr>
        <w:t xml:space="preserve">son estrictamente necesarios y no pueden faltar para que una pretensión singular se entienda ejercida y produzca efectos jurídicos —por ejemplo, reiteramos, constitución en mora (artículo 509, 2° párrf, Cód. Civ.), interrupción de la prescripción (artículo 3986, 2° párrafo, Cód civ.); etc.-; el </w:t>
      </w:r>
      <w:r w:rsidRPr="00A62029">
        <w:rPr>
          <w:rFonts w:ascii="Arial" w:hAnsi="Arial" w:cs="Arial"/>
          <w:b/>
          <w:bCs/>
          <w:sz w:val="22"/>
          <w:szCs w:val="22"/>
          <w:lang w:val="es-ES_tradnl"/>
        </w:rPr>
        <w:t xml:space="preserve">tercero </w:t>
      </w:r>
      <w:r w:rsidRPr="00A62029">
        <w:rPr>
          <w:rFonts w:ascii="Arial" w:hAnsi="Arial" w:cs="Arial"/>
          <w:sz w:val="22"/>
          <w:szCs w:val="22"/>
          <w:lang w:val="es-ES_tradnl"/>
        </w:rPr>
        <w:t>puede estar implícito cuando los dos primeros son suficientes para individualizar la situación jurídica en las que se enmarcan aquellos</w:t>
      </w:r>
      <w:r w:rsidRPr="00A62029">
        <w:rPr>
          <w:rStyle w:val="FootnoteReference"/>
          <w:rFonts w:ascii="Arial" w:hAnsi="Arial" w:cs="Arial"/>
          <w:sz w:val="22"/>
          <w:szCs w:val="22"/>
          <w:lang w:val="es-ES_tradnl"/>
        </w:rPr>
        <w:footnoteReference w:id="34"/>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Basta que un sujeto exija un bien de la vida de otro para que se tenga una pretensión; las </w:t>
      </w:r>
      <w:r w:rsidRPr="00A62029">
        <w:rPr>
          <w:rFonts w:ascii="Arial" w:hAnsi="Arial" w:cs="Arial"/>
          <w:b/>
          <w:bCs/>
          <w:i/>
          <w:iCs/>
          <w:sz w:val="22"/>
          <w:szCs w:val="22"/>
          <w:lang w:val="es-ES_tradnl"/>
        </w:rPr>
        <w:t xml:space="preserve">razones </w:t>
      </w:r>
      <w:r w:rsidRPr="00A62029">
        <w:rPr>
          <w:rFonts w:ascii="Arial" w:hAnsi="Arial" w:cs="Arial"/>
          <w:sz w:val="22"/>
          <w:szCs w:val="22"/>
          <w:lang w:val="es-ES_tradnl"/>
        </w:rPr>
        <w:t>que convergen a legitimarla integran los requisitos que las normas procesales imponen a su proyección en el proceso judicial, pero en modo alguno condicionan el ejercicio extrajudicial de la pretensión</w:t>
      </w:r>
      <w:r w:rsidRPr="00A62029">
        <w:rPr>
          <w:rStyle w:val="FootnoteReference"/>
          <w:rFonts w:ascii="Arial" w:hAnsi="Arial" w:cs="Arial"/>
          <w:sz w:val="22"/>
          <w:szCs w:val="22"/>
          <w:lang w:val="es-ES_tradnl"/>
        </w:rPr>
        <w:footnoteReference w:id="35"/>
      </w:r>
      <w:r w:rsidRPr="00A62029">
        <w:rPr>
          <w:rFonts w:ascii="Arial" w:hAnsi="Arial" w:cs="Arial"/>
          <w:sz w:val="22"/>
          <w:szCs w:val="22"/>
          <w:lang w:val="es-ES_tradnl"/>
        </w:rPr>
        <w:t xml:space="preserve">, salvo en aquellos casos en que venga exigida por expresas normas legales.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Lo mismo cabe afirmar de la </w:t>
      </w:r>
      <w:r w:rsidRPr="00A62029">
        <w:rPr>
          <w:rFonts w:ascii="Arial" w:hAnsi="Arial" w:cs="Arial"/>
          <w:i/>
          <w:sz w:val="22"/>
          <w:szCs w:val="22"/>
          <w:lang w:val="es-ES_tradnl"/>
        </w:rPr>
        <w:t xml:space="preserve">resistencia </w:t>
      </w:r>
      <w:r w:rsidRPr="00A62029">
        <w:rPr>
          <w:rFonts w:ascii="Arial" w:hAnsi="Arial" w:cs="Arial"/>
          <w:sz w:val="22"/>
          <w:szCs w:val="22"/>
          <w:lang w:val="es-ES_tradnl"/>
        </w:rPr>
        <w:t xml:space="preserve">que el sujeto pasivo de la pretensión puede oponer a la exigencia de subordinación de su interés. Puede aquella ir acompañada o no, cuando la pretensión ha sido formulada extrajudicialmente, de </w:t>
      </w:r>
      <w:r w:rsidRPr="00A62029">
        <w:rPr>
          <w:rFonts w:ascii="Arial" w:hAnsi="Arial" w:cs="Arial"/>
          <w:i/>
          <w:sz w:val="22"/>
          <w:szCs w:val="22"/>
          <w:lang w:val="es-ES_tradnl"/>
        </w:rPr>
        <w:t xml:space="preserve">razones, </w:t>
      </w:r>
      <w:r w:rsidRPr="00A62029">
        <w:rPr>
          <w:rFonts w:ascii="Arial" w:hAnsi="Arial" w:cs="Arial"/>
          <w:sz w:val="22"/>
          <w:szCs w:val="22"/>
          <w:lang w:val="es-ES_tradnl"/>
        </w:rPr>
        <w:t xml:space="preserve">de hecho y de derecho, o limitarse a una simple </w:t>
      </w:r>
      <w:r w:rsidRPr="00A62029">
        <w:rPr>
          <w:rFonts w:ascii="Arial" w:hAnsi="Arial" w:cs="Arial"/>
          <w:i/>
          <w:sz w:val="22"/>
          <w:szCs w:val="22"/>
          <w:lang w:val="es-ES_tradnl"/>
        </w:rPr>
        <w:t xml:space="preserve">negativa </w:t>
      </w:r>
      <w:r w:rsidRPr="00A62029">
        <w:rPr>
          <w:rFonts w:ascii="Arial" w:hAnsi="Arial" w:cs="Arial"/>
          <w:sz w:val="22"/>
          <w:szCs w:val="22"/>
          <w:lang w:val="es-ES_tradnl"/>
        </w:rPr>
        <w:t xml:space="preserve">de sometimiento a la voluntad del pretensor, con lo cual nacerá una </w:t>
      </w:r>
      <w:r w:rsidRPr="00A62029">
        <w:rPr>
          <w:rFonts w:ascii="Arial" w:hAnsi="Arial" w:cs="Arial"/>
          <w:i/>
          <w:sz w:val="22"/>
          <w:szCs w:val="22"/>
          <w:lang w:val="es-ES_tradnl"/>
        </w:rPr>
        <w:t>ltiis</w:t>
      </w:r>
      <w:r w:rsidRPr="00A62029">
        <w:rPr>
          <w:rFonts w:ascii="Arial" w:hAnsi="Arial" w:cs="Arial"/>
          <w:sz w:val="22"/>
          <w:szCs w:val="22"/>
          <w:lang w:val="es-ES_tradnl"/>
        </w:rPr>
        <w:t xml:space="preserve">, que requerirá la intervención de un órgano del Estado para que, presentadas las </w:t>
      </w:r>
      <w:r w:rsidRPr="00A62029">
        <w:rPr>
          <w:rFonts w:ascii="Arial" w:hAnsi="Arial" w:cs="Arial"/>
          <w:i/>
          <w:sz w:val="22"/>
          <w:szCs w:val="22"/>
          <w:lang w:val="es-ES_tradnl"/>
        </w:rPr>
        <w:t>razones</w:t>
      </w:r>
      <w:r w:rsidRPr="00A62029">
        <w:rPr>
          <w:rFonts w:ascii="Arial" w:hAnsi="Arial" w:cs="Arial"/>
          <w:sz w:val="22"/>
          <w:szCs w:val="22"/>
          <w:lang w:val="es-ES_tradnl"/>
        </w:rPr>
        <w:t xml:space="preserve"> de la pretensión y de la resistencia –según lo exigen las normas procesales- decida cuál de ellas goza de legitimidad, es decir, de protección del ordenamiento jurídico.</w:t>
      </w:r>
    </w:p>
    <w:p w:rsidR="00877ED0" w:rsidRPr="00A62029" w:rsidRDefault="00877ED0" w:rsidP="00A62029">
      <w:pPr>
        <w:pStyle w:val="NormalWeb"/>
        <w:spacing w:before="0" w:beforeAutospacing="0" w:after="0" w:afterAutospacing="0" w:line="360" w:lineRule="auto"/>
        <w:ind w:firstLine="2679"/>
        <w:jc w:val="both"/>
        <w:rPr>
          <w:rFonts w:ascii="Arial" w:hAnsi="Arial" w:cs="Arial"/>
          <w:b/>
          <w:sz w:val="22"/>
          <w:szCs w:val="22"/>
          <w:lang w:val="es-ES_tradnl"/>
        </w:rPr>
      </w:pPr>
    </w:p>
    <w:p w:rsidR="00877ED0" w:rsidRPr="00900239" w:rsidRDefault="00877ED0" w:rsidP="00A62029">
      <w:pPr>
        <w:pStyle w:val="NormalWeb"/>
        <w:spacing w:before="0" w:beforeAutospacing="0" w:after="0" w:afterAutospacing="0" w:line="360" w:lineRule="auto"/>
        <w:jc w:val="both"/>
        <w:rPr>
          <w:rFonts w:ascii="Arial" w:hAnsi="Arial" w:cs="Arial"/>
          <w:b/>
          <w:sz w:val="22"/>
          <w:szCs w:val="22"/>
          <w:lang w:val="es-ES_tradnl"/>
        </w:rPr>
      </w:pPr>
      <w:r>
        <w:rPr>
          <w:rFonts w:ascii="Arial" w:hAnsi="Arial" w:cs="Arial"/>
          <w:b/>
          <w:sz w:val="22"/>
          <w:szCs w:val="22"/>
          <w:lang w:val="es-ES_tradnl"/>
        </w:rPr>
        <w:t>II</w:t>
      </w:r>
      <w:r w:rsidRPr="00900239">
        <w:rPr>
          <w:rFonts w:ascii="Arial" w:hAnsi="Arial" w:cs="Arial"/>
          <w:b/>
          <w:sz w:val="22"/>
          <w:szCs w:val="22"/>
          <w:lang w:val="es-ES_tradnl"/>
        </w:rPr>
        <w:t xml:space="preserve">. </w:t>
      </w:r>
      <w:r w:rsidRPr="00900239">
        <w:rPr>
          <w:rFonts w:ascii="Arial" w:hAnsi="Arial" w:cs="Arial"/>
          <w:b/>
          <w:sz w:val="22"/>
          <w:szCs w:val="22"/>
          <w:u w:val="single"/>
          <w:lang w:val="es-ES_tradnl"/>
        </w:rPr>
        <w:t>LA LEGITIMACIÓN</w:t>
      </w:r>
      <w:r w:rsidRPr="00900239">
        <w:rPr>
          <w:rFonts w:ascii="Arial" w:hAnsi="Arial" w:cs="Arial"/>
          <w:b/>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numPr>
          <w:ilvl w:val="1"/>
          <w:numId w:val="7"/>
        </w:numPr>
        <w:spacing w:before="0" w:beforeAutospacing="0" w:after="0" w:afterAutospacing="0" w:line="360" w:lineRule="auto"/>
        <w:jc w:val="both"/>
        <w:rPr>
          <w:rFonts w:ascii="Arial" w:hAnsi="Arial" w:cs="Arial"/>
          <w:sz w:val="22"/>
          <w:szCs w:val="22"/>
          <w:lang w:val="es-ES_tradnl"/>
        </w:rPr>
      </w:pPr>
      <w:r>
        <w:rPr>
          <w:rFonts w:ascii="Arial" w:hAnsi="Arial" w:cs="Arial"/>
          <w:i/>
          <w:iCs/>
          <w:sz w:val="22"/>
          <w:szCs w:val="22"/>
          <w:lang w:val="es-ES_tradnl"/>
        </w:rPr>
        <w:t>Dificultades para su conceptualización</w:t>
      </w:r>
      <w:r w:rsidRPr="00A62029">
        <w:rPr>
          <w:rFonts w:ascii="Arial" w:hAnsi="Arial" w:cs="Arial"/>
          <w:i/>
          <w:iCs/>
          <w:sz w:val="22"/>
          <w:szCs w:val="22"/>
          <w:lang w:val="es-ES_tradnl"/>
        </w:rPr>
        <w:t xml:space="preserve">:- </w:t>
      </w:r>
    </w:p>
    <w:p w:rsidR="00877ED0" w:rsidRPr="00A62029" w:rsidRDefault="00877ED0" w:rsidP="00A62029">
      <w:pPr>
        <w:pStyle w:val="NormalWeb"/>
        <w:spacing w:before="0" w:beforeAutospacing="0" w:after="0" w:afterAutospacing="0" w:line="360" w:lineRule="auto"/>
        <w:ind w:firstLine="2337"/>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De las ideas de </w:t>
      </w:r>
      <w:r w:rsidRPr="00A62029">
        <w:rPr>
          <w:rFonts w:ascii="Arial" w:hAnsi="Arial" w:cs="Arial"/>
          <w:i/>
          <w:iCs/>
          <w:sz w:val="22"/>
          <w:szCs w:val="22"/>
          <w:lang w:val="es-ES_tradnl"/>
        </w:rPr>
        <w:t xml:space="preserve">interés </w:t>
      </w:r>
      <w:r w:rsidRPr="00A62029">
        <w:rPr>
          <w:rFonts w:ascii="Arial" w:hAnsi="Arial" w:cs="Arial"/>
          <w:sz w:val="22"/>
          <w:szCs w:val="22"/>
          <w:lang w:val="es-ES_tradnl"/>
        </w:rPr>
        <w:t xml:space="preserve">y </w:t>
      </w:r>
      <w:r w:rsidRPr="00A62029">
        <w:rPr>
          <w:rFonts w:ascii="Arial" w:hAnsi="Arial" w:cs="Arial"/>
          <w:i/>
          <w:iCs/>
          <w:sz w:val="22"/>
          <w:szCs w:val="22"/>
          <w:lang w:val="es-ES_tradnl"/>
        </w:rPr>
        <w:t xml:space="preserve">pretensión </w:t>
      </w:r>
      <w:r w:rsidRPr="00A62029">
        <w:rPr>
          <w:rFonts w:ascii="Arial" w:hAnsi="Arial" w:cs="Arial"/>
          <w:sz w:val="22"/>
          <w:szCs w:val="22"/>
          <w:lang w:val="es-ES_tradnl"/>
        </w:rPr>
        <w:t xml:space="preserve">emerge el concepto de </w:t>
      </w:r>
      <w:r w:rsidRPr="00A62029">
        <w:rPr>
          <w:rFonts w:ascii="Arial" w:hAnsi="Arial" w:cs="Arial"/>
          <w:i/>
          <w:iCs/>
          <w:sz w:val="22"/>
          <w:szCs w:val="22"/>
          <w:lang w:val="es-ES_tradnl"/>
        </w:rPr>
        <w:t xml:space="preserve">legitimación, </w:t>
      </w:r>
      <w:r w:rsidRPr="00A62029">
        <w:rPr>
          <w:rFonts w:ascii="Arial" w:hAnsi="Arial" w:cs="Arial"/>
          <w:sz w:val="22"/>
          <w:szCs w:val="22"/>
          <w:lang w:val="es-ES_tradnl"/>
        </w:rPr>
        <w:t xml:space="preserve">cerrando el círculo de las nociones que conforman nuestro tema. En efecto, del primero depende el sentido que deberá adquirir la voluntad que se expresa a favor de la tutela de aquél o </w:t>
      </w:r>
      <w:r>
        <w:rPr>
          <w:rFonts w:ascii="Arial" w:hAnsi="Arial" w:cs="Arial"/>
          <w:sz w:val="22"/>
          <w:szCs w:val="22"/>
          <w:lang w:val="es-ES_tradnl"/>
        </w:rPr>
        <w:t xml:space="preserve">la que </w:t>
      </w:r>
      <w:r w:rsidRPr="00A62029">
        <w:rPr>
          <w:rFonts w:ascii="Arial" w:hAnsi="Arial" w:cs="Arial"/>
          <w:sz w:val="22"/>
          <w:szCs w:val="22"/>
          <w:lang w:val="es-ES_tradnl"/>
        </w:rPr>
        <w:t>resist</w:t>
      </w:r>
      <w:r>
        <w:rPr>
          <w:rFonts w:ascii="Arial" w:hAnsi="Arial" w:cs="Arial"/>
          <w:sz w:val="22"/>
          <w:szCs w:val="22"/>
          <w:lang w:val="es-ES_tradnl"/>
        </w:rPr>
        <w:t>a</w:t>
      </w:r>
      <w:r w:rsidRPr="00A62029">
        <w:rPr>
          <w:rFonts w:ascii="Arial" w:hAnsi="Arial" w:cs="Arial"/>
          <w:sz w:val="22"/>
          <w:szCs w:val="22"/>
          <w:lang w:val="es-ES_tradnl"/>
        </w:rPr>
        <w:t xml:space="preserve"> </w:t>
      </w:r>
      <w:r>
        <w:rPr>
          <w:rFonts w:ascii="Arial" w:hAnsi="Arial" w:cs="Arial"/>
          <w:sz w:val="22"/>
          <w:szCs w:val="22"/>
          <w:lang w:val="es-ES_tradnl"/>
        </w:rPr>
        <w:t>la</w:t>
      </w:r>
      <w:r w:rsidRPr="00A62029">
        <w:rPr>
          <w:rFonts w:ascii="Arial" w:hAnsi="Arial" w:cs="Arial"/>
          <w:sz w:val="22"/>
          <w:szCs w:val="22"/>
          <w:lang w:val="es-ES_tradnl"/>
        </w:rPr>
        <w:t xml:space="preserve"> concesión </w:t>
      </w:r>
      <w:r>
        <w:rPr>
          <w:rFonts w:ascii="Arial" w:hAnsi="Arial" w:cs="Arial"/>
          <w:sz w:val="22"/>
          <w:szCs w:val="22"/>
          <w:lang w:val="es-ES_tradnl"/>
        </w:rPr>
        <w:t xml:space="preserve">de ésta </w:t>
      </w:r>
      <w:r w:rsidRPr="00A62029">
        <w:rPr>
          <w:rFonts w:ascii="Arial" w:hAnsi="Arial" w:cs="Arial"/>
          <w:sz w:val="22"/>
          <w:szCs w:val="22"/>
          <w:lang w:val="es-ES_tradnl"/>
        </w:rPr>
        <w:t>y ambos permitirán localizar el sujeto que se encuentra habilitado para llevar el litigio a conocimiento y decisión de un órgano estatal y aquél contra el cual deberá entablarse ese litigio. Desde la jurisprudencia se ha destacado la vinculación entre aquellos institutos señalando que la legitimación es una cualidad - “competencia” - que “resulta de una específica posición del sujeto respecto de los intereses que se trata de regular”</w:t>
      </w:r>
      <w:r w:rsidRPr="00A62029">
        <w:rPr>
          <w:rStyle w:val="FootnoteReference"/>
          <w:rFonts w:ascii="Arial" w:hAnsi="Arial" w:cs="Arial"/>
          <w:sz w:val="22"/>
          <w:szCs w:val="22"/>
          <w:lang w:val="es-ES_tradnl"/>
        </w:rPr>
        <w:footnoteReference w:id="36"/>
      </w:r>
      <w:r w:rsidRPr="00A62029">
        <w:rPr>
          <w:rFonts w:ascii="Arial" w:hAnsi="Arial" w:cs="Arial"/>
          <w:sz w:val="22"/>
          <w:szCs w:val="22"/>
          <w:lang w:val="es-ES_tradnl"/>
        </w:rPr>
        <w:t xml:space="preserve"> o “respecto al acto” jurídico realizado</w:t>
      </w:r>
      <w:r w:rsidRPr="00A62029">
        <w:rPr>
          <w:rStyle w:val="FootnoteReference"/>
          <w:rFonts w:ascii="Arial" w:hAnsi="Arial" w:cs="Arial"/>
          <w:sz w:val="22"/>
          <w:szCs w:val="22"/>
          <w:lang w:val="es-ES_tradnl"/>
        </w:rPr>
        <w:footnoteReference w:id="37"/>
      </w:r>
      <w:r w:rsidRPr="00A62029">
        <w:rPr>
          <w:rFonts w:ascii="Arial" w:hAnsi="Arial" w:cs="Arial"/>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Las dificultades</w:t>
      </w:r>
      <w:r>
        <w:rPr>
          <w:rFonts w:ascii="Arial" w:hAnsi="Arial" w:cs="Arial"/>
          <w:sz w:val="22"/>
          <w:szCs w:val="22"/>
          <w:lang w:val="es-ES_tradnl"/>
        </w:rPr>
        <w:t>,</w:t>
      </w:r>
      <w:r w:rsidRPr="00A62029">
        <w:rPr>
          <w:rFonts w:ascii="Arial" w:hAnsi="Arial" w:cs="Arial"/>
          <w:sz w:val="22"/>
          <w:szCs w:val="22"/>
          <w:lang w:val="es-ES_tradnl"/>
        </w:rPr>
        <w:t xml:space="preserve"> que se han venido </w:t>
      </w:r>
      <w:r>
        <w:rPr>
          <w:rFonts w:ascii="Arial" w:hAnsi="Arial" w:cs="Arial"/>
          <w:sz w:val="22"/>
          <w:szCs w:val="22"/>
          <w:lang w:val="es-ES_tradnl"/>
        </w:rPr>
        <w:t>señalando</w:t>
      </w:r>
      <w:r w:rsidRPr="00A62029">
        <w:rPr>
          <w:rFonts w:ascii="Arial" w:hAnsi="Arial" w:cs="Arial"/>
          <w:sz w:val="22"/>
          <w:szCs w:val="22"/>
          <w:lang w:val="es-ES_tradnl"/>
        </w:rPr>
        <w:t xml:space="preserve"> en la doctrina</w:t>
      </w:r>
      <w:r>
        <w:rPr>
          <w:rFonts w:ascii="Arial" w:hAnsi="Arial" w:cs="Arial"/>
          <w:sz w:val="22"/>
          <w:szCs w:val="22"/>
          <w:lang w:val="es-ES_tradnl"/>
        </w:rPr>
        <w:t>,</w:t>
      </w:r>
      <w:r w:rsidRPr="00A62029">
        <w:rPr>
          <w:rFonts w:ascii="Arial" w:hAnsi="Arial" w:cs="Arial"/>
          <w:sz w:val="22"/>
          <w:szCs w:val="22"/>
          <w:lang w:val="es-ES_tradnl"/>
        </w:rPr>
        <w:t xml:space="preserve"> para encontrar un perfil definido de la legitimación dentro del campo procesal</w:t>
      </w:r>
      <w:r w:rsidRPr="00A62029">
        <w:rPr>
          <w:rStyle w:val="FootnoteReference"/>
          <w:rFonts w:ascii="Arial" w:hAnsi="Arial" w:cs="Arial"/>
          <w:sz w:val="22"/>
          <w:szCs w:val="22"/>
          <w:lang w:val="es-ES_tradnl"/>
        </w:rPr>
        <w:footnoteReference w:id="38"/>
      </w:r>
      <w:r w:rsidRPr="00A62029">
        <w:rPr>
          <w:rFonts w:ascii="Arial" w:hAnsi="Arial" w:cs="Arial"/>
          <w:sz w:val="22"/>
          <w:szCs w:val="22"/>
          <w:lang w:val="es-ES_tradnl"/>
        </w:rPr>
        <w:t xml:space="preserve"> obedecen a la obscuridad en que, todavía, se mantienen las nociones previas de interés</w:t>
      </w:r>
      <w:r>
        <w:rPr>
          <w:rFonts w:ascii="Arial" w:hAnsi="Arial" w:cs="Arial"/>
          <w:sz w:val="22"/>
          <w:szCs w:val="22"/>
          <w:lang w:val="es-ES_tradnl"/>
        </w:rPr>
        <w:t xml:space="preserve"> en obrar y en componer el litigio</w:t>
      </w:r>
      <w:r w:rsidRPr="00A62029">
        <w:rPr>
          <w:rFonts w:ascii="Arial" w:hAnsi="Arial" w:cs="Arial"/>
          <w:sz w:val="22"/>
          <w:szCs w:val="22"/>
          <w:lang w:val="es-ES_tradnl"/>
        </w:rPr>
        <w:t xml:space="preserve">, </w:t>
      </w:r>
      <w:r>
        <w:rPr>
          <w:rFonts w:ascii="Arial" w:hAnsi="Arial" w:cs="Arial"/>
          <w:sz w:val="22"/>
          <w:szCs w:val="22"/>
          <w:lang w:val="es-ES_tradnl"/>
        </w:rPr>
        <w:t xml:space="preserve">de </w:t>
      </w:r>
      <w:r w:rsidRPr="00A62029">
        <w:rPr>
          <w:rFonts w:ascii="Arial" w:hAnsi="Arial" w:cs="Arial"/>
          <w:sz w:val="22"/>
          <w:szCs w:val="22"/>
          <w:lang w:val="es-ES_tradnl"/>
        </w:rPr>
        <w:t xml:space="preserve">pretensión y </w:t>
      </w:r>
      <w:r>
        <w:rPr>
          <w:rFonts w:ascii="Arial" w:hAnsi="Arial" w:cs="Arial"/>
          <w:sz w:val="22"/>
          <w:szCs w:val="22"/>
          <w:lang w:val="es-ES_tradnl"/>
        </w:rPr>
        <w:t xml:space="preserve">de </w:t>
      </w:r>
      <w:r w:rsidRPr="00A62029">
        <w:rPr>
          <w:rFonts w:ascii="Arial" w:hAnsi="Arial" w:cs="Arial"/>
          <w:sz w:val="22"/>
          <w:szCs w:val="22"/>
          <w:lang w:val="es-ES_tradnl"/>
        </w:rPr>
        <w:t>acción procesal. Por otro lado, la elevación del instituto, del ámbito del proceso judicial, al plano de la teoría general del derecho</w:t>
      </w:r>
      <w:r w:rsidRPr="00A62029">
        <w:rPr>
          <w:rStyle w:val="FootnoteReference"/>
          <w:rFonts w:ascii="Arial" w:hAnsi="Arial" w:cs="Arial"/>
          <w:sz w:val="22"/>
          <w:szCs w:val="22"/>
          <w:lang w:val="es-ES_tradnl"/>
        </w:rPr>
        <w:footnoteReference w:id="39"/>
      </w:r>
      <w:r w:rsidRPr="00A62029">
        <w:rPr>
          <w:rFonts w:ascii="Arial" w:hAnsi="Arial" w:cs="Arial"/>
          <w:sz w:val="22"/>
          <w:szCs w:val="22"/>
          <w:lang w:val="es-ES_tradnl"/>
        </w:rPr>
        <w:t xml:space="preserve"> y particularmente, a las relaciones regidas por el derecho material, ha contribuido a opacar aun más sus rasgos definitorios y a agregar un ingrediente a la confusión que reina en la doctrina -jamás despejada por completo-</w:t>
      </w:r>
      <w:r>
        <w:rPr>
          <w:rFonts w:ascii="Arial" w:hAnsi="Arial" w:cs="Arial"/>
          <w:sz w:val="22"/>
          <w:szCs w:val="22"/>
          <w:lang w:val="es-ES_tradnl"/>
        </w:rPr>
        <w:t xml:space="preserve"> </w:t>
      </w:r>
      <w:r w:rsidRPr="00A62029">
        <w:rPr>
          <w:rFonts w:ascii="Arial" w:hAnsi="Arial" w:cs="Arial"/>
          <w:sz w:val="22"/>
          <w:szCs w:val="22"/>
          <w:lang w:val="es-ES_tradnl"/>
        </w:rPr>
        <w:t>para distinguir las órbitas del derecho procesal y del derecho material</w:t>
      </w:r>
      <w:r>
        <w:rPr>
          <w:rStyle w:val="FootnoteReference"/>
          <w:rFonts w:ascii="Arial" w:hAnsi="Arial" w:cs="Arial"/>
          <w:sz w:val="22"/>
          <w:szCs w:val="22"/>
          <w:lang w:val="es-ES_tradnl"/>
        </w:rPr>
        <w:footnoteReference w:id="40"/>
      </w:r>
      <w:r w:rsidRPr="00A62029">
        <w:rPr>
          <w:rFonts w:ascii="Arial" w:hAnsi="Arial" w:cs="Arial"/>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La doctrina nacional no ha escapado a esa dificultad ni a esa confusión, no habiendo conseguido formular una noción de legitimación que merezca la adhesión de la ciencia procesal y que informe la legislación y la práctica, facilitando la </w:t>
      </w:r>
      <w:r>
        <w:rPr>
          <w:rFonts w:ascii="Arial" w:hAnsi="Arial" w:cs="Arial"/>
          <w:sz w:val="22"/>
          <w:szCs w:val="22"/>
          <w:lang w:val="es-ES_tradnl"/>
        </w:rPr>
        <w:t>localización</w:t>
      </w:r>
      <w:r w:rsidRPr="00A62029">
        <w:rPr>
          <w:rFonts w:ascii="Arial" w:hAnsi="Arial" w:cs="Arial"/>
          <w:sz w:val="22"/>
          <w:szCs w:val="22"/>
          <w:lang w:val="es-ES_tradnl"/>
        </w:rPr>
        <w:t xml:space="preserve"> de criterios que </w:t>
      </w:r>
      <w:r>
        <w:rPr>
          <w:rFonts w:ascii="Arial" w:hAnsi="Arial" w:cs="Arial"/>
          <w:sz w:val="22"/>
          <w:szCs w:val="22"/>
          <w:lang w:val="es-ES_tradnl"/>
        </w:rPr>
        <w:t>brinden suficiente previsibilidad a las formas y condiciones que</w:t>
      </w:r>
      <w:r w:rsidRPr="00A62029">
        <w:rPr>
          <w:rFonts w:ascii="Arial" w:hAnsi="Arial" w:cs="Arial"/>
          <w:sz w:val="22"/>
          <w:szCs w:val="22"/>
          <w:lang w:val="es-ES_tradnl"/>
        </w:rPr>
        <w:t xml:space="preserve"> </w:t>
      </w:r>
      <w:r>
        <w:rPr>
          <w:rFonts w:ascii="Arial" w:hAnsi="Arial" w:cs="Arial"/>
          <w:sz w:val="22"/>
          <w:szCs w:val="22"/>
          <w:lang w:val="es-ES_tradnl"/>
        </w:rPr>
        <w:t xml:space="preserve">abren el </w:t>
      </w:r>
      <w:r w:rsidRPr="00A62029">
        <w:rPr>
          <w:rFonts w:ascii="Arial" w:hAnsi="Arial" w:cs="Arial"/>
          <w:sz w:val="22"/>
          <w:szCs w:val="22"/>
          <w:lang w:val="es-ES_tradnl"/>
        </w:rPr>
        <w:t>acce</w:t>
      </w:r>
      <w:r>
        <w:rPr>
          <w:rFonts w:ascii="Arial" w:hAnsi="Arial" w:cs="Arial"/>
          <w:sz w:val="22"/>
          <w:szCs w:val="22"/>
          <w:lang w:val="es-ES_tradnl"/>
        </w:rPr>
        <w:t>so</w:t>
      </w:r>
      <w:r w:rsidRPr="00A62029">
        <w:rPr>
          <w:rFonts w:ascii="Arial" w:hAnsi="Arial" w:cs="Arial"/>
          <w:sz w:val="22"/>
          <w:szCs w:val="22"/>
          <w:lang w:val="es-ES_tradnl"/>
        </w:rPr>
        <w:t xml:space="preserve"> a</w:t>
      </w:r>
      <w:r>
        <w:rPr>
          <w:rFonts w:ascii="Arial" w:hAnsi="Arial" w:cs="Arial"/>
          <w:sz w:val="22"/>
          <w:szCs w:val="22"/>
          <w:lang w:val="es-ES_tradnl"/>
        </w:rPr>
        <w:t xml:space="preserve"> </w:t>
      </w:r>
      <w:r w:rsidRPr="00A62029">
        <w:rPr>
          <w:rFonts w:ascii="Arial" w:hAnsi="Arial" w:cs="Arial"/>
          <w:sz w:val="22"/>
          <w:szCs w:val="22"/>
          <w:lang w:val="es-ES_tradnl"/>
        </w:rPr>
        <w:t xml:space="preserve"> las vías de tutela de los intereses protegidos por la ley y permitan determinar, con precisión, la</w:t>
      </w:r>
      <w:r>
        <w:rPr>
          <w:rFonts w:ascii="Arial" w:hAnsi="Arial" w:cs="Arial"/>
          <w:sz w:val="22"/>
          <w:szCs w:val="22"/>
          <w:lang w:val="es-ES_tradnl"/>
        </w:rPr>
        <w:t>s</w:t>
      </w:r>
      <w:r w:rsidRPr="00A62029">
        <w:rPr>
          <w:rFonts w:ascii="Arial" w:hAnsi="Arial" w:cs="Arial"/>
          <w:sz w:val="22"/>
          <w:szCs w:val="22"/>
          <w:lang w:val="es-ES_tradnl"/>
        </w:rPr>
        <w:t xml:space="preserve"> </w:t>
      </w:r>
      <w:r>
        <w:rPr>
          <w:rFonts w:ascii="Arial" w:hAnsi="Arial" w:cs="Arial"/>
          <w:sz w:val="22"/>
          <w:szCs w:val="22"/>
          <w:lang w:val="es-ES_tradnl"/>
        </w:rPr>
        <w:t>expectativas y cargas</w:t>
      </w:r>
      <w:r w:rsidRPr="00A62029">
        <w:rPr>
          <w:rFonts w:ascii="Arial" w:hAnsi="Arial" w:cs="Arial"/>
          <w:sz w:val="22"/>
          <w:szCs w:val="22"/>
          <w:lang w:val="es-ES_tradnl"/>
        </w:rPr>
        <w:t xml:space="preserve"> que </w:t>
      </w:r>
      <w:r>
        <w:rPr>
          <w:rFonts w:ascii="Arial" w:hAnsi="Arial" w:cs="Arial"/>
          <w:sz w:val="22"/>
          <w:szCs w:val="22"/>
          <w:lang w:val="es-ES_tradnl"/>
        </w:rPr>
        <w:t>delimitan la situación de</w:t>
      </w:r>
      <w:r w:rsidRPr="00A62029">
        <w:rPr>
          <w:rFonts w:ascii="Arial" w:hAnsi="Arial" w:cs="Arial"/>
          <w:sz w:val="22"/>
          <w:szCs w:val="22"/>
          <w:lang w:val="es-ES_tradnl"/>
        </w:rPr>
        <w:t xml:space="preserve"> los litigantes dentro del proceso judicial.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En general, los procesalistas nacionales coinciden en que la legitimación procesal es una cualidad independiente de la titularidad del derecho material que se deduce en juicio con la pretensión contenida en la demanda, aceptándose, con matices, que la referida cualidad es un “requisito en cuya virtud debe mediar una coincidencia entre las personas que efectivamente actúan en el proceso y las personas a las cuales la ley habilita especialmente para pretender (legitimación activa) y para contradecir (legitimación pasiva) respecto de la materia sobre la cual el proceso versa”</w:t>
      </w:r>
      <w:r w:rsidRPr="00A62029">
        <w:rPr>
          <w:rStyle w:val="FootnoteReference"/>
          <w:rFonts w:ascii="Arial" w:hAnsi="Arial" w:cs="Arial"/>
          <w:sz w:val="22"/>
          <w:szCs w:val="22"/>
          <w:lang w:val="es-ES_tradnl"/>
        </w:rPr>
        <w:footnoteReference w:id="41"/>
      </w:r>
      <w:r w:rsidRPr="00A62029">
        <w:rPr>
          <w:rFonts w:ascii="Arial" w:hAnsi="Arial" w:cs="Arial"/>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A la hora de individualizar las personas que “la ley habilita especialmente para pretender y para contradecir”, los autores, o bien se remiten a las previsiones del derecho sustancial</w:t>
      </w:r>
      <w:r w:rsidRPr="00A62029">
        <w:rPr>
          <w:rStyle w:val="FootnoteReference"/>
          <w:rFonts w:ascii="Arial" w:hAnsi="Arial" w:cs="Arial"/>
          <w:sz w:val="22"/>
          <w:szCs w:val="22"/>
          <w:lang w:val="es-ES_tradnl"/>
        </w:rPr>
        <w:footnoteReference w:id="42"/>
      </w:r>
      <w:r w:rsidRPr="00A62029">
        <w:rPr>
          <w:rFonts w:ascii="Arial" w:hAnsi="Arial" w:cs="Arial"/>
          <w:sz w:val="22"/>
          <w:szCs w:val="22"/>
          <w:lang w:val="es-ES_tradnl"/>
        </w:rPr>
        <w:t xml:space="preserve"> o bien caen en una casuística genérica e indefinida, que deja la cuestión absolutamente en blanco</w:t>
      </w:r>
      <w:r w:rsidRPr="00A62029">
        <w:rPr>
          <w:rStyle w:val="FootnoteReference"/>
          <w:rFonts w:ascii="Arial" w:hAnsi="Arial" w:cs="Arial"/>
          <w:sz w:val="22"/>
          <w:szCs w:val="22"/>
          <w:lang w:val="es-ES_tradnl"/>
        </w:rPr>
        <w:footnoteReference w:id="43"/>
      </w:r>
      <w:r w:rsidRPr="00A62029">
        <w:rPr>
          <w:rFonts w:ascii="Arial" w:hAnsi="Arial" w:cs="Arial"/>
          <w:sz w:val="22"/>
          <w:szCs w:val="22"/>
          <w:lang w:val="es-ES_tradnl"/>
        </w:rPr>
        <w:t xml:space="preserve">. Semejante indefinición en punto tan neurálgico del proceso judicial conduce a </w:t>
      </w:r>
      <w:r>
        <w:rPr>
          <w:rFonts w:ascii="Arial" w:hAnsi="Arial" w:cs="Arial"/>
          <w:sz w:val="22"/>
          <w:szCs w:val="22"/>
          <w:lang w:val="es-ES_tradnl"/>
        </w:rPr>
        <w:t>obscuridades y</w:t>
      </w:r>
      <w:r w:rsidRPr="00A62029">
        <w:rPr>
          <w:rFonts w:ascii="Arial" w:hAnsi="Arial" w:cs="Arial"/>
          <w:sz w:val="22"/>
          <w:szCs w:val="22"/>
          <w:lang w:val="es-ES_tradnl"/>
        </w:rPr>
        <w:t xml:space="preserve"> equívocos en el tratamiento y solución de singulares problemas que se plantean en la práctica de aquél</w:t>
      </w:r>
      <w:r>
        <w:rPr>
          <w:rFonts w:ascii="Arial" w:hAnsi="Arial" w:cs="Arial"/>
          <w:sz w:val="22"/>
          <w:szCs w:val="22"/>
          <w:lang w:val="es-ES_tradnl"/>
        </w:rPr>
        <w:t>, dejando las aristas de tan trascendente figura procesal en un brumoso terreno científico y técnico</w:t>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Constituye, en nuestro concepto, un claro equívoco que, frente a la necesidad de brindar tutela a los nuevos intereses de incidencia colectiva</w:t>
      </w:r>
      <w:r>
        <w:rPr>
          <w:rFonts w:ascii="Arial" w:hAnsi="Arial" w:cs="Arial"/>
          <w:sz w:val="22"/>
          <w:szCs w:val="22"/>
          <w:lang w:val="es-ES_tradnl"/>
        </w:rPr>
        <w:t xml:space="preserve">, que surgen como resultado de la transformación de las relaciones sociales provocada por la masificación de los procesos productivos y del consumo, impulsado por el prodigioso avance tecnológico en el campo de la industria, en general, y de las comunicaciones y transmisión de datos, en particular, </w:t>
      </w:r>
      <w:r w:rsidRPr="00A62029">
        <w:rPr>
          <w:rFonts w:ascii="Arial" w:hAnsi="Arial" w:cs="Arial"/>
          <w:sz w:val="22"/>
          <w:szCs w:val="22"/>
          <w:lang w:val="es-ES_tradnl"/>
        </w:rPr>
        <w:t>se reclame un “ensanchamiento de la legitimación”</w:t>
      </w:r>
      <w:r w:rsidRPr="00A62029">
        <w:rPr>
          <w:rStyle w:val="FootnoteReference"/>
          <w:rFonts w:ascii="Arial" w:hAnsi="Arial" w:cs="Arial"/>
          <w:sz w:val="22"/>
          <w:szCs w:val="22"/>
          <w:lang w:val="es-ES_tradnl"/>
        </w:rPr>
        <w:footnoteReference w:id="44"/>
      </w:r>
      <w:r>
        <w:rPr>
          <w:rFonts w:ascii="Arial" w:hAnsi="Arial" w:cs="Arial"/>
          <w:sz w:val="22"/>
          <w:szCs w:val="22"/>
          <w:lang w:val="es-ES_tradnl"/>
        </w:rPr>
        <w:t xml:space="preserve">, cuando esta última </w:t>
      </w:r>
      <w:r w:rsidRPr="00A62029">
        <w:rPr>
          <w:rFonts w:ascii="Arial" w:hAnsi="Arial" w:cs="Arial"/>
          <w:sz w:val="22"/>
          <w:szCs w:val="22"/>
          <w:lang w:val="es-ES_tradnl"/>
        </w:rPr>
        <w:t xml:space="preserve">se vincula solo indirectamente a la especie de interés que se pretende hacer prevalecer en el seno del litigio </w:t>
      </w:r>
      <w:r>
        <w:rPr>
          <w:rFonts w:ascii="Arial" w:hAnsi="Arial" w:cs="Arial"/>
          <w:sz w:val="22"/>
          <w:szCs w:val="22"/>
          <w:lang w:val="es-ES_tradnl"/>
        </w:rPr>
        <w:t xml:space="preserve">–al que hemos denominado </w:t>
      </w:r>
      <w:r>
        <w:rPr>
          <w:rFonts w:ascii="Arial" w:hAnsi="Arial" w:cs="Arial"/>
          <w:i/>
          <w:sz w:val="22"/>
          <w:szCs w:val="22"/>
          <w:lang w:val="es-ES_tradnl"/>
        </w:rPr>
        <w:t xml:space="preserve">interés en litigio- </w:t>
      </w:r>
      <w:r w:rsidRPr="00A62029">
        <w:rPr>
          <w:rFonts w:ascii="Arial" w:hAnsi="Arial" w:cs="Arial"/>
          <w:sz w:val="22"/>
          <w:szCs w:val="22"/>
          <w:lang w:val="es-ES_tradnl"/>
        </w:rPr>
        <w:t>y a la tutela que a él confieren las normas materiales cuya aplicación persigue el pretensor. Es evidente, según nuestra opinión, que el “ensanchamiento” que, legítimamente, se persigue, se refiere, no a la legitimación procesal –aquella que habilita a plantear una pretensión ante la justicia estatal-  sino a la tutela que las normas materiales deben dispensar a los nuevos intereses</w:t>
      </w:r>
      <w:r>
        <w:rPr>
          <w:rFonts w:ascii="Arial" w:hAnsi="Arial" w:cs="Arial"/>
          <w:sz w:val="22"/>
          <w:szCs w:val="22"/>
          <w:lang w:val="es-ES_tradnl"/>
        </w:rPr>
        <w:t>.</w:t>
      </w:r>
      <w:r w:rsidRPr="00A62029">
        <w:rPr>
          <w:rFonts w:ascii="Arial" w:hAnsi="Arial" w:cs="Arial"/>
          <w:sz w:val="22"/>
          <w:szCs w:val="22"/>
          <w:lang w:val="es-ES_tradnl"/>
        </w:rPr>
        <w:t xml:space="preserve"> </w:t>
      </w:r>
      <w:r>
        <w:rPr>
          <w:rFonts w:ascii="Arial" w:hAnsi="Arial" w:cs="Arial"/>
          <w:sz w:val="22"/>
          <w:szCs w:val="22"/>
          <w:lang w:val="es-ES_tradnl"/>
        </w:rPr>
        <w:t>D</w:t>
      </w:r>
      <w:r w:rsidRPr="00A62029">
        <w:rPr>
          <w:rFonts w:ascii="Arial" w:hAnsi="Arial" w:cs="Arial"/>
          <w:sz w:val="22"/>
          <w:szCs w:val="22"/>
          <w:lang w:val="es-ES_tradnl"/>
        </w:rPr>
        <w:t>iseñada la estructura de la tutela que las normas materiales confieren a los nuevos intereses, la pretensión procesal deriva –o debe derivar-, naturalmente, de ella; no estamos en presencia de una legitimación “extraordinaria” ni “atípica”</w:t>
      </w:r>
      <w:r w:rsidRPr="00A62029">
        <w:rPr>
          <w:rStyle w:val="FootnoteReference"/>
          <w:rFonts w:ascii="Arial" w:hAnsi="Arial" w:cs="Arial"/>
          <w:sz w:val="22"/>
          <w:szCs w:val="22"/>
          <w:lang w:val="es-ES_tradnl"/>
        </w:rPr>
        <w:t xml:space="preserve"> </w:t>
      </w:r>
      <w:r w:rsidRPr="00A62029">
        <w:rPr>
          <w:rStyle w:val="FootnoteReference"/>
          <w:rFonts w:ascii="Arial" w:hAnsi="Arial" w:cs="Arial"/>
          <w:sz w:val="22"/>
          <w:szCs w:val="22"/>
          <w:lang w:val="es-ES_tradnl"/>
        </w:rPr>
        <w:footnoteReference w:id="45"/>
      </w:r>
      <w:r w:rsidRPr="00A62029">
        <w:rPr>
          <w:rFonts w:ascii="Arial" w:hAnsi="Arial" w:cs="Arial"/>
          <w:sz w:val="22"/>
          <w:szCs w:val="22"/>
          <w:lang w:val="es-ES_tradnl"/>
        </w:rPr>
        <w:t>, sino de la común u ordinaria</w:t>
      </w:r>
      <w:r w:rsidRPr="00A62029">
        <w:rPr>
          <w:rStyle w:val="FootnoteReference"/>
          <w:rFonts w:ascii="Arial" w:hAnsi="Arial" w:cs="Arial"/>
          <w:sz w:val="22"/>
          <w:szCs w:val="22"/>
          <w:lang w:val="es-ES_tradnl"/>
        </w:rPr>
        <w:footnoteReference w:id="46"/>
      </w:r>
      <w:r w:rsidRPr="00A62029">
        <w:rPr>
          <w:rFonts w:ascii="Arial" w:hAnsi="Arial" w:cs="Arial"/>
          <w:sz w:val="22"/>
          <w:szCs w:val="22"/>
          <w:lang w:val="es-ES_tradnl"/>
        </w:rPr>
        <w:t>.</w:t>
      </w:r>
      <w:r>
        <w:rPr>
          <w:rFonts w:ascii="Arial" w:hAnsi="Arial" w:cs="Arial"/>
          <w:sz w:val="22"/>
          <w:szCs w:val="22"/>
          <w:lang w:val="es-ES_tradnl"/>
        </w:rPr>
        <w:t xml:space="preserve"> Aunque con base científica diferente, se ha dicho, en el mismo sentido expuesto que “El tema de si existe o no interés se confunde en la mayoría de los casos con el fondo del asunto y allí es donde abordarse. Ello no impide el ejercicio de acciones por grupos o asociaciones respecto de intereses colectivos”</w:t>
      </w:r>
      <w:r>
        <w:rPr>
          <w:rStyle w:val="FootnoteReference"/>
          <w:rFonts w:ascii="Arial" w:hAnsi="Arial" w:cs="Arial"/>
          <w:sz w:val="22"/>
          <w:szCs w:val="22"/>
          <w:lang w:val="es-ES_tradnl"/>
        </w:rPr>
        <w:footnoteReference w:id="47"/>
      </w:r>
      <w:r>
        <w:rPr>
          <w:rFonts w:ascii="Arial" w:hAnsi="Arial" w:cs="Arial"/>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La bruma en la que ha quedado envuelto el concepto de legitimación se percibe en la interpretación del artículo 347, inc. 3), del Código Procesal Civil y Comercial de la Nación, y su aplicación por los tribunales nacionales. Tanto los alcances de la excepción previa</w:t>
      </w:r>
      <w:r>
        <w:rPr>
          <w:rStyle w:val="FootnoteReference"/>
          <w:rFonts w:ascii="Arial" w:hAnsi="Arial" w:cs="Arial"/>
          <w:sz w:val="22"/>
          <w:szCs w:val="22"/>
          <w:lang w:val="es-ES_tradnl"/>
        </w:rPr>
        <w:footnoteReference w:id="48"/>
      </w:r>
      <w:r>
        <w:rPr>
          <w:rFonts w:ascii="Arial" w:hAnsi="Arial" w:cs="Arial"/>
          <w:sz w:val="22"/>
          <w:szCs w:val="22"/>
          <w:lang w:val="es-ES_tradnl"/>
        </w:rPr>
        <w:t xml:space="preserve"> como sus efectos</w:t>
      </w:r>
      <w:r>
        <w:rPr>
          <w:rStyle w:val="FootnoteReference"/>
          <w:rFonts w:ascii="Arial" w:hAnsi="Arial" w:cs="Arial"/>
          <w:sz w:val="22"/>
          <w:szCs w:val="22"/>
          <w:lang w:val="es-ES_tradnl"/>
        </w:rPr>
        <w:footnoteReference w:id="49"/>
      </w:r>
      <w:r>
        <w:rPr>
          <w:rFonts w:ascii="Arial" w:hAnsi="Arial" w:cs="Arial"/>
          <w:sz w:val="22"/>
          <w:szCs w:val="22"/>
          <w:lang w:val="es-ES_tradnl"/>
        </w:rPr>
        <w:t xml:space="preserve"> son entendidos según una diversidad de criterios y son materia de fallos en direcciones opuestas</w:t>
      </w:r>
      <w:r>
        <w:rPr>
          <w:rStyle w:val="FootnoteReference"/>
          <w:rFonts w:ascii="Arial" w:hAnsi="Arial" w:cs="Arial"/>
          <w:sz w:val="22"/>
          <w:szCs w:val="22"/>
          <w:lang w:val="es-ES_tradnl"/>
        </w:rPr>
        <w:footnoteReference w:id="50"/>
      </w:r>
      <w:r>
        <w:rPr>
          <w:rFonts w:ascii="Arial" w:hAnsi="Arial" w:cs="Arial"/>
          <w:sz w:val="22"/>
          <w:szCs w:val="22"/>
          <w:lang w:val="es-ES_tradnl"/>
        </w:rPr>
        <w:t xml:space="preserve">.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No cabe dudas, por lo tanto, que nuestro tema exige, todavía, una profunda reflexión desde el campo de la ciencia procesal y un titánico esfuerzo especulativo</w:t>
      </w:r>
      <w:r>
        <w:rPr>
          <w:rStyle w:val="FootnoteReference"/>
          <w:rFonts w:ascii="Arial" w:hAnsi="Arial" w:cs="Arial"/>
          <w:sz w:val="22"/>
          <w:szCs w:val="22"/>
          <w:lang w:val="es-ES_tradnl"/>
        </w:rPr>
        <w:footnoteReference w:id="51"/>
      </w:r>
      <w:r>
        <w:rPr>
          <w:rFonts w:ascii="Arial" w:hAnsi="Arial" w:cs="Arial"/>
          <w:sz w:val="22"/>
          <w:szCs w:val="22"/>
          <w:lang w:val="es-ES_tradnl"/>
        </w:rPr>
        <w:t xml:space="preserve"> -no limitado a los intereses supraindividuales- que, unido al que, en su oportunidad, realizó la escuela clásica, pueda erigirse en la base de una técnica procesal eficiente que se refleje en la práctica tribunalicia diaria brindando al justiciable seguridad en el acceso a la justicia, certeza en los modos de proceder ante el juez y previsibilidad en los fallos judiciales.</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Ciertamente, no seremos nosotros quienes alcancemos tan empinado propósito. Desde nuestra débil posición intelectual, es suficiente llamar la atención sobre el punto.</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846DA2">
      <w:pPr>
        <w:pStyle w:val="NormalWeb"/>
        <w:numPr>
          <w:ilvl w:val="1"/>
          <w:numId w:val="7"/>
        </w:numPr>
        <w:spacing w:before="0" w:beforeAutospacing="0" w:after="0" w:afterAutospacing="0" w:line="360" w:lineRule="auto"/>
        <w:jc w:val="both"/>
        <w:rPr>
          <w:rFonts w:ascii="Arial" w:hAnsi="Arial" w:cs="Arial"/>
          <w:sz w:val="22"/>
          <w:szCs w:val="22"/>
          <w:lang w:val="es-ES_tradnl"/>
        </w:rPr>
      </w:pPr>
      <w:r>
        <w:rPr>
          <w:rFonts w:ascii="Arial" w:hAnsi="Arial" w:cs="Arial"/>
          <w:i/>
          <w:sz w:val="22"/>
          <w:szCs w:val="22"/>
          <w:lang w:val="es-ES_tradnl"/>
        </w:rPr>
        <w:t>Legitimación y capacidad:-</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Ante todo conviene separar las ideas de </w:t>
      </w:r>
      <w:r w:rsidRPr="00A62029">
        <w:rPr>
          <w:rFonts w:ascii="Arial" w:hAnsi="Arial" w:cs="Arial"/>
          <w:i/>
          <w:iCs/>
          <w:sz w:val="22"/>
          <w:szCs w:val="22"/>
          <w:lang w:val="es-ES_tradnl"/>
        </w:rPr>
        <w:t xml:space="preserve">legitimación </w:t>
      </w:r>
      <w:r w:rsidRPr="00A62029">
        <w:rPr>
          <w:rFonts w:ascii="Arial" w:hAnsi="Arial" w:cs="Arial"/>
          <w:sz w:val="22"/>
          <w:szCs w:val="22"/>
          <w:lang w:val="es-ES_tradnl"/>
        </w:rPr>
        <w:t xml:space="preserve">y de </w:t>
      </w:r>
      <w:r w:rsidRPr="00A62029">
        <w:rPr>
          <w:rFonts w:ascii="Arial" w:hAnsi="Arial" w:cs="Arial"/>
          <w:i/>
          <w:iCs/>
          <w:sz w:val="22"/>
          <w:szCs w:val="22"/>
          <w:lang w:val="es-ES_tradnl"/>
        </w:rPr>
        <w:t xml:space="preserve">capacidad, </w:t>
      </w:r>
      <w:r w:rsidRPr="00A62029">
        <w:rPr>
          <w:rFonts w:ascii="Arial" w:hAnsi="Arial" w:cs="Arial"/>
          <w:sz w:val="22"/>
          <w:szCs w:val="22"/>
          <w:lang w:val="es-ES_tradnl"/>
        </w:rPr>
        <w:t xml:space="preserve">a menudo confundidas en la doctrina y </w:t>
      </w:r>
      <w:r>
        <w:rPr>
          <w:rFonts w:ascii="Arial" w:hAnsi="Arial" w:cs="Arial"/>
          <w:sz w:val="22"/>
          <w:szCs w:val="22"/>
          <w:lang w:val="es-ES_tradnl"/>
        </w:rPr>
        <w:t xml:space="preserve">en </w:t>
      </w:r>
      <w:r w:rsidRPr="00A62029">
        <w:rPr>
          <w:rFonts w:ascii="Arial" w:hAnsi="Arial" w:cs="Arial"/>
          <w:sz w:val="22"/>
          <w:szCs w:val="22"/>
          <w:lang w:val="es-ES_tradnl"/>
        </w:rPr>
        <w:t xml:space="preserve">la práctica.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La </w:t>
      </w:r>
      <w:r w:rsidRPr="00A62029">
        <w:rPr>
          <w:rFonts w:ascii="Arial" w:hAnsi="Arial" w:cs="Arial"/>
          <w:i/>
          <w:iCs/>
          <w:sz w:val="22"/>
          <w:szCs w:val="22"/>
          <w:lang w:val="es-ES_tradnl"/>
        </w:rPr>
        <w:t xml:space="preserve">capacidad </w:t>
      </w:r>
      <w:r w:rsidRPr="00A62029">
        <w:rPr>
          <w:rFonts w:ascii="Arial" w:hAnsi="Arial" w:cs="Arial"/>
          <w:sz w:val="22"/>
          <w:szCs w:val="22"/>
          <w:lang w:val="es-ES_tradnl"/>
        </w:rPr>
        <w:t xml:space="preserve">denota </w:t>
      </w:r>
      <w:r w:rsidRPr="00A62029">
        <w:rPr>
          <w:rFonts w:ascii="Arial" w:hAnsi="Arial" w:cs="Arial"/>
          <w:i/>
          <w:iCs/>
          <w:sz w:val="22"/>
          <w:szCs w:val="22"/>
          <w:lang w:val="es-ES_tradnl"/>
        </w:rPr>
        <w:t xml:space="preserve">inherencia, </w:t>
      </w:r>
      <w:r>
        <w:rPr>
          <w:rFonts w:ascii="Arial" w:hAnsi="Arial" w:cs="Arial"/>
          <w:sz w:val="22"/>
          <w:szCs w:val="22"/>
          <w:lang w:val="es-ES_tradnl"/>
        </w:rPr>
        <w:t>cualidad</w:t>
      </w:r>
      <w:r w:rsidRPr="00A62029">
        <w:rPr>
          <w:rFonts w:ascii="Arial" w:hAnsi="Arial" w:cs="Arial"/>
          <w:sz w:val="22"/>
          <w:szCs w:val="22"/>
          <w:lang w:val="es-ES_tradnl"/>
        </w:rPr>
        <w:t xml:space="preserve"> de un sujeto para ser titular de derechos y obligaciones y para, personalmente, ejercer aquéllos y cumplir éstas, derivada de sus condiciones personales.</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iCs/>
          <w:sz w:val="22"/>
          <w:szCs w:val="22"/>
          <w:lang w:val="es-ES_tradnl"/>
        </w:rPr>
      </w:pPr>
      <w:r w:rsidRPr="00A62029">
        <w:rPr>
          <w:rFonts w:ascii="Arial" w:hAnsi="Arial" w:cs="Arial"/>
          <w:sz w:val="22"/>
          <w:szCs w:val="22"/>
          <w:lang w:val="es-ES_tradnl"/>
        </w:rPr>
        <w:t xml:space="preserve">La </w:t>
      </w:r>
      <w:r w:rsidRPr="00A62029">
        <w:rPr>
          <w:rFonts w:ascii="Arial" w:hAnsi="Arial" w:cs="Arial"/>
          <w:i/>
          <w:iCs/>
          <w:sz w:val="22"/>
          <w:szCs w:val="22"/>
          <w:lang w:val="es-ES_tradnl"/>
        </w:rPr>
        <w:t xml:space="preserve">legitimación </w:t>
      </w:r>
      <w:r w:rsidRPr="00A62029">
        <w:rPr>
          <w:rFonts w:ascii="Arial" w:hAnsi="Arial" w:cs="Arial"/>
          <w:sz w:val="22"/>
          <w:szCs w:val="22"/>
          <w:lang w:val="es-ES_tradnl"/>
        </w:rPr>
        <w:t xml:space="preserve">denota </w:t>
      </w:r>
      <w:r w:rsidRPr="00A62029">
        <w:rPr>
          <w:rFonts w:ascii="Arial" w:hAnsi="Arial" w:cs="Arial"/>
          <w:i/>
          <w:iCs/>
          <w:sz w:val="22"/>
          <w:szCs w:val="22"/>
          <w:lang w:val="es-ES_tradnl"/>
        </w:rPr>
        <w:t xml:space="preserve">relación, </w:t>
      </w:r>
      <w:r w:rsidRPr="00A62029">
        <w:rPr>
          <w:rFonts w:ascii="Arial" w:hAnsi="Arial" w:cs="Arial"/>
          <w:sz w:val="22"/>
          <w:szCs w:val="22"/>
          <w:lang w:val="es-ES_tradnl"/>
        </w:rPr>
        <w:t xml:space="preserve">es una </w:t>
      </w:r>
      <w:r>
        <w:rPr>
          <w:rFonts w:ascii="Arial" w:hAnsi="Arial" w:cs="Arial"/>
          <w:sz w:val="22"/>
          <w:szCs w:val="22"/>
          <w:lang w:val="es-ES_tradnl"/>
        </w:rPr>
        <w:t>cualidad</w:t>
      </w:r>
      <w:r w:rsidRPr="00A62029">
        <w:rPr>
          <w:rFonts w:ascii="Arial" w:hAnsi="Arial" w:cs="Arial"/>
          <w:sz w:val="22"/>
          <w:szCs w:val="22"/>
          <w:lang w:val="es-ES_tradnl"/>
        </w:rPr>
        <w:t xml:space="preserve"> </w:t>
      </w:r>
      <w:r w:rsidRPr="00A62029">
        <w:rPr>
          <w:rFonts w:ascii="Arial" w:hAnsi="Arial" w:cs="Arial"/>
          <w:i/>
          <w:iCs/>
          <w:sz w:val="22"/>
          <w:szCs w:val="22"/>
          <w:lang w:val="es-ES_tradnl"/>
        </w:rPr>
        <w:t xml:space="preserve">extrínseca </w:t>
      </w:r>
      <w:r w:rsidRPr="00A62029">
        <w:rPr>
          <w:rFonts w:ascii="Arial" w:hAnsi="Arial" w:cs="Arial"/>
          <w:sz w:val="22"/>
          <w:szCs w:val="22"/>
          <w:lang w:val="es-ES_tradnl"/>
        </w:rPr>
        <w:t xml:space="preserve">que vincula al sujeto con un particular </w:t>
      </w:r>
      <w:r w:rsidRPr="00A62029">
        <w:rPr>
          <w:rFonts w:ascii="Arial" w:hAnsi="Arial" w:cs="Arial"/>
          <w:i/>
          <w:iCs/>
          <w:sz w:val="22"/>
          <w:szCs w:val="22"/>
          <w:lang w:val="es-ES_tradnl"/>
        </w:rPr>
        <w:t>interés</w:t>
      </w:r>
      <w:r>
        <w:rPr>
          <w:rFonts w:ascii="Arial" w:hAnsi="Arial" w:cs="Arial"/>
          <w:iCs/>
          <w:sz w:val="22"/>
          <w:szCs w:val="22"/>
          <w:lang w:val="es-ES_tradnl"/>
        </w:rPr>
        <w:t>,</w:t>
      </w:r>
      <w:r w:rsidRPr="00A62029">
        <w:rPr>
          <w:rFonts w:ascii="Arial" w:hAnsi="Arial" w:cs="Arial"/>
          <w:i/>
          <w:iCs/>
          <w:sz w:val="22"/>
          <w:szCs w:val="22"/>
          <w:lang w:val="es-ES_tradnl"/>
        </w:rPr>
        <w:t xml:space="preserve"> </w:t>
      </w:r>
      <w:r w:rsidRPr="00A62029">
        <w:rPr>
          <w:rFonts w:ascii="Arial" w:hAnsi="Arial" w:cs="Arial"/>
          <w:sz w:val="22"/>
          <w:szCs w:val="22"/>
          <w:lang w:val="es-ES_tradnl"/>
        </w:rPr>
        <w:t xml:space="preserve">habilitándolo para perseguir su satisfacción a través del ejercicio de una </w:t>
      </w:r>
      <w:r w:rsidRPr="00A62029">
        <w:rPr>
          <w:rFonts w:ascii="Arial" w:hAnsi="Arial" w:cs="Arial"/>
          <w:i/>
          <w:iCs/>
          <w:sz w:val="22"/>
          <w:szCs w:val="22"/>
          <w:lang w:val="es-ES_tradnl"/>
        </w:rPr>
        <w:t>pretensión.</w:t>
      </w:r>
      <w:r>
        <w:rPr>
          <w:rFonts w:ascii="Arial" w:hAnsi="Arial" w:cs="Arial"/>
          <w:iCs/>
          <w:sz w:val="22"/>
          <w:szCs w:val="22"/>
          <w:lang w:val="es-ES_tradnl"/>
        </w:rPr>
        <w:t xml:space="preserve"> Con gran precisión y desde la amplia perspectiva de la teoría general del derecho, se ha dicho que “mientras la capacidad es un modo de ser de la persona, la legitimación, por el contrario, se refiere, al menos directamente, a la relación –léase: “jurídica”-, y solo indirectamente, y a través de ésta, a la persona que es sujeto de ella”</w:t>
      </w:r>
      <w:r>
        <w:rPr>
          <w:rStyle w:val="FootnoteReference"/>
          <w:rFonts w:ascii="Arial" w:hAnsi="Arial" w:cs="Arial"/>
          <w:iCs/>
          <w:sz w:val="22"/>
          <w:szCs w:val="22"/>
          <w:lang w:val="es-ES_tradnl"/>
        </w:rPr>
        <w:footnoteReference w:id="52"/>
      </w:r>
      <w:r>
        <w:rPr>
          <w:rFonts w:ascii="Arial" w:hAnsi="Arial" w:cs="Arial"/>
          <w:iCs/>
          <w:sz w:val="22"/>
          <w:szCs w:val="22"/>
          <w:lang w:val="es-ES_tradnl"/>
        </w:rPr>
        <w:t>.</w:t>
      </w:r>
    </w:p>
    <w:p w:rsidR="00877ED0" w:rsidRDefault="00877ED0" w:rsidP="00356A4A">
      <w:pPr>
        <w:pStyle w:val="NormalWeb"/>
        <w:spacing w:before="0" w:beforeAutospacing="0" w:after="0" w:afterAutospacing="0" w:line="360" w:lineRule="auto"/>
        <w:jc w:val="both"/>
        <w:rPr>
          <w:rFonts w:ascii="Arial" w:hAnsi="Arial" w:cs="Arial"/>
          <w:iCs/>
          <w:sz w:val="22"/>
          <w:szCs w:val="22"/>
          <w:lang w:val="es-ES_tradnl"/>
        </w:rPr>
      </w:pPr>
    </w:p>
    <w:p w:rsidR="00877ED0" w:rsidRDefault="00877ED0" w:rsidP="00BB2064">
      <w:pPr>
        <w:pStyle w:val="NormalWeb"/>
        <w:spacing w:before="0" w:beforeAutospacing="0" w:after="0" w:afterAutospacing="0" w:line="360" w:lineRule="auto"/>
        <w:jc w:val="both"/>
        <w:rPr>
          <w:rFonts w:ascii="Arial" w:hAnsi="Arial" w:cs="Arial"/>
          <w:iCs/>
          <w:sz w:val="22"/>
          <w:szCs w:val="22"/>
          <w:lang w:val="es-ES_tradnl"/>
        </w:rPr>
      </w:pPr>
      <w:r>
        <w:rPr>
          <w:rFonts w:ascii="Arial" w:hAnsi="Arial" w:cs="Arial"/>
          <w:iCs/>
          <w:sz w:val="22"/>
          <w:szCs w:val="22"/>
          <w:lang w:val="es-ES_tradnl"/>
        </w:rPr>
        <w:t xml:space="preserve">La esencial diferencia que separa ambas cualidades subjetivas de las partes que intervienen en un proceso judicial, nos mueve a descartar las expresiones </w:t>
      </w:r>
      <w:r>
        <w:rPr>
          <w:rFonts w:ascii="Arial" w:hAnsi="Arial" w:cs="Arial"/>
          <w:i/>
          <w:iCs/>
          <w:sz w:val="22"/>
          <w:szCs w:val="22"/>
          <w:lang w:val="es-ES_tradnl"/>
        </w:rPr>
        <w:t>legitimación procesal</w:t>
      </w:r>
      <w:r>
        <w:rPr>
          <w:rFonts w:ascii="Arial" w:hAnsi="Arial" w:cs="Arial"/>
          <w:iCs/>
          <w:sz w:val="22"/>
          <w:szCs w:val="22"/>
          <w:lang w:val="es-ES_tradnl"/>
        </w:rPr>
        <w:t xml:space="preserve"> o </w:t>
      </w:r>
      <w:r>
        <w:rPr>
          <w:rFonts w:ascii="Arial" w:hAnsi="Arial" w:cs="Arial"/>
          <w:i/>
          <w:iCs/>
          <w:sz w:val="22"/>
          <w:szCs w:val="22"/>
          <w:lang w:val="es-ES_tradnl"/>
        </w:rPr>
        <w:t>legitimatio ad processum,</w:t>
      </w:r>
      <w:r>
        <w:rPr>
          <w:rFonts w:ascii="Arial" w:hAnsi="Arial" w:cs="Arial"/>
          <w:iCs/>
          <w:sz w:val="22"/>
          <w:szCs w:val="22"/>
          <w:lang w:val="es-ES_tradnl"/>
        </w:rPr>
        <w:t xml:space="preserve"> con que una parte de la doctrina designa la capacidad para ejercer personalmente la calidad de parte –actora o demandada-</w:t>
      </w:r>
      <w:r>
        <w:rPr>
          <w:rStyle w:val="FootnoteReference"/>
          <w:rFonts w:ascii="Arial" w:hAnsi="Arial" w:cs="Arial"/>
          <w:iCs/>
          <w:sz w:val="22"/>
          <w:szCs w:val="22"/>
          <w:lang w:val="es-ES_tradnl"/>
        </w:rPr>
        <w:footnoteReference w:id="53"/>
      </w:r>
      <w:r>
        <w:rPr>
          <w:rFonts w:ascii="Arial" w:hAnsi="Arial" w:cs="Arial"/>
          <w:iCs/>
          <w:sz w:val="22"/>
          <w:szCs w:val="22"/>
          <w:lang w:val="es-ES_tradnl"/>
        </w:rPr>
        <w:t xml:space="preserve">. El empleo de la voz </w:t>
      </w:r>
      <w:r>
        <w:rPr>
          <w:rFonts w:ascii="Arial" w:hAnsi="Arial" w:cs="Arial"/>
          <w:i/>
          <w:iCs/>
          <w:sz w:val="22"/>
          <w:szCs w:val="22"/>
          <w:lang w:val="es-ES_tradnl"/>
        </w:rPr>
        <w:t>legitimación</w:t>
      </w:r>
      <w:r>
        <w:rPr>
          <w:rFonts w:ascii="Arial" w:hAnsi="Arial" w:cs="Arial"/>
          <w:iCs/>
          <w:sz w:val="22"/>
          <w:szCs w:val="22"/>
          <w:lang w:val="es-ES_tradnl"/>
        </w:rPr>
        <w:t xml:space="preserve"> para designar dos realidades –jurídicas- sustancialmente diferentes, genera una confusión en la práctica que viene a agregar una dificultad más –esta vez de orden gramatical: equivocidad del vocablo- a las muchas que genera la labor de conceptualización científica de la realidad significada por el término</w:t>
      </w:r>
      <w:r>
        <w:rPr>
          <w:rStyle w:val="FootnoteReference"/>
          <w:rFonts w:ascii="Arial" w:hAnsi="Arial" w:cs="Arial"/>
          <w:iCs/>
          <w:sz w:val="22"/>
          <w:szCs w:val="22"/>
          <w:lang w:val="es-ES_tradnl"/>
        </w:rPr>
        <w:footnoteReference w:id="54"/>
      </w:r>
      <w:r>
        <w:rPr>
          <w:rFonts w:ascii="Arial" w:hAnsi="Arial" w:cs="Arial"/>
          <w:iCs/>
          <w:sz w:val="22"/>
          <w:szCs w:val="22"/>
          <w:lang w:val="es-ES_tradnl"/>
        </w:rPr>
        <w:t xml:space="preserve">. Ello, sin perjuicio del particular significado que cabe asignar a las expresiones </w:t>
      </w:r>
      <w:r>
        <w:rPr>
          <w:rFonts w:ascii="Arial" w:hAnsi="Arial" w:cs="Arial"/>
          <w:i/>
          <w:iCs/>
          <w:sz w:val="22"/>
          <w:szCs w:val="22"/>
          <w:lang w:val="es-ES_tradnl"/>
        </w:rPr>
        <w:t>legitimación procesal</w:t>
      </w:r>
      <w:r>
        <w:rPr>
          <w:rFonts w:ascii="Arial" w:hAnsi="Arial" w:cs="Arial"/>
          <w:iCs/>
          <w:sz w:val="22"/>
          <w:szCs w:val="22"/>
          <w:lang w:val="es-ES_tradnl"/>
        </w:rPr>
        <w:t xml:space="preserve"> y </w:t>
      </w:r>
      <w:r>
        <w:rPr>
          <w:rFonts w:ascii="Arial" w:hAnsi="Arial" w:cs="Arial"/>
          <w:i/>
          <w:iCs/>
          <w:sz w:val="22"/>
          <w:szCs w:val="22"/>
          <w:lang w:val="es-ES_tradnl"/>
        </w:rPr>
        <w:t>legitimación sustancial</w:t>
      </w:r>
      <w:r>
        <w:rPr>
          <w:rFonts w:ascii="Arial" w:hAnsi="Arial" w:cs="Arial"/>
          <w:iCs/>
          <w:sz w:val="22"/>
          <w:szCs w:val="22"/>
          <w:lang w:val="es-ES_tradnl"/>
        </w:rPr>
        <w:t>, según la opinión que desarrollaremos más adelante.</w:t>
      </w:r>
    </w:p>
    <w:p w:rsidR="00877ED0" w:rsidRDefault="00877ED0" w:rsidP="00BB2064">
      <w:pPr>
        <w:pStyle w:val="NormalWeb"/>
        <w:spacing w:before="0" w:beforeAutospacing="0" w:after="0" w:afterAutospacing="0" w:line="360" w:lineRule="auto"/>
        <w:jc w:val="both"/>
        <w:rPr>
          <w:rFonts w:ascii="Arial" w:hAnsi="Arial" w:cs="Arial"/>
          <w:iCs/>
          <w:sz w:val="22"/>
          <w:szCs w:val="22"/>
          <w:lang w:val="es-ES_tradnl"/>
        </w:rPr>
      </w:pPr>
    </w:p>
    <w:p w:rsidR="00877ED0" w:rsidRPr="008D77A7" w:rsidRDefault="00877ED0" w:rsidP="00846DA2">
      <w:pPr>
        <w:pStyle w:val="NormalWeb"/>
        <w:numPr>
          <w:ilvl w:val="1"/>
          <w:numId w:val="7"/>
        </w:numPr>
        <w:spacing w:before="0" w:beforeAutospacing="0" w:after="0" w:afterAutospacing="0" w:line="360" w:lineRule="auto"/>
        <w:jc w:val="both"/>
        <w:rPr>
          <w:rFonts w:ascii="Arial" w:hAnsi="Arial" w:cs="Arial"/>
          <w:iCs/>
          <w:sz w:val="22"/>
          <w:szCs w:val="22"/>
          <w:lang w:val="es-ES_tradnl"/>
        </w:rPr>
      </w:pPr>
      <w:r>
        <w:rPr>
          <w:rFonts w:ascii="Arial" w:hAnsi="Arial" w:cs="Arial"/>
          <w:i/>
          <w:iCs/>
          <w:sz w:val="22"/>
          <w:szCs w:val="22"/>
          <w:lang w:val="es-ES_tradnl"/>
        </w:rPr>
        <w:t>Perspectivas limitadas. Crítica:-</w:t>
      </w:r>
    </w:p>
    <w:p w:rsidR="00877ED0" w:rsidRDefault="00877ED0" w:rsidP="00A62029">
      <w:pPr>
        <w:pStyle w:val="NormalWeb"/>
        <w:spacing w:before="0" w:beforeAutospacing="0" w:after="0" w:afterAutospacing="0" w:line="360" w:lineRule="auto"/>
        <w:jc w:val="both"/>
        <w:rPr>
          <w:rFonts w:ascii="Arial" w:hAnsi="Arial" w:cs="Arial"/>
          <w:iCs/>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iCs/>
          <w:sz w:val="22"/>
          <w:szCs w:val="22"/>
          <w:lang w:val="es-ES_tradnl"/>
        </w:rPr>
      </w:pPr>
      <w:r>
        <w:rPr>
          <w:rFonts w:ascii="Arial" w:hAnsi="Arial" w:cs="Arial"/>
          <w:iCs/>
          <w:sz w:val="22"/>
          <w:szCs w:val="22"/>
          <w:lang w:val="es-ES_tradnl"/>
        </w:rPr>
        <w:t xml:space="preserve">Delimitado el ámbito dentro del cual debe dirigirse la atención para enuclear el huidizo  instituto que nos ocupa, debemos descartar aquellos puntos de vista que conducen a desacertados resultados en la difícil tarea, los que van desde una perspectiva eminentemente formal, desvinculada por completo del contenido de la pretensión y de la resistencia y de los intereses que con ellas persiguen tutela judicial, hasta los que miran la cuestión desde una perspectiva puramente material. </w:t>
      </w:r>
    </w:p>
    <w:p w:rsidR="00877ED0" w:rsidRDefault="00877ED0" w:rsidP="00A62029">
      <w:pPr>
        <w:pStyle w:val="NormalWeb"/>
        <w:spacing w:before="0" w:beforeAutospacing="0" w:after="0" w:afterAutospacing="0" w:line="360" w:lineRule="auto"/>
        <w:jc w:val="both"/>
        <w:rPr>
          <w:rFonts w:ascii="Arial" w:hAnsi="Arial" w:cs="Arial"/>
          <w:iCs/>
          <w:sz w:val="22"/>
          <w:szCs w:val="22"/>
          <w:lang w:val="es-ES_tradnl"/>
        </w:rPr>
      </w:pPr>
    </w:p>
    <w:p w:rsidR="00877ED0" w:rsidRPr="007C6DD7" w:rsidRDefault="00877ED0" w:rsidP="00A62029">
      <w:pPr>
        <w:pStyle w:val="NormalWeb"/>
        <w:spacing w:before="0" w:beforeAutospacing="0" w:after="0" w:afterAutospacing="0" w:line="360" w:lineRule="auto"/>
        <w:jc w:val="both"/>
        <w:rPr>
          <w:rFonts w:ascii="Arial" w:hAnsi="Arial" w:cs="Arial"/>
          <w:iCs/>
          <w:sz w:val="22"/>
          <w:szCs w:val="22"/>
          <w:lang w:val="es-ES_tradnl"/>
        </w:rPr>
      </w:pPr>
      <w:r>
        <w:rPr>
          <w:rFonts w:ascii="Arial" w:hAnsi="Arial" w:cs="Arial"/>
          <w:iCs/>
          <w:sz w:val="22"/>
          <w:szCs w:val="22"/>
          <w:lang w:val="es-ES_tradnl"/>
        </w:rPr>
        <w:t>Los primeros, vinculan la legitimación procesal con la simple promoción de la demanda ante el órgano judicial, vaciándola de todo contenido procesal y de utilidad para la construcción de un conocimiento científico del proceso judicial y para la elaboración de una técnica eficiente de conducción del proceso. En tal sentido se ha dicho que “Están legitimadas en un proceso concreto las partes procesales, por el mero hecho de serlo. Quienes son estas partes procesales nos lo dice la demanda. Por lo tanto estará legitimada activamente en un proceso concreto la persona que proponga la demanda y legitimada pasivamente la persona frente a quien se dirige la demanda”</w:t>
      </w:r>
      <w:r>
        <w:rPr>
          <w:rStyle w:val="FootnoteReference"/>
          <w:rFonts w:ascii="Arial" w:hAnsi="Arial" w:cs="Arial"/>
          <w:iCs/>
          <w:sz w:val="22"/>
          <w:szCs w:val="22"/>
          <w:lang w:val="es-ES_tradnl"/>
        </w:rPr>
        <w:footnoteReference w:id="55"/>
      </w:r>
      <w:r>
        <w:rPr>
          <w:rFonts w:ascii="Arial" w:hAnsi="Arial" w:cs="Arial"/>
          <w:iCs/>
          <w:sz w:val="22"/>
          <w:szCs w:val="22"/>
          <w:lang w:val="es-ES_tradnl"/>
        </w:rPr>
        <w:t xml:space="preserve">, de donde se infiere que “La única verdad en este sentido es, si se quiere, una intuición: la legitimación es titularidad del derecho litigioso”, lo que “solo resultará del juicio, de la sentencia, en definitiva”. Habiéndose despojado la legitimación de todo contenido procesal  y reconociéndole un completo significado sustancial, no puede sino concluirse que “la teoría de la legitimación representa hoy un esfuerzo superfluo y vano para tratar de asegurar la presencia en el proceso, desde su iniciación, del verdadero titular del derecho. Dicho propósito es estéril porque…admitido el principio de libertad de acción, no puede condicionarse la admisibilidad del proceso a que el litigante justifique </w:t>
      </w:r>
      <w:r>
        <w:rPr>
          <w:rFonts w:ascii="Arial" w:hAnsi="Arial" w:cs="Arial"/>
          <w:i/>
          <w:iCs/>
          <w:sz w:val="22"/>
          <w:szCs w:val="22"/>
          <w:lang w:val="es-ES_tradnl"/>
        </w:rPr>
        <w:t xml:space="preserve">in limine litis </w:t>
      </w:r>
      <w:r>
        <w:rPr>
          <w:rFonts w:ascii="Arial" w:hAnsi="Arial" w:cs="Arial"/>
          <w:iCs/>
          <w:sz w:val="22"/>
          <w:szCs w:val="22"/>
          <w:lang w:val="es-ES_tradnl"/>
        </w:rPr>
        <w:t>la titularidad de su derecho”</w:t>
      </w:r>
      <w:r>
        <w:rPr>
          <w:rStyle w:val="FootnoteReference"/>
          <w:rFonts w:ascii="Arial" w:hAnsi="Arial" w:cs="Arial"/>
          <w:iCs/>
          <w:sz w:val="22"/>
          <w:szCs w:val="22"/>
          <w:lang w:val="es-ES_tradnl"/>
        </w:rPr>
        <w:footnoteReference w:id="56"/>
      </w:r>
      <w:r>
        <w:rPr>
          <w:rFonts w:ascii="Arial" w:hAnsi="Arial" w:cs="Arial"/>
          <w:iCs/>
          <w:sz w:val="22"/>
          <w:szCs w:val="22"/>
          <w:lang w:val="es-ES_tradnl"/>
        </w:rPr>
        <w:t>.</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 xml:space="preserve">La crítica a esta posición -que podríamos denominar </w:t>
      </w:r>
      <w:r>
        <w:rPr>
          <w:rFonts w:ascii="Arial" w:hAnsi="Arial" w:cs="Arial"/>
          <w:i/>
          <w:sz w:val="22"/>
          <w:szCs w:val="22"/>
          <w:lang w:val="es-ES_tradnl"/>
        </w:rPr>
        <w:t>negativa</w:t>
      </w:r>
      <w:r>
        <w:rPr>
          <w:rFonts w:ascii="Arial" w:hAnsi="Arial" w:cs="Arial"/>
          <w:sz w:val="22"/>
          <w:szCs w:val="22"/>
          <w:lang w:val="es-ES_tradnl"/>
        </w:rPr>
        <w:t xml:space="preserve">- se ha emprendido desde la puntual demostración de la utilidad concreta que presta una idea de la  </w:t>
      </w:r>
      <w:r>
        <w:rPr>
          <w:rFonts w:ascii="Arial" w:hAnsi="Arial" w:cs="Arial"/>
          <w:i/>
          <w:sz w:val="22"/>
          <w:szCs w:val="22"/>
          <w:lang w:val="es-ES_tradnl"/>
        </w:rPr>
        <w:t>legitimación procesal</w:t>
      </w:r>
      <w:r>
        <w:rPr>
          <w:rFonts w:ascii="Arial" w:hAnsi="Arial" w:cs="Arial"/>
          <w:sz w:val="22"/>
          <w:szCs w:val="22"/>
          <w:lang w:val="es-ES_tradnl"/>
        </w:rPr>
        <w:t xml:space="preserve"> con contenido sustantivo, para garantizar la libre defensa de los intereses tutelados por el derecho material</w:t>
      </w:r>
      <w:r>
        <w:rPr>
          <w:rStyle w:val="FootnoteReference"/>
          <w:rFonts w:ascii="Arial" w:hAnsi="Arial" w:cs="Arial"/>
          <w:sz w:val="22"/>
          <w:szCs w:val="22"/>
          <w:lang w:val="es-ES_tradnl"/>
        </w:rPr>
        <w:footnoteReference w:id="57"/>
      </w:r>
      <w:r>
        <w:rPr>
          <w:rFonts w:ascii="Arial" w:hAnsi="Arial" w:cs="Arial"/>
          <w:sz w:val="22"/>
          <w:szCs w:val="22"/>
          <w:lang w:val="es-ES_tradnl"/>
        </w:rPr>
        <w:t xml:space="preserve">.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Destacamos especialmente, que, si bien es cierto que el debido proceso legal impone que se garantice un libre acceso a la justicia y la amplitud en la defensa de los intereses deducidos en juicio, no es menos cierto que esa libertad no puede dilatarse al punto de comprender situaciones de verdadero abuso, como es la de quien, amparándose en aquella garantía, hace valer derecho ajenos o intereses no tutelados por el orden jurídico</w:t>
      </w:r>
      <w:r>
        <w:rPr>
          <w:rStyle w:val="FootnoteReference"/>
          <w:rFonts w:ascii="Arial" w:hAnsi="Arial" w:cs="Arial"/>
          <w:sz w:val="22"/>
          <w:szCs w:val="22"/>
          <w:lang w:val="es-ES_tradnl"/>
        </w:rPr>
        <w:footnoteReference w:id="58"/>
      </w:r>
      <w:r>
        <w:rPr>
          <w:rFonts w:ascii="Arial" w:hAnsi="Arial" w:cs="Arial"/>
          <w:sz w:val="22"/>
          <w:szCs w:val="22"/>
          <w:lang w:val="es-ES_tradnl"/>
        </w:rPr>
        <w:t xml:space="preserve">.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 xml:space="preserve">Precisamente, en este punto es donde puede advertirse la convergencia de la </w:t>
      </w:r>
      <w:r>
        <w:rPr>
          <w:rFonts w:ascii="Arial" w:hAnsi="Arial" w:cs="Arial"/>
          <w:i/>
          <w:sz w:val="22"/>
          <w:szCs w:val="22"/>
          <w:lang w:val="es-ES_tradnl"/>
        </w:rPr>
        <w:t xml:space="preserve">pretensión </w:t>
      </w:r>
      <w:r>
        <w:rPr>
          <w:rFonts w:ascii="Arial" w:hAnsi="Arial" w:cs="Arial"/>
          <w:sz w:val="22"/>
          <w:szCs w:val="22"/>
          <w:lang w:val="es-ES_tradnl"/>
        </w:rPr>
        <w:t xml:space="preserve">con el </w:t>
      </w:r>
      <w:r>
        <w:rPr>
          <w:rFonts w:ascii="Arial" w:hAnsi="Arial" w:cs="Arial"/>
          <w:i/>
          <w:sz w:val="22"/>
          <w:szCs w:val="22"/>
          <w:lang w:val="es-ES_tradnl"/>
        </w:rPr>
        <w:t xml:space="preserve">interés en </w:t>
      </w:r>
      <w:r w:rsidRPr="00CD783D">
        <w:rPr>
          <w:rFonts w:ascii="Arial" w:hAnsi="Arial" w:cs="Arial"/>
          <w:sz w:val="22"/>
          <w:szCs w:val="22"/>
          <w:lang w:val="es-ES_tradnl"/>
        </w:rPr>
        <w:t>obrar</w:t>
      </w:r>
      <w:r>
        <w:rPr>
          <w:rFonts w:ascii="Arial" w:hAnsi="Arial" w:cs="Arial"/>
          <w:sz w:val="22"/>
          <w:szCs w:val="22"/>
          <w:lang w:val="es-ES_tradnl"/>
        </w:rPr>
        <w:t xml:space="preserve">, para configurar </w:t>
      </w:r>
      <w:r w:rsidRPr="00CD783D">
        <w:rPr>
          <w:rFonts w:ascii="Arial" w:hAnsi="Arial" w:cs="Arial"/>
          <w:sz w:val="22"/>
          <w:szCs w:val="22"/>
          <w:lang w:val="es-ES_tradnl"/>
        </w:rPr>
        <w:t>una</w:t>
      </w:r>
      <w:r>
        <w:rPr>
          <w:rFonts w:ascii="Arial" w:hAnsi="Arial" w:cs="Arial"/>
          <w:sz w:val="22"/>
          <w:szCs w:val="22"/>
          <w:lang w:val="es-ES_tradnl"/>
        </w:rPr>
        <w:t xml:space="preserve"> de las condiciones básicas del derecho subjetivo de acción, cuya eficacia esencial es hacer surgir en el juez el deber de prestar la actividad jurisdiccional, como función soberana del Estado y única vía de satisfacción del interés público en la composición de los litigios, asumida como contrapartida de la prohibición de la defensa privada de los derechos.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Tal particular eficacia del derecho de acción no puede derivar de su simple ejercicio con las formas extrínsecas previstas en la ley procesal, como lo sostiene la doctrina que criticamos, sino que se encuentra condicionada al cumplimiento de ciertos requisitos, entre los cuales, nos interesa destacar aquí, su “contenido…inomitible e irremplazable”, que es la “pretensión jurídica”, la cual, para infundir eficacia al poder jurídico –</w:t>
      </w:r>
      <w:r>
        <w:rPr>
          <w:rFonts w:ascii="Arial" w:hAnsi="Arial" w:cs="Arial"/>
          <w:i/>
          <w:sz w:val="22"/>
          <w:szCs w:val="22"/>
          <w:lang w:val="es-ES_tradnl"/>
        </w:rPr>
        <w:t xml:space="preserve">acción </w:t>
      </w:r>
      <w:r w:rsidRPr="008B0E68">
        <w:rPr>
          <w:rFonts w:ascii="Arial" w:hAnsi="Arial" w:cs="Arial"/>
          <w:sz w:val="22"/>
          <w:szCs w:val="22"/>
          <w:lang w:val="es-ES_tradnl"/>
        </w:rPr>
        <w:t>procesal</w:t>
      </w:r>
      <w:r>
        <w:rPr>
          <w:rFonts w:ascii="Arial" w:hAnsi="Arial" w:cs="Arial"/>
          <w:sz w:val="22"/>
          <w:szCs w:val="22"/>
          <w:lang w:val="es-ES_tradnl"/>
        </w:rPr>
        <w:t xml:space="preserve">- </w:t>
      </w:r>
      <w:r w:rsidRPr="008B0E68">
        <w:rPr>
          <w:rFonts w:ascii="Arial" w:hAnsi="Arial" w:cs="Arial"/>
          <w:sz w:val="22"/>
          <w:szCs w:val="22"/>
          <w:lang w:val="es-ES_tradnl"/>
        </w:rPr>
        <w:t>que</w:t>
      </w:r>
      <w:r>
        <w:rPr>
          <w:rFonts w:ascii="Arial" w:hAnsi="Arial" w:cs="Arial"/>
          <w:sz w:val="22"/>
          <w:szCs w:val="22"/>
          <w:lang w:val="es-ES_tradnl"/>
        </w:rPr>
        <w:t xml:space="preserve"> hace viable su ejercicio ante los órganos judiciales, debe exhibir en “su fundamentación la posibilidad” de que al cabo “del desarrollo del proceso…el tribunal decida a favor del accionante o en su contra”, puesto que, “Si esta posibilidad faltara no habría sobre qué decidir”</w:t>
      </w:r>
      <w:r>
        <w:rPr>
          <w:rStyle w:val="FootnoteReference"/>
          <w:rFonts w:ascii="Arial" w:hAnsi="Arial" w:cs="Arial"/>
          <w:sz w:val="22"/>
          <w:szCs w:val="22"/>
          <w:lang w:val="es-ES_tradnl"/>
        </w:rPr>
        <w:footnoteReference w:id="59"/>
      </w:r>
      <w:r>
        <w:rPr>
          <w:rFonts w:ascii="Arial" w:hAnsi="Arial" w:cs="Arial"/>
          <w:sz w:val="22"/>
          <w:szCs w:val="22"/>
          <w:lang w:val="es-ES_tradnl"/>
        </w:rPr>
        <w:t xml:space="preserve"> Desde un ángulo diferente, pero con igual sentido y acierto, se afirma  que, en dichos supuestos, “se observa que la “acción” no es tal por no poder lograr de modo alguno la obtención de su objeto”, agregando que “técnicamente, </w:t>
      </w:r>
      <w:r>
        <w:rPr>
          <w:rFonts w:ascii="Arial" w:hAnsi="Arial" w:cs="Arial"/>
          <w:i/>
          <w:sz w:val="22"/>
          <w:szCs w:val="22"/>
          <w:lang w:val="es-ES_tradnl"/>
        </w:rPr>
        <w:t>no hay posibilidad de accionar</w:t>
      </w:r>
      <w:r>
        <w:rPr>
          <w:rFonts w:ascii="Arial" w:hAnsi="Arial" w:cs="Arial"/>
          <w:sz w:val="22"/>
          <w:szCs w:val="22"/>
          <w:lang w:val="es-ES_tradnl"/>
        </w:rPr>
        <w:t xml:space="preserve">: Por tanto, mediante su ejercicio </w:t>
      </w:r>
      <w:r>
        <w:rPr>
          <w:rFonts w:ascii="Arial" w:hAnsi="Arial" w:cs="Arial"/>
          <w:i/>
          <w:sz w:val="22"/>
          <w:szCs w:val="22"/>
          <w:lang w:val="es-ES_tradnl"/>
        </w:rPr>
        <w:t>no habrá proceso</w:t>
      </w:r>
      <w:r>
        <w:rPr>
          <w:rFonts w:ascii="Arial" w:hAnsi="Arial" w:cs="Arial"/>
          <w:sz w:val="22"/>
          <w:szCs w:val="22"/>
          <w:lang w:val="es-ES_tradnl"/>
        </w:rPr>
        <w:t>”</w:t>
      </w:r>
      <w:r>
        <w:rPr>
          <w:rStyle w:val="FootnoteReference"/>
          <w:rFonts w:ascii="Arial" w:hAnsi="Arial" w:cs="Arial"/>
          <w:sz w:val="22"/>
          <w:szCs w:val="22"/>
          <w:lang w:val="es-ES_tradnl"/>
        </w:rPr>
        <w:footnoteReference w:id="60"/>
      </w:r>
      <w:r>
        <w:rPr>
          <w:rFonts w:ascii="Arial" w:hAnsi="Arial" w:cs="Arial"/>
          <w:sz w:val="22"/>
          <w:szCs w:val="22"/>
          <w:lang w:val="es-ES_tradnl"/>
        </w:rPr>
        <w:t>. En definitiva, el ejercicio del derecho de acción por quien no se encuentra legitimado, por no ser su titular, resulta ineficaz e incapaz de hacer surgir la obligación del juez de proveer al acto de demanda en el que aquél ejercicio se concreta.</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 xml:space="preserve">Esa conclusión suscita la duda, que es necesario despejar, acerca de la calificación jurídica con que debe identificarse la actividad de quien presenta una demanda, careciendo del derecho de accionar ante la justicia, y del juez que pronuncia una decisión sobre la validez de aquélla, duda que se extiende a la calidad del poder en base al cual actúa el demandante y la fuente del deber que tiene el juez de pronunciarse respecto de una libelo presentado sin las exigencias mínimas exigidas para adquirir eficacia.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 xml:space="preserve">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 xml:space="preserve">Desde la perspectiva de la actividad, la duda es despejada por ALVARADO VELLOSO, sosteniendo que con aquél acto de parte “se originará un simple </w:t>
      </w:r>
      <w:r>
        <w:rPr>
          <w:rFonts w:ascii="Arial" w:hAnsi="Arial" w:cs="Arial"/>
          <w:i/>
          <w:sz w:val="22"/>
          <w:szCs w:val="22"/>
          <w:lang w:val="es-ES_tradnl"/>
        </w:rPr>
        <w:t>procedimiento</w:t>
      </w:r>
      <w:r>
        <w:rPr>
          <w:rFonts w:ascii="Arial" w:hAnsi="Arial" w:cs="Arial"/>
          <w:sz w:val="22"/>
          <w:szCs w:val="22"/>
          <w:lang w:val="es-ES_tradnl"/>
        </w:rPr>
        <w:t xml:space="preserve"> entre dos sujetos (el actor y el juez que rechazará su posibilidad de accionar)”</w:t>
      </w:r>
      <w:r>
        <w:rPr>
          <w:rStyle w:val="FootnoteReference"/>
          <w:rFonts w:ascii="Arial" w:hAnsi="Arial" w:cs="Arial"/>
          <w:sz w:val="22"/>
          <w:szCs w:val="22"/>
          <w:lang w:val="es-ES_tradnl"/>
        </w:rPr>
        <w:footnoteReference w:id="61"/>
      </w:r>
      <w:r>
        <w:rPr>
          <w:rFonts w:ascii="Arial" w:hAnsi="Arial" w:cs="Arial"/>
          <w:sz w:val="22"/>
          <w:szCs w:val="22"/>
          <w:lang w:val="es-ES_tradnl"/>
        </w:rPr>
        <w:t xml:space="preserve">.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 xml:space="preserve">La dificultad de calificar –jurídicamente- las relaciones que se entablan con motivo de la defectuosa actuación del demandante que suprime toda eficacia procesal al poder ejercido acción procesal-, la supera CARNELUTTI, “distinguiendo la obligación del juez </w:t>
      </w:r>
      <w:r>
        <w:rPr>
          <w:rFonts w:ascii="Arial" w:hAnsi="Arial" w:cs="Arial"/>
          <w:i/>
          <w:sz w:val="22"/>
          <w:szCs w:val="22"/>
          <w:lang w:val="es-ES_tradnl"/>
        </w:rPr>
        <w:t>frente a la parte</w:t>
      </w:r>
      <w:r>
        <w:rPr>
          <w:rFonts w:ascii="Arial" w:hAnsi="Arial" w:cs="Arial"/>
          <w:sz w:val="22"/>
          <w:szCs w:val="22"/>
          <w:lang w:val="es-ES_tradnl"/>
        </w:rPr>
        <w:t xml:space="preserve"> de su obligación </w:t>
      </w:r>
      <w:r>
        <w:rPr>
          <w:rFonts w:ascii="Arial" w:hAnsi="Arial" w:cs="Arial"/>
          <w:i/>
          <w:sz w:val="22"/>
          <w:szCs w:val="22"/>
          <w:lang w:val="es-ES_tradnl"/>
        </w:rPr>
        <w:t xml:space="preserve">frente al Estado”, </w:t>
      </w:r>
      <w:r w:rsidRPr="00B23C57">
        <w:rPr>
          <w:rFonts w:ascii="Arial" w:hAnsi="Arial" w:cs="Arial"/>
          <w:sz w:val="22"/>
          <w:szCs w:val="22"/>
          <w:lang w:val="es-ES_tradnl"/>
        </w:rPr>
        <w:t xml:space="preserve">vínculos </w:t>
      </w:r>
      <w:r>
        <w:rPr>
          <w:rFonts w:ascii="Arial" w:hAnsi="Arial" w:cs="Arial"/>
          <w:sz w:val="22"/>
          <w:szCs w:val="22"/>
          <w:lang w:val="es-ES_tradnl"/>
        </w:rPr>
        <w:t xml:space="preserve">originados “con el nombramiento del juez” por Estado, en el cual este “le impone la obligación de decidir la litis según la demanda de las partes, que se encuentran precisamente en la condición de los terceros favorecidos por un contrato, concluido sin su intervención, por tanto adquieren el derecho por efecto de un acto ajeno (art. 1411-2 del cód. Civil –italiano-), y en cuanto proponen la demanda al juez gravado con la respectiva obligación, declaran querer aprovecharse de ella; pero los terceros a favor de los cuales estipula el Estado, son solamente aquellos que tienen respecto de la litis cualidad de parte </w:t>
      </w:r>
      <w:r w:rsidRPr="00696BA2">
        <w:rPr>
          <w:rFonts w:ascii="Arial" w:hAnsi="Arial" w:cs="Arial"/>
          <w:sz w:val="22"/>
          <w:szCs w:val="22"/>
          <w:lang w:val="es-ES_tradnl"/>
        </w:rPr>
        <w:t>y, por tanto, está provistos de legitimación</w:t>
      </w:r>
      <w:r>
        <w:rPr>
          <w:rFonts w:ascii="Arial" w:hAnsi="Arial" w:cs="Arial"/>
          <w:sz w:val="22"/>
          <w:szCs w:val="22"/>
          <w:lang w:val="es-ES_tradnl"/>
        </w:rPr>
        <w:t>; sin embargo, que el Estado opere sólo a favor de éstos con el efecto de hacerles adquirir un derecho frente al juez, no le impide obligar a este último a pronunciar según ciertas formas también sobre la demanda de quien esté desprovisto de legitimación”</w:t>
      </w:r>
      <w:r>
        <w:rPr>
          <w:rStyle w:val="FootnoteReference"/>
          <w:rFonts w:ascii="Arial" w:hAnsi="Arial" w:cs="Arial"/>
          <w:sz w:val="22"/>
          <w:szCs w:val="22"/>
          <w:lang w:val="es-ES_tradnl"/>
        </w:rPr>
        <w:footnoteReference w:id="62"/>
      </w:r>
      <w:r>
        <w:rPr>
          <w:rFonts w:ascii="Arial" w:hAnsi="Arial" w:cs="Arial"/>
          <w:sz w:val="22"/>
          <w:szCs w:val="22"/>
          <w:lang w:val="es-ES_tradnl"/>
        </w:rPr>
        <w:t>. En otros términos, la demanda presentada en las condiciones referidas, es ineficaz para  hacer nacer en el juez el deber de pronunciarse sobre la pretensión que con ella se presenta; el deber de resolver sobre las condiciones formales de la misma viene impuesto por Estado y frente a él puede exigirse su cumplimiento</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86382B"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Con sobrada razón se ha señalado que el solo hecho de demandar y ser demandado no puede determinar, por sí solo, la legitimación procesal, activa y pasiva, ya que, de tal modo, se reviste a este instituto de un “excesivo formalismo” y “ningún tribunal va a dar andamiento a una demanda sin atender antes a la razonable posibilidad” de que los sujetos de tal demanda se encuentren revestidos de “legitimación causal”</w:t>
      </w:r>
      <w:r>
        <w:rPr>
          <w:rStyle w:val="FootnoteReference"/>
          <w:rFonts w:ascii="Arial" w:hAnsi="Arial" w:cs="Arial"/>
          <w:sz w:val="22"/>
          <w:szCs w:val="22"/>
          <w:lang w:val="es-ES_tradnl"/>
        </w:rPr>
        <w:footnoteReference w:id="63"/>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En el otro extremo se ubican quienes remiten a la titularidad del derecho subjetivo y de la obligación correlativa, o del interés legítimo o del estado o situación jurídica, en los que puede fundarse la pretensión, para la determinación de la legitimación procesal. En general, como lo destacamos precedentemente, la doctrina nacional es de opinión que “la aptitud para demandar y para contradecir coincide con la titularidad de derecho subjetivo sustancial y con el carácter de sujeto pasivo de esa relación sustancial”, y “cuando la controversia se refiere a un derecho subjetivo privado” solo “excepcionalmente”   puede corresponder “aquella atribución del derecho y de la legitimación a personas diversas (legitimación anómala)”</w:t>
      </w:r>
      <w:r>
        <w:rPr>
          <w:rStyle w:val="FootnoteReference"/>
          <w:rFonts w:ascii="Arial" w:hAnsi="Arial" w:cs="Arial"/>
          <w:sz w:val="22"/>
          <w:szCs w:val="22"/>
          <w:lang w:val="es-ES_tradnl"/>
        </w:rPr>
        <w:footnoteReference w:id="64"/>
      </w:r>
      <w:r>
        <w:rPr>
          <w:rFonts w:ascii="Arial" w:hAnsi="Arial" w:cs="Arial"/>
          <w:sz w:val="22"/>
          <w:szCs w:val="22"/>
          <w:lang w:val="es-ES_tradnl"/>
        </w:rPr>
        <w:t>.</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La crítica que, entendemos, merece esta doctrina es la confusión que genera entre una cuestión puramente procesal –identificación de los sujetos titulares del derecho de asumir la calidad de parte en un proceso judicial y de impulsar toda la secuencia de actos procesales regulados en la ley hasta obtener una sentencia que decida acerca de la existencia y alcances del interés, protegido por las normas materiales, que se hizo valer con la pretensión- y una cuestión netamente material -pertenencia del derecho, situación o estado jurídico en que se funda la pretensión</w:t>
      </w:r>
      <w:r>
        <w:rPr>
          <w:rStyle w:val="FootnoteReference"/>
          <w:rFonts w:ascii="Arial" w:hAnsi="Arial" w:cs="Arial"/>
          <w:sz w:val="22"/>
          <w:szCs w:val="22"/>
          <w:lang w:val="es-ES_tradnl"/>
        </w:rPr>
        <w:footnoteReference w:id="65"/>
      </w:r>
      <w:r>
        <w:rPr>
          <w:rFonts w:ascii="Arial" w:hAnsi="Arial" w:cs="Arial"/>
          <w:sz w:val="22"/>
          <w:szCs w:val="22"/>
          <w:lang w:val="es-ES_tradnl"/>
        </w:rPr>
        <w:t xml:space="preserve">-.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No hay duda, para nosotros, que “es necesario distinguir entre titularidad activa o pasiva de la relación jurídica material que se discute en el proceso, que se regula por normas de derecho sustantivo, y posición habilitante para formular la pretensión (legitimación activa) o para que contra él se formule (legitimación pasiva) en condiciones de ser examinada por el tribunal en cuanto al fondo y pueda procederse a la actuación del derecho objetivo, que se regula por normas procesales”</w:t>
      </w:r>
      <w:r>
        <w:rPr>
          <w:rStyle w:val="FootnoteReference"/>
          <w:rFonts w:ascii="Arial" w:hAnsi="Arial" w:cs="Arial"/>
          <w:sz w:val="22"/>
          <w:szCs w:val="22"/>
          <w:lang w:val="es-ES_tradnl"/>
        </w:rPr>
        <w:footnoteReference w:id="66"/>
      </w:r>
      <w:r>
        <w:rPr>
          <w:rFonts w:ascii="Arial" w:hAnsi="Arial" w:cs="Arial"/>
          <w:sz w:val="22"/>
          <w:szCs w:val="22"/>
          <w:lang w:val="es-ES_tradnl"/>
        </w:rPr>
        <w:t xml:space="preserve">.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086A69" w:rsidRDefault="00877ED0" w:rsidP="001C39AB">
      <w:pPr>
        <w:pStyle w:val="NormalWeb"/>
        <w:numPr>
          <w:ilvl w:val="1"/>
          <w:numId w:val="7"/>
        </w:numPr>
        <w:spacing w:before="0" w:beforeAutospacing="0" w:after="0" w:afterAutospacing="0" w:line="360" w:lineRule="auto"/>
        <w:jc w:val="both"/>
        <w:rPr>
          <w:rFonts w:ascii="Arial" w:hAnsi="Arial" w:cs="Arial"/>
          <w:sz w:val="22"/>
          <w:szCs w:val="22"/>
          <w:lang w:val="es-ES_tradnl"/>
        </w:rPr>
      </w:pPr>
      <w:r>
        <w:rPr>
          <w:rFonts w:ascii="Arial" w:hAnsi="Arial" w:cs="Arial"/>
          <w:i/>
          <w:sz w:val="22"/>
          <w:szCs w:val="22"/>
          <w:lang w:val="es-ES_tradnl"/>
        </w:rPr>
        <w:t>Concepto:-</w:t>
      </w:r>
    </w:p>
    <w:p w:rsidR="00877ED0" w:rsidRPr="007C6DD7"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DC69E4" w:rsidRDefault="00877ED0" w:rsidP="00A62029">
      <w:pPr>
        <w:pStyle w:val="NormalWeb"/>
        <w:spacing w:before="0" w:beforeAutospacing="0" w:after="0" w:afterAutospacing="0" w:line="360" w:lineRule="auto"/>
        <w:jc w:val="both"/>
        <w:rPr>
          <w:rFonts w:ascii="Arial" w:hAnsi="Arial" w:cs="Arial"/>
          <w:iCs/>
          <w:sz w:val="22"/>
          <w:szCs w:val="22"/>
          <w:lang w:val="es-ES_tradnl"/>
        </w:rPr>
      </w:pPr>
      <w:r w:rsidRPr="00A62029">
        <w:rPr>
          <w:rFonts w:ascii="Arial" w:hAnsi="Arial" w:cs="Arial"/>
          <w:sz w:val="22"/>
          <w:szCs w:val="22"/>
          <w:lang w:val="es-ES_tradnl"/>
        </w:rPr>
        <w:t xml:space="preserve">Se ha definido la </w:t>
      </w:r>
      <w:r w:rsidRPr="00A62029">
        <w:rPr>
          <w:rFonts w:ascii="Arial" w:hAnsi="Arial" w:cs="Arial"/>
          <w:i/>
          <w:iCs/>
          <w:sz w:val="22"/>
          <w:szCs w:val="22"/>
          <w:lang w:val="es-ES_tradnl"/>
        </w:rPr>
        <w:t xml:space="preserve">legitimación </w:t>
      </w:r>
      <w:r w:rsidRPr="00A62029">
        <w:rPr>
          <w:rFonts w:ascii="Arial" w:hAnsi="Arial" w:cs="Arial"/>
          <w:sz w:val="22"/>
          <w:szCs w:val="22"/>
          <w:lang w:val="es-ES_tradnl"/>
        </w:rPr>
        <w:t>como la “probable titularidad de los intereses específicos del objeto” de cada proceso judicial</w:t>
      </w:r>
      <w:r w:rsidRPr="00A62029">
        <w:rPr>
          <w:rStyle w:val="FootnoteReference"/>
          <w:rFonts w:ascii="Arial" w:hAnsi="Arial" w:cs="Arial"/>
          <w:sz w:val="22"/>
          <w:szCs w:val="22"/>
          <w:lang w:val="es-ES_tradnl"/>
        </w:rPr>
        <w:footnoteReference w:id="67"/>
      </w:r>
      <w:r w:rsidRPr="00A62029">
        <w:rPr>
          <w:rFonts w:ascii="Arial" w:hAnsi="Arial" w:cs="Arial"/>
          <w:sz w:val="22"/>
          <w:szCs w:val="22"/>
          <w:lang w:val="es-ES_tradnl"/>
        </w:rPr>
        <w:t xml:space="preserve">, con lo que se ha querido </w:t>
      </w:r>
      <w:r>
        <w:rPr>
          <w:rFonts w:ascii="Arial" w:hAnsi="Arial" w:cs="Arial"/>
          <w:sz w:val="22"/>
          <w:szCs w:val="22"/>
          <w:lang w:val="es-ES_tradnl"/>
        </w:rPr>
        <w:t>denot</w:t>
      </w:r>
      <w:r w:rsidRPr="00A62029">
        <w:rPr>
          <w:rFonts w:ascii="Arial" w:hAnsi="Arial" w:cs="Arial"/>
          <w:sz w:val="22"/>
          <w:szCs w:val="22"/>
          <w:lang w:val="es-ES_tradnl"/>
        </w:rPr>
        <w:t>ar la singular</w:t>
      </w:r>
      <w:r>
        <w:rPr>
          <w:rFonts w:ascii="Arial" w:hAnsi="Arial" w:cs="Arial"/>
          <w:sz w:val="22"/>
          <w:szCs w:val="22"/>
          <w:lang w:val="es-ES_tradnl"/>
        </w:rPr>
        <w:t xml:space="preserve"> </w:t>
      </w:r>
      <w:r w:rsidRPr="00A62029">
        <w:rPr>
          <w:rFonts w:ascii="Arial" w:hAnsi="Arial" w:cs="Arial"/>
          <w:sz w:val="22"/>
          <w:szCs w:val="22"/>
          <w:lang w:val="es-ES_tradnl"/>
        </w:rPr>
        <w:t xml:space="preserve"> situación que tiene lugar en todo proceso judicial, en la que se parte de la simple afirmación de la existencia de una relación</w:t>
      </w:r>
      <w:r>
        <w:rPr>
          <w:rFonts w:ascii="Arial" w:hAnsi="Arial" w:cs="Arial"/>
          <w:sz w:val="22"/>
          <w:szCs w:val="22"/>
          <w:lang w:val="es-ES_tradnl"/>
        </w:rPr>
        <w:t>, estado o situación,</w:t>
      </w:r>
      <w:r w:rsidRPr="00A62029">
        <w:rPr>
          <w:rFonts w:ascii="Arial" w:hAnsi="Arial" w:cs="Arial"/>
          <w:sz w:val="22"/>
          <w:szCs w:val="22"/>
          <w:lang w:val="es-ES_tradnl"/>
        </w:rPr>
        <w:t xml:space="preserve"> jurídic</w:t>
      </w:r>
      <w:r>
        <w:rPr>
          <w:rFonts w:ascii="Arial" w:hAnsi="Arial" w:cs="Arial"/>
          <w:sz w:val="22"/>
          <w:szCs w:val="22"/>
          <w:lang w:val="es-ES_tradnl"/>
        </w:rPr>
        <w:t>os</w:t>
      </w:r>
      <w:r w:rsidRPr="00A62029">
        <w:rPr>
          <w:rFonts w:ascii="Arial" w:hAnsi="Arial" w:cs="Arial"/>
          <w:sz w:val="22"/>
          <w:szCs w:val="22"/>
          <w:lang w:val="es-ES_tradnl"/>
        </w:rPr>
        <w:t xml:space="preserve"> y de su titularidad </w:t>
      </w:r>
      <w:r>
        <w:rPr>
          <w:rFonts w:ascii="Arial" w:hAnsi="Arial" w:cs="Arial"/>
          <w:sz w:val="22"/>
          <w:szCs w:val="22"/>
          <w:lang w:val="es-ES_tradnl"/>
        </w:rPr>
        <w:t xml:space="preserve">o particular disponibilidad </w:t>
      </w:r>
      <w:r w:rsidRPr="00A62029">
        <w:rPr>
          <w:rFonts w:ascii="Arial" w:hAnsi="Arial" w:cs="Arial"/>
          <w:sz w:val="22"/>
          <w:szCs w:val="22"/>
          <w:lang w:val="es-ES_tradnl"/>
        </w:rPr>
        <w:t>—activa y pasiva- por las partes, actora y demandada</w:t>
      </w:r>
      <w:r>
        <w:rPr>
          <w:rFonts w:ascii="Arial" w:hAnsi="Arial" w:cs="Arial"/>
          <w:sz w:val="22"/>
          <w:szCs w:val="22"/>
          <w:lang w:val="es-ES_tradnl"/>
        </w:rPr>
        <w:t>, todo lo que se somete a decisión judicial y queda sujeto a la declaración que se formule en la sentencia definitiva acerca de la coincidencia de tal afirmación con la realidad jurídica objeto de juzgamiento</w:t>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Es necesario completar la idea haciendo referencia a la </w:t>
      </w:r>
      <w:r>
        <w:rPr>
          <w:rFonts w:ascii="Arial" w:hAnsi="Arial" w:cs="Arial"/>
          <w:sz w:val="22"/>
          <w:szCs w:val="22"/>
          <w:lang w:val="es-ES_tradnl"/>
        </w:rPr>
        <w:t>eficacia</w:t>
      </w:r>
      <w:r w:rsidRPr="00A62029">
        <w:rPr>
          <w:rFonts w:ascii="Arial" w:hAnsi="Arial" w:cs="Arial"/>
          <w:sz w:val="22"/>
          <w:szCs w:val="22"/>
          <w:lang w:val="es-ES_tradnl"/>
        </w:rPr>
        <w:t xml:space="preserve"> que se deriva de aquélla probable titularidad, que no es otra que la de habilitar, a los probables </w:t>
      </w:r>
      <w:r>
        <w:rPr>
          <w:rFonts w:ascii="Arial" w:hAnsi="Arial" w:cs="Arial"/>
          <w:sz w:val="22"/>
          <w:szCs w:val="22"/>
          <w:lang w:val="es-ES_tradnl"/>
        </w:rPr>
        <w:t>poseedo</w:t>
      </w:r>
      <w:r w:rsidRPr="00A62029">
        <w:rPr>
          <w:rFonts w:ascii="Arial" w:hAnsi="Arial" w:cs="Arial"/>
          <w:sz w:val="22"/>
          <w:szCs w:val="22"/>
          <w:lang w:val="es-ES_tradnl"/>
        </w:rPr>
        <w:t>res</w:t>
      </w:r>
      <w:r>
        <w:rPr>
          <w:rFonts w:ascii="Arial" w:hAnsi="Arial" w:cs="Arial"/>
          <w:sz w:val="22"/>
          <w:szCs w:val="22"/>
          <w:lang w:val="es-ES_tradnl"/>
        </w:rPr>
        <w:t xml:space="preserve"> de aquella cualidad</w:t>
      </w:r>
      <w:r w:rsidRPr="00A62029">
        <w:rPr>
          <w:rFonts w:ascii="Arial" w:hAnsi="Arial" w:cs="Arial"/>
          <w:sz w:val="22"/>
          <w:szCs w:val="22"/>
          <w:lang w:val="es-ES_tradnl"/>
        </w:rPr>
        <w:t>, para “estimular en el caso concreto la función jurisdiccional”, en razón de considerárselos, “con relación al hecho invocado, en una situación individual que las hace aparecer como especialmente calificadas para afirmar y contradecir respecto de la materia en cuestión”</w:t>
      </w:r>
      <w:r w:rsidRPr="00A62029">
        <w:rPr>
          <w:rStyle w:val="FootnoteReference"/>
          <w:rFonts w:ascii="Arial" w:hAnsi="Arial" w:cs="Arial"/>
          <w:sz w:val="22"/>
          <w:szCs w:val="22"/>
          <w:lang w:val="es-ES_tradnl"/>
        </w:rPr>
        <w:footnoteReference w:id="68"/>
      </w:r>
      <w:r w:rsidRPr="00A62029">
        <w:rPr>
          <w:rFonts w:ascii="Arial" w:hAnsi="Arial" w:cs="Arial"/>
          <w:sz w:val="22"/>
          <w:szCs w:val="22"/>
          <w:lang w:val="es-ES_tradnl"/>
        </w:rPr>
        <w:t>.</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 </w:t>
      </w:r>
      <w:r w:rsidRPr="00A62029">
        <w:rPr>
          <w:rFonts w:ascii="Arial" w:hAnsi="Arial" w:cs="Arial"/>
          <w:sz w:val="22"/>
          <w:szCs w:val="22"/>
          <w:lang w:val="es-ES_tradnl"/>
        </w:rPr>
        <w:br/>
        <w:t xml:space="preserve">En definitiva, entendemos por </w:t>
      </w:r>
      <w:r w:rsidRPr="00A62029">
        <w:rPr>
          <w:rFonts w:ascii="Arial" w:hAnsi="Arial" w:cs="Arial"/>
          <w:i/>
          <w:iCs/>
          <w:sz w:val="22"/>
          <w:szCs w:val="22"/>
          <w:lang w:val="es-ES_tradnl"/>
        </w:rPr>
        <w:t xml:space="preserve">legitimación </w:t>
      </w:r>
      <w:r w:rsidRPr="00A62029">
        <w:rPr>
          <w:rFonts w:ascii="Arial" w:hAnsi="Arial" w:cs="Arial"/>
          <w:sz w:val="22"/>
          <w:szCs w:val="22"/>
          <w:lang w:val="es-ES_tradnl"/>
        </w:rPr>
        <w:t xml:space="preserve">la cualidad que la ley </w:t>
      </w:r>
      <w:r>
        <w:rPr>
          <w:rFonts w:ascii="Arial" w:hAnsi="Arial" w:cs="Arial"/>
          <w:sz w:val="22"/>
          <w:szCs w:val="22"/>
          <w:lang w:val="es-ES_tradnl"/>
        </w:rPr>
        <w:t xml:space="preserve">procesal </w:t>
      </w:r>
      <w:r w:rsidRPr="00A62029">
        <w:rPr>
          <w:rFonts w:ascii="Arial" w:hAnsi="Arial" w:cs="Arial"/>
          <w:sz w:val="22"/>
          <w:szCs w:val="22"/>
          <w:lang w:val="es-ES_tradnl"/>
        </w:rPr>
        <w:t xml:space="preserve">confiere a un sujeto </w:t>
      </w:r>
      <w:r>
        <w:rPr>
          <w:rFonts w:ascii="Arial" w:hAnsi="Arial" w:cs="Arial"/>
          <w:sz w:val="22"/>
          <w:szCs w:val="22"/>
          <w:lang w:val="es-ES_tradnl"/>
        </w:rPr>
        <w:t xml:space="preserve">y que lo </w:t>
      </w:r>
      <w:r w:rsidRPr="00A62029">
        <w:rPr>
          <w:rFonts w:ascii="Arial" w:hAnsi="Arial" w:cs="Arial"/>
          <w:sz w:val="22"/>
          <w:szCs w:val="22"/>
          <w:lang w:val="es-ES_tradnl"/>
        </w:rPr>
        <w:t>habilit</w:t>
      </w:r>
      <w:r>
        <w:rPr>
          <w:rFonts w:ascii="Arial" w:hAnsi="Arial" w:cs="Arial"/>
          <w:sz w:val="22"/>
          <w:szCs w:val="22"/>
          <w:lang w:val="es-ES_tradnl"/>
        </w:rPr>
        <w:t>a</w:t>
      </w:r>
      <w:r w:rsidRPr="00A62029">
        <w:rPr>
          <w:rFonts w:ascii="Arial" w:hAnsi="Arial" w:cs="Arial"/>
          <w:sz w:val="22"/>
          <w:szCs w:val="22"/>
          <w:lang w:val="es-ES_tradnl"/>
        </w:rPr>
        <w:t xml:space="preserve"> a pretender la satisfacción de un </w:t>
      </w:r>
      <w:r w:rsidRPr="00A62029">
        <w:rPr>
          <w:rFonts w:ascii="Arial" w:hAnsi="Arial" w:cs="Arial"/>
          <w:i/>
          <w:iCs/>
          <w:sz w:val="22"/>
          <w:szCs w:val="22"/>
          <w:lang w:val="es-ES_tradnl"/>
        </w:rPr>
        <w:t xml:space="preserve">interés jurídico </w:t>
      </w:r>
      <w:r w:rsidRPr="00A62029">
        <w:rPr>
          <w:rFonts w:ascii="Arial" w:hAnsi="Arial" w:cs="Arial"/>
          <w:sz w:val="22"/>
          <w:szCs w:val="22"/>
          <w:lang w:val="es-ES_tradnl"/>
        </w:rPr>
        <w:t xml:space="preserve">a través de un pronunciamiento </w:t>
      </w:r>
      <w:r>
        <w:rPr>
          <w:rFonts w:ascii="Arial" w:hAnsi="Arial" w:cs="Arial"/>
          <w:sz w:val="22"/>
          <w:szCs w:val="22"/>
          <w:lang w:val="es-ES_tradnl"/>
        </w:rPr>
        <w:t xml:space="preserve">judicial </w:t>
      </w:r>
      <w:r w:rsidRPr="00A62029">
        <w:rPr>
          <w:rFonts w:ascii="Arial" w:hAnsi="Arial" w:cs="Arial"/>
          <w:sz w:val="22"/>
          <w:szCs w:val="22"/>
          <w:lang w:val="es-ES_tradnl"/>
        </w:rPr>
        <w:t>sobre el mérito de la pretensión ejercida</w:t>
      </w:r>
      <w:r>
        <w:rPr>
          <w:rFonts w:ascii="Arial" w:hAnsi="Arial" w:cs="Arial"/>
          <w:sz w:val="22"/>
          <w:szCs w:val="22"/>
          <w:lang w:val="es-ES_tradnl"/>
        </w:rPr>
        <w:t xml:space="preserve">, cualidad que se adquiere en concreto por la mera afirmación ante el órgano judicial de la titularidad de dicho interés jurídico y de la vinculación del sujeto, contra el cual se formula la pretensión, a prestar la cooperación que la ley impone para la satisfacción pretendida, el cual adquiere legitimación –pasiva- para formular una resistencia fundada –razonada- a satisfacer aquél interés. </w:t>
      </w:r>
      <w:r w:rsidRPr="00A62029">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49001B">
      <w:pPr>
        <w:pStyle w:val="NormalWeb"/>
        <w:spacing w:line="360" w:lineRule="auto"/>
        <w:jc w:val="both"/>
        <w:rPr>
          <w:rFonts w:ascii="Arial" w:hAnsi="Arial" w:cs="Arial"/>
          <w:sz w:val="22"/>
          <w:szCs w:val="22"/>
          <w:lang w:val="es-ES_tradnl"/>
        </w:rPr>
      </w:pPr>
      <w:r w:rsidRPr="00A62029">
        <w:rPr>
          <w:rFonts w:ascii="Arial" w:hAnsi="Arial" w:cs="Arial"/>
          <w:sz w:val="22"/>
          <w:szCs w:val="22"/>
          <w:lang w:val="es-ES_tradnl"/>
        </w:rPr>
        <w:t>La cualidad proviene siempre del orden jurídico</w:t>
      </w:r>
      <w:r>
        <w:rPr>
          <w:rFonts w:ascii="Arial" w:hAnsi="Arial" w:cs="Arial"/>
          <w:sz w:val="22"/>
          <w:szCs w:val="22"/>
          <w:lang w:val="es-ES_tradnl"/>
        </w:rPr>
        <w:t xml:space="preserve"> y en particular, del ordenamiento procesal</w:t>
      </w:r>
      <w:r w:rsidRPr="00A62029">
        <w:rPr>
          <w:rFonts w:ascii="Arial" w:hAnsi="Arial" w:cs="Arial"/>
          <w:sz w:val="22"/>
          <w:szCs w:val="22"/>
          <w:lang w:val="es-ES_tradnl"/>
        </w:rPr>
        <w:t xml:space="preserve">, lo que no significa que en cada caso deba mediar una norma que específicamente confiera legitimación; la habilitación puede ser genérica y provenir, aún, </w:t>
      </w:r>
      <w:r>
        <w:rPr>
          <w:rFonts w:ascii="Arial" w:hAnsi="Arial" w:cs="Arial"/>
          <w:sz w:val="22"/>
          <w:szCs w:val="22"/>
          <w:lang w:val="es-ES_tradnl"/>
        </w:rPr>
        <w:t>de garantías consagradas en el texto</w:t>
      </w:r>
      <w:r w:rsidRPr="00A62029">
        <w:rPr>
          <w:rFonts w:ascii="Arial" w:hAnsi="Arial" w:cs="Arial"/>
          <w:sz w:val="22"/>
          <w:szCs w:val="22"/>
          <w:lang w:val="es-ES_tradnl"/>
        </w:rPr>
        <w:t xml:space="preserve"> constitucional, habilitando a todos los titulares de un derecho subjetivo o de un interés protegido a defenderlo en juicio, como ocurre con nuestro artículo 18 de la Constitución Nacional</w:t>
      </w:r>
      <w:r>
        <w:rPr>
          <w:rFonts w:ascii="Arial" w:hAnsi="Arial" w:cs="Arial"/>
          <w:sz w:val="22"/>
          <w:szCs w:val="22"/>
          <w:lang w:val="es-ES_tradnl"/>
        </w:rPr>
        <w:t xml:space="preserve"> y el artículo 8 de la Convención Americana sobre Derechos Humanos. </w:t>
      </w:r>
    </w:p>
    <w:p w:rsidR="00877ED0" w:rsidRDefault="00877ED0" w:rsidP="0049001B">
      <w:pPr>
        <w:pStyle w:val="NormalWeb"/>
        <w:spacing w:line="360" w:lineRule="auto"/>
        <w:jc w:val="both"/>
        <w:rPr>
          <w:rFonts w:ascii="Arial" w:hAnsi="Arial" w:cs="Arial"/>
          <w:sz w:val="22"/>
          <w:szCs w:val="22"/>
          <w:lang w:val="es-ES_tradnl"/>
        </w:rPr>
      </w:pPr>
    </w:p>
    <w:p w:rsidR="00877ED0" w:rsidRPr="00A62029" w:rsidRDefault="00877ED0" w:rsidP="0049001B">
      <w:pPr>
        <w:pStyle w:val="NormalWeb"/>
        <w:spacing w:line="360" w:lineRule="auto"/>
        <w:jc w:val="both"/>
        <w:rPr>
          <w:rFonts w:ascii="Arial" w:hAnsi="Arial" w:cs="Arial"/>
          <w:sz w:val="22"/>
          <w:szCs w:val="22"/>
          <w:lang w:val="es-ES_tradnl"/>
        </w:rPr>
      </w:pPr>
      <w:r>
        <w:rPr>
          <w:rFonts w:ascii="Arial" w:hAnsi="Arial" w:cs="Arial"/>
          <w:sz w:val="22"/>
          <w:szCs w:val="22"/>
          <w:lang w:val="es-ES_tradnl"/>
        </w:rPr>
        <w:t xml:space="preserve">En tal sentido debe entenderse la doctrina jurisprudencial de la Corte Suprema Nacional, según la cual </w:t>
      </w:r>
      <w:r w:rsidRPr="00A62029">
        <w:rPr>
          <w:rFonts w:ascii="Arial" w:hAnsi="Arial" w:cs="Arial"/>
          <w:sz w:val="22"/>
          <w:szCs w:val="22"/>
          <w:lang w:val="es-ES_tradnl"/>
        </w:rPr>
        <w:t xml:space="preserve"> </w:t>
      </w:r>
      <w:r>
        <w:rPr>
          <w:rFonts w:ascii="Arial" w:hAnsi="Arial" w:cs="Arial"/>
          <w:sz w:val="22"/>
          <w:szCs w:val="22"/>
          <w:lang w:val="es-ES_tradnl"/>
        </w:rPr>
        <w:t>“</w:t>
      </w:r>
      <w:r w:rsidRPr="00353F61">
        <w:rPr>
          <w:rFonts w:ascii="Arial" w:hAnsi="Arial" w:cs="Arial"/>
          <w:sz w:val="22"/>
          <w:szCs w:val="22"/>
          <w:lang w:val="es-ES_tradnl"/>
        </w:rPr>
        <w:t>la regla general en materia de legitimación es que los derechos sobre bienes jurídicos individuales son ejercidos por su titular</w:t>
      </w:r>
      <w:r>
        <w:rPr>
          <w:rFonts w:ascii="Arial" w:hAnsi="Arial" w:cs="Arial"/>
          <w:sz w:val="22"/>
          <w:szCs w:val="22"/>
          <w:lang w:val="es-ES_tradnl"/>
        </w:rPr>
        <w:t>”</w:t>
      </w:r>
      <w:r>
        <w:rPr>
          <w:rStyle w:val="FootnoteReference"/>
          <w:rFonts w:ascii="Arial" w:hAnsi="Arial" w:cs="Arial"/>
          <w:sz w:val="22"/>
          <w:szCs w:val="22"/>
          <w:lang w:val="es-ES_tradnl"/>
        </w:rPr>
        <w:footnoteReference w:id="69"/>
      </w:r>
      <w:r>
        <w:rPr>
          <w:rFonts w:ascii="Arial" w:hAnsi="Arial" w:cs="Arial"/>
          <w:sz w:val="22"/>
          <w:szCs w:val="22"/>
          <w:lang w:val="es-ES_tradnl"/>
        </w:rPr>
        <w:t xml:space="preserve"> y ello es así por cuanto “</w:t>
      </w:r>
      <w:r w:rsidRPr="00353F61">
        <w:rPr>
          <w:rFonts w:ascii="Arial" w:hAnsi="Arial" w:cs="Arial"/>
          <w:sz w:val="22"/>
          <w:szCs w:val="22"/>
          <w:lang w:val="es-ES_tradnl"/>
        </w:rPr>
        <w:t>donde hay un derecho hay un remedio legal para hacerlo valer toda vez que sea desconocido</w:t>
      </w:r>
      <w:r>
        <w:rPr>
          <w:rFonts w:ascii="Arial" w:hAnsi="Arial" w:cs="Arial"/>
          <w:sz w:val="22"/>
          <w:szCs w:val="22"/>
          <w:lang w:val="es-ES_tradnl"/>
        </w:rPr>
        <w:t>…</w:t>
      </w:r>
      <w:r w:rsidRPr="00353F61">
        <w:rPr>
          <w:rFonts w:ascii="Arial" w:hAnsi="Arial" w:cs="Arial"/>
          <w:sz w:val="22"/>
          <w:szCs w:val="22"/>
          <w:lang w:val="es-ES_tradnl"/>
        </w:rPr>
        <w:t>pues las garantías constitucionales existen y protegen a los individuos por el solo hecho de estar en la Constitución e independientemente de sus leyes reglamentarias, cuyas limitaciones no pueden constituir obstáculo para la vigencia efectiva de dichas garantías (Fallos: 239:459; 241:291 y 315:1492)</w:t>
      </w:r>
      <w:r>
        <w:rPr>
          <w:rFonts w:ascii="Arial" w:hAnsi="Arial" w:cs="Arial"/>
          <w:sz w:val="22"/>
          <w:szCs w:val="22"/>
          <w:lang w:val="es-ES_tradnl"/>
        </w:rPr>
        <w:t>, además de que “</w:t>
      </w:r>
      <w:r w:rsidRPr="00353F61">
        <w:rPr>
          <w:rFonts w:ascii="Arial" w:hAnsi="Arial" w:cs="Arial"/>
          <w:sz w:val="22"/>
          <w:szCs w:val="22"/>
          <w:lang w:val="es-ES_tradnl"/>
        </w:rPr>
        <w:t>La eficacia de las garantías sustantivas y procesales debe ser armonizada con el ejercicio individual de los derechos que la Constitución también protege como derivación de la tutela de la propiedad, del contrato, de la libertad de comercio, del derecho de trabajar, y la esfera privada, todos derechos de ejercicio privado</w:t>
      </w:r>
      <w:r>
        <w:rPr>
          <w:rFonts w:ascii="Arial" w:hAnsi="Arial" w:cs="Arial"/>
          <w:sz w:val="22"/>
          <w:szCs w:val="22"/>
          <w:lang w:val="es-ES_tradnl"/>
        </w:rPr>
        <w:t>”</w:t>
      </w:r>
      <w:r>
        <w:rPr>
          <w:rStyle w:val="FootnoteReference"/>
          <w:rFonts w:ascii="Arial" w:hAnsi="Arial" w:cs="Arial"/>
          <w:sz w:val="22"/>
          <w:szCs w:val="22"/>
          <w:lang w:val="es-ES_tradnl"/>
        </w:rPr>
        <w:footnoteReference w:id="70"/>
      </w:r>
      <w:r w:rsidRPr="00353F61">
        <w:rPr>
          <w:rFonts w:ascii="Arial" w:hAnsi="Arial" w:cs="Arial"/>
          <w:sz w:val="22"/>
          <w:szCs w:val="22"/>
          <w:lang w:val="es-ES_tradnl"/>
        </w:rPr>
        <w:t>.</w:t>
      </w:r>
      <w:r>
        <w:rPr>
          <w:rFonts w:ascii="Arial" w:hAnsi="Arial" w:cs="Arial"/>
          <w:sz w:val="22"/>
          <w:szCs w:val="22"/>
          <w:lang w:val="es-ES_tradnl"/>
        </w:rPr>
        <w:t xml:space="preserve">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 xml:space="preserve">La prueba de aquella cualidad en la que consiste la legitimación procesal no puede imponerse como condición de eficacia del derecho de acción, habida cuenta que ello constituiría un obstáculo irrazonable para el ejercicio del derecho de defensa, de donde resulta que, como lo dijimos, tal cualidad no puede sino consistir en una “legitimación de </w:t>
      </w:r>
      <w:r w:rsidRPr="00E0194E">
        <w:rPr>
          <w:rFonts w:ascii="Arial" w:hAnsi="Arial" w:cs="Arial"/>
          <w:i/>
          <w:sz w:val="22"/>
          <w:szCs w:val="22"/>
          <w:lang w:val="es-ES_tradnl"/>
        </w:rPr>
        <w:t>hecho</w:t>
      </w:r>
      <w:r>
        <w:rPr>
          <w:rFonts w:ascii="Arial" w:hAnsi="Arial" w:cs="Arial"/>
          <w:sz w:val="22"/>
          <w:szCs w:val="22"/>
          <w:lang w:val="es-ES_tradnl"/>
        </w:rPr>
        <w:t xml:space="preserve"> en vez de legitimación de derecho”</w:t>
      </w:r>
      <w:r>
        <w:rPr>
          <w:rStyle w:val="FootnoteReference"/>
          <w:rFonts w:ascii="Arial" w:hAnsi="Arial" w:cs="Arial"/>
          <w:sz w:val="22"/>
          <w:szCs w:val="22"/>
          <w:lang w:val="es-ES_tradnl"/>
        </w:rPr>
        <w:footnoteReference w:id="71"/>
      </w:r>
      <w:r>
        <w:rPr>
          <w:rFonts w:ascii="Arial" w:hAnsi="Arial" w:cs="Arial"/>
          <w:sz w:val="22"/>
          <w:szCs w:val="22"/>
          <w:lang w:val="es-ES_tradnl"/>
        </w:rPr>
        <w:t xml:space="preserve">, lo que se resuelve, reiteramos, en la sola afirmación de la existencia de la situación que, según las normas que rigen la cuestión de fondo, habilitan a pretender o resistir, la tutela conferida a un interés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i/>
          <w:iCs/>
          <w:sz w:val="22"/>
          <w:szCs w:val="22"/>
          <w:lang w:val="es-ES_tradnl"/>
        </w:rPr>
      </w:pPr>
      <w:r w:rsidRPr="00A62029">
        <w:rPr>
          <w:rFonts w:ascii="Arial" w:hAnsi="Arial" w:cs="Arial"/>
          <w:sz w:val="22"/>
          <w:szCs w:val="22"/>
          <w:lang w:val="es-ES_tradnl"/>
        </w:rPr>
        <w:t>Se ha distinguido</w:t>
      </w:r>
      <w:r>
        <w:rPr>
          <w:rFonts w:ascii="Arial" w:hAnsi="Arial" w:cs="Arial"/>
          <w:sz w:val="22"/>
          <w:szCs w:val="22"/>
          <w:lang w:val="es-ES_tradnl"/>
        </w:rPr>
        <w:t>,</w:t>
      </w:r>
      <w:r w:rsidRPr="00A62029">
        <w:rPr>
          <w:rFonts w:ascii="Arial" w:hAnsi="Arial" w:cs="Arial"/>
          <w:sz w:val="22"/>
          <w:szCs w:val="22"/>
          <w:lang w:val="es-ES_tradnl"/>
        </w:rPr>
        <w:t xml:space="preserve"> de </w:t>
      </w:r>
      <w:r>
        <w:rPr>
          <w:rFonts w:ascii="Arial" w:hAnsi="Arial" w:cs="Arial"/>
          <w:sz w:val="22"/>
          <w:szCs w:val="22"/>
          <w:lang w:val="es-ES_tradnl"/>
        </w:rPr>
        <w:t>aqu</w:t>
      </w:r>
      <w:r w:rsidRPr="00A62029">
        <w:rPr>
          <w:rFonts w:ascii="Arial" w:hAnsi="Arial" w:cs="Arial"/>
          <w:sz w:val="22"/>
          <w:szCs w:val="22"/>
          <w:lang w:val="es-ES_tradnl"/>
        </w:rPr>
        <w:t xml:space="preserve">ella </w:t>
      </w:r>
      <w:r>
        <w:rPr>
          <w:rFonts w:ascii="Arial" w:hAnsi="Arial" w:cs="Arial"/>
          <w:sz w:val="22"/>
          <w:szCs w:val="22"/>
          <w:lang w:val="es-ES_tradnl"/>
        </w:rPr>
        <w:t xml:space="preserve">especie de legitimación, </w:t>
      </w:r>
      <w:r w:rsidRPr="00A62029">
        <w:rPr>
          <w:rFonts w:ascii="Arial" w:hAnsi="Arial" w:cs="Arial"/>
          <w:sz w:val="22"/>
          <w:szCs w:val="22"/>
          <w:lang w:val="es-ES_tradnl"/>
        </w:rPr>
        <w:t xml:space="preserve">la </w:t>
      </w:r>
      <w:r>
        <w:rPr>
          <w:rFonts w:ascii="Arial" w:hAnsi="Arial" w:cs="Arial"/>
          <w:sz w:val="22"/>
          <w:szCs w:val="22"/>
          <w:lang w:val="es-ES_tradnl"/>
        </w:rPr>
        <w:t xml:space="preserve">denominada </w:t>
      </w:r>
      <w:r w:rsidRPr="00A62029">
        <w:rPr>
          <w:rFonts w:ascii="Arial" w:hAnsi="Arial" w:cs="Arial"/>
          <w:i/>
          <w:iCs/>
          <w:sz w:val="22"/>
          <w:szCs w:val="22"/>
          <w:lang w:val="es-ES_tradnl"/>
        </w:rPr>
        <w:t>legitimación ad processum</w:t>
      </w:r>
      <w:r>
        <w:rPr>
          <w:rFonts w:ascii="Arial" w:hAnsi="Arial" w:cs="Arial"/>
          <w:i/>
          <w:iCs/>
          <w:sz w:val="22"/>
          <w:szCs w:val="22"/>
          <w:lang w:val="es-ES_tradnl"/>
        </w:rPr>
        <w:t>,</w:t>
      </w:r>
      <w:r w:rsidRPr="00A62029">
        <w:rPr>
          <w:rFonts w:ascii="Arial" w:hAnsi="Arial" w:cs="Arial"/>
          <w:i/>
          <w:iCs/>
          <w:sz w:val="22"/>
          <w:szCs w:val="22"/>
          <w:lang w:val="es-ES_tradnl"/>
        </w:rPr>
        <w:t xml:space="preserve"> </w:t>
      </w:r>
      <w:r w:rsidRPr="00A62029">
        <w:rPr>
          <w:rFonts w:ascii="Arial" w:hAnsi="Arial" w:cs="Arial"/>
          <w:sz w:val="22"/>
          <w:szCs w:val="22"/>
          <w:lang w:val="es-ES_tradnl"/>
        </w:rPr>
        <w:t xml:space="preserve">relativa a </w:t>
      </w:r>
      <w:r>
        <w:rPr>
          <w:rFonts w:ascii="Arial" w:hAnsi="Arial" w:cs="Arial"/>
          <w:sz w:val="22"/>
          <w:szCs w:val="22"/>
          <w:lang w:val="es-ES_tradnl"/>
        </w:rPr>
        <w:t xml:space="preserve">la capacidad para el ejercicio de facultades, cargas y </w:t>
      </w:r>
      <w:r w:rsidRPr="00A62029">
        <w:rPr>
          <w:rFonts w:ascii="Arial" w:hAnsi="Arial" w:cs="Arial"/>
          <w:sz w:val="22"/>
          <w:szCs w:val="22"/>
          <w:lang w:val="es-ES_tradnl"/>
        </w:rPr>
        <w:t>derechos procesales</w:t>
      </w:r>
      <w:r>
        <w:rPr>
          <w:rFonts w:ascii="Arial" w:hAnsi="Arial" w:cs="Arial"/>
          <w:sz w:val="22"/>
          <w:szCs w:val="22"/>
          <w:lang w:val="es-ES_tradnl"/>
        </w:rPr>
        <w:t xml:space="preserve"> y para el cumplimiento de los deberes y obligaciones de esa índole;</w:t>
      </w:r>
      <w:r w:rsidRPr="00A62029">
        <w:rPr>
          <w:rFonts w:ascii="Arial" w:hAnsi="Arial" w:cs="Arial"/>
          <w:sz w:val="22"/>
          <w:szCs w:val="22"/>
          <w:lang w:val="es-ES_tradnl"/>
        </w:rPr>
        <w:t xml:space="preserve"> </w:t>
      </w:r>
      <w:r>
        <w:rPr>
          <w:rFonts w:ascii="Arial" w:hAnsi="Arial" w:cs="Arial"/>
          <w:sz w:val="22"/>
          <w:szCs w:val="22"/>
          <w:lang w:val="es-ES_tradnl"/>
        </w:rPr>
        <w:t>se la define, con mayor precisión,  como</w:t>
      </w:r>
      <w:r w:rsidRPr="00A62029">
        <w:rPr>
          <w:rFonts w:ascii="Arial" w:hAnsi="Arial" w:cs="Arial"/>
          <w:sz w:val="22"/>
          <w:szCs w:val="22"/>
          <w:lang w:val="es-ES_tradnl"/>
        </w:rPr>
        <w:t xml:space="preserve"> </w:t>
      </w:r>
      <w:r>
        <w:rPr>
          <w:rFonts w:ascii="Arial" w:hAnsi="Arial" w:cs="Arial"/>
          <w:sz w:val="22"/>
          <w:szCs w:val="22"/>
          <w:lang w:val="es-ES_tradnl"/>
        </w:rPr>
        <w:t>“</w:t>
      </w:r>
      <w:r w:rsidRPr="00A62029">
        <w:rPr>
          <w:rFonts w:ascii="Arial" w:hAnsi="Arial" w:cs="Arial"/>
          <w:sz w:val="22"/>
          <w:szCs w:val="22"/>
          <w:lang w:val="es-ES_tradnl"/>
        </w:rPr>
        <w:t xml:space="preserve">una aptitud para ejercitar un estatuto procesal de parte”, </w:t>
      </w:r>
      <w:r>
        <w:rPr>
          <w:rFonts w:ascii="Arial" w:hAnsi="Arial" w:cs="Arial"/>
          <w:sz w:val="22"/>
          <w:szCs w:val="22"/>
          <w:lang w:val="es-ES_tradnl"/>
        </w:rPr>
        <w:t>aclarándose que su vinculación con la legitimación para obrar resulta de</w:t>
      </w:r>
      <w:r w:rsidRPr="00A62029">
        <w:rPr>
          <w:rFonts w:ascii="Arial" w:hAnsi="Arial" w:cs="Arial"/>
          <w:sz w:val="22"/>
          <w:szCs w:val="22"/>
          <w:lang w:val="es-ES_tradnl"/>
        </w:rPr>
        <w:t xml:space="preserve"> “la conexión entre una capacidad procesal y una legitimación causal”</w:t>
      </w:r>
      <w:r w:rsidRPr="00A62029">
        <w:rPr>
          <w:rStyle w:val="FootnoteReference"/>
          <w:rFonts w:ascii="Arial" w:hAnsi="Arial" w:cs="Arial"/>
          <w:sz w:val="22"/>
          <w:szCs w:val="22"/>
          <w:lang w:val="es-ES_tradnl"/>
        </w:rPr>
        <w:footnoteReference w:id="72"/>
      </w:r>
      <w:r w:rsidRPr="00A62029">
        <w:rPr>
          <w:rFonts w:ascii="Arial" w:hAnsi="Arial" w:cs="Arial"/>
          <w:sz w:val="22"/>
          <w:szCs w:val="22"/>
          <w:lang w:val="es-ES_tradnl"/>
        </w:rPr>
        <w:t>, de modo que</w:t>
      </w:r>
      <w:r>
        <w:rPr>
          <w:rFonts w:ascii="Arial" w:hAnsi="Arial" w:cs="Arial"/>
          <w:sz w:val="22"/>
          <w:szCs w:val="22"/>
          <w:lang w:val="es-ES_tradnl"/>
        </w:rPr>
        <w:t>,</w:t>
      </w:r>
      <w:r w:rsidRPr="00A62029">
        <w:rPr>
          <w:rFonts w:ascii="Arial" w:hAnsi="Arial" w:cs="Arial"/>
          <w:sz w:val="22"/>
          <w:szCs w:val="22"/>
          <w:lang w:val="es-ES_tradnl"/>
        </w:rPr>
        <w:t xml:space="preserve"> </w:t>
      </w:r>
      <w:r>
        <w:rPr>
          <w:rFonts w:ascii="Arial" w:hAnsi="Arial" w:cs="Arial"/>
          <w:sz w:val="22"/>
          <w:szCs w:val="22"/>
          <w:lang w:val="es-ES_tradnl"/>
        </w:rPr>
        <w:t>“S</w:t>
      </w:r>
      <w:r w:rsidRPr="00A62029">
        <w:rPr>
          <w:rFonts w:ascii="Arial" w:hAnsi="Arial" w:cs="Arial"/>
          <w:sz w:val="22"/>
          <w:szCs w:val="22"/>
          <w:lang w:val="es-ES_tradnl"/>
        </w:rPr>
        <w:t xml:space="preserve">i el titular de una </w:t>
      </w:r>
      <w:r w:rsidRPr="00A62029">
        <w:rPr>
          <w:rFonts w:ascii="Arial" w:hAnsi="Arial" w:cs="Arial"/>
          <w:i/>
          <w:iCs/>
          <w:sz w:val="22"/>
          <w:szCs w:val="22"/>
          <w:lang w:val="es-ES_tradnl"/>
        </w:rPr>
        <w:t xml:space="preserve">legitimatio ad caussam </w:t>
      </w:r>
      <w:r w:rsidRPr="00A62029">
        <w:rPr>
          <w:rFonts w:ascii="Arial" w:hAnsi="Arial" w:cs="Arial"/>
          <w:sz w:val="22"/>
          <w:szCs w:val="22"/>
          <w:lang w:val="es-ES_tradnl"/>
        </w:rPr>
        <w:t xml:space="preserve">es capaz procesalmente las dos cualidades se conectan entre sí en razón de la identidad de mismo sujeto. Si...uno es titular de la legitimación causal y otro de la capacidad procesal que se ejercita, se requiere una </w:t>
      </w:r>
      <w:r w:rsidRPr="00A62029">
        <w:rPr>
          <w:rFonts w:ascii="Arial" w:hAnsi="Arial" w:cs="Arial"/>
          <w:i/>
          <w:iCs/>
          <w:sz w:val="22"/>
          <w:szCs w:val="22"/>
          <w:lang w:val="es-ES_tradnl"/>
        </w:rPr>
        <w:t xml:space="preserve">conexión distinta, </w:t>
      </w:r>
      <w:r w:rsidRPr="00A62029">
        <w:rPr>
          <w:rFonts w:ascii="Arial" w:hAnsi="Arial" w:cs="Arial"/>
          <w:sz w:val="22"/>
          <w:szCs w:val="22"/>
          <w:lang w:val="es-ES_tradnl"/>
        </w:rPr>
        <w:t xml:space="preserve">ya de carácter </w:t>
      </w:r>
      <w:r w:rsidRPr="00A62029">
        <w:rPr>
          <w:rFonts w:ascii="Arial" w:hAnsi="Arial" w:cs="Arial"/>
          <w:i/>
          <w:iCs/>
          <w:sz w:val="22"/>
          <w:szCs w:val="22"/>
          <w:lang w:val="es-ES_tradnl"/>
        </w:rPr>
        <w:t xml:space="preserve">legal, </w:t>
      </w:r>
      <w:r w:rsidRPr="00A62029">
        <w:rPr>
          <w:rFonts w:ascii="Arial" w:hAnsi="Arial" w:cs="Arial"/>
          <w:sz w:val="22"/>
          <w:szCs w:val="22"/>
          <w:lang w:val="es-ES_tradnl"/>
        </w:rPr>
        <w:t xml:space="preserve">ya </w:t>
      </w:r>
      <w:r w:rsidRPr="00A62029">
        <w:rPr>
          <w:rFonts w:ascii="Arial" w:hAnsi="Arial" w:cs="Arial"/>
          <w:i/>
          <w:iCs/>
          <w:sz w:val="22"/>
          <w:szCs w:val="22"/>
          <w:lang w:val="es-ES_tradnl"/>
        </w:rPr>
        <w:t xml:space="preserve">convencional, </w:t>
      </w:r>
      <w:r w:rsidRPr="00A62029">
        <w:rPr>
          <w:rFonts w:ascii="Arial" w:hAnsi="Arial" w:cs="Arial"/>
          <w:sz w:val="22"/>
          <w:szCs w:val="22"/>
          <w:lang w:val="es-ES_tradnl"/>
        </w:rPr>
        <w:t xml:space="preserve">ya </w:t>
      </w:r>
      <w:r w:rsidRPr="00A62029">
        <w:rPr>
          <w:rFonts w:ascii="Arial" w:hAnsi="Arial" w:cs="Arial"/>
          <w:i/>
          <w:iCs/>
          <w:sz w:val="22"/>
          <w:szCs w:val="22"/>
          <w:lang w:val="es-ES_tradnl"/>
        </w:rPr>
        <w:t>judicial</w:t>
      </w:r>
      <w:r w:rsidRPr="00A62029">
        <w:rPr>
          <w:rStyle w:val="FootnoteReference"/>
          <w:rFonts w:ascii="Arial" w:hAnsi="Arial" w:cs="Arial"/>
          <w:i/>
          <w:iCs/>
          <w:sz w:val="22"/>
          <w:szCs w:val="22"/>
          <w:lang w:val="es-ES_tradnl"/>
        </w:rPr>
        <w:footnoteReference w:id="73"/>
      </w:r>
      <w:r w:rsidRPr="00A62029">
        <w:rPr>
          <w:rFonts w:ascii="Arial" w:hAnsi="Arial" w:cs="Arial"/>
          <w:i/>
          <w:iCs/>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Estimamos, sin embargo, que resta importancia a la distinción el hecho de que esa especie de legitimación procesal se confunda, </w:t>
      </w:r>
      <w:r>
        <w:rPr>
          <w:rFonts w:ascii="Arial" w:hAnsi="Arial" w:cs="Arial"/>
          <w:sz w:val="22"/>
          <w:szCs w:val="22"/>
          <w:lang w:val="es-ES_tradnl"/>
        </w:rPr>
        <w:t>por una parte</w:t>
      </w:r>
      <w:r w:rsidRPr="00A62029">
        <w:rPr>
          <w:rFonts w:ascii="Arial" w:hAnsi="Arial" w:cs="Arial"/>
          <w:sz w:val="22"/>
          <w:szCs w:val="22"/>
          <w:lang w:val="es-ES_tradnl"/>
        </w:rPr>
        <w:t xml:space="preserve">, con la </w:t>
      </w:r>
      <w:r w:rsidRPr="00A62029">
        <w:rPr>
          <w:rFonts w:ascii="Arial" w:hAnsi="Arial" w:cs="Arial"/>
          <w:i/>
          <w:iCs/>
          <w:sz w:val="22"/>
          <w:szCs w:val="22"/>
          <w:lang w:val="es-ES_tradnl"/>
        </w:rPr>
        <w:t xml:space="preserve">capacidad de hecho, </w:t>
      </w:r>
      <w:r w:rsidRPr="00A62029">
        <w:rPr>
          <w:rFonts w:ascii="Arial" w:hAnsi="Arial" w:cs="Arial"/>
          <w:sz w:val="22"/>
          <w:szCs w:val="22"/>
          <w:lang w:val="es-ES_tradnl"/>
        </w:rPr>
        <w:t xml:space="preserve">en la medida que el sujeto legitimado cuente con aptitud para ejercer por sí el estatuto respectivo y </w:t>
      </w:r>
      <w:r>
        <w:rPr>
          <w:rFonts w:ascii="Arial" w:hAnsi="Arial" w:cs="Arial"/>
          <w:sz w:val="22"/>
          <w:szCs w:val="22"/>
          <w:lang w:val="es-ES_tradnl"/>
        </w:rPr>
        <w:t xml:space="preserve">por otra parte, remita a fenómenos de representación procesal que se refieren a la delegación, por el legitimado o por la ley, del poder de </w:t>
      </w:r>
      <w:r>
        <w:rPr>
          <w:rFonts w:ascii="Arial" w:hAnsi="Arial" w:cs="Arial"/>
          <w:i/>
          <w:sz w:val="22"/>
          <w:szCs w:val="22"/>
          <w:lang w:val="es-ES_tradnl"/>
        </w:rPr>
        <w:t xml:space="preserve">postulación procesal. </w:t>
      </w:r>
      <w:r>
        <w:rPr>
          <w:rFonts w:ascii="Arial" w:hAnsi="Arial" w:cs="Arial"/>
          <w:sz w:val="22"/>
          <w:szCs w:val="22"/>
          <w:lang w:val="es-ES_tradnl"/>
        </w:rPr>
        <w:t xml:space="preserve">En definitiva, como dejamos dicho precedentemente, hablar de </w:t>
      </w:r>
      <w:r>
        <w:rPr>
          <w:rFonts w:ascii="Arial" w:hAnsi="Arial" w:cs="Arial"/>
          <w:i/>
          <w:sz w:val="22"/>
          <w:szCs w:val="22"/>
          <w:lang w:val="es-ES_tradnl"/>
        </w:rPr>
        <w:t>legitimatio ad porcessum</w:t>
      </w:r>
      <w:r>
        <w:rPr>
          <w:rFonts w:ascii="Arial" w:hAnsi="Arial" w:cs="Arial"/>
          <w:sz w:val="22"/>
          <w:szCs w:val="22"/>
          <w:lang w:val="es-ES_tradnl"/>
        </w:rPr>
        <w:t xml:space="preserve"> para designar la capacidad de ejercer, por sí,</w:t>
      </w:r>
      <w:r w:rsidRPr="00A62029">
        <w:rPr>
          <w:rFonts w:ascii="Arial" w:hAnsi="Arial" w:cs="Arial"/>
          <w:sz w:val="22"/>
          <w:szCs w:val="22"/>
          <w:lang w:val="es-ES_tradnl"/>
        </w:rPr>
        <w:t xml:space="preserve"> </w:t>
      </w:r>
      <w:r>
        <w:rPr>
          <w:rFonts w:ascii="Arial" w:hAnsi="Arial" w:cs="Arial"/>
          <w:sz w:val="22"/>
          <w:szCs w:val="22"/>
          <w:lang w:val="es-ES_tradnl"/>
        </w:rPr>
        <w:t>un “estatuto de parte”, trae confusión sin aportar beneficio alguno. Más aún, la identificación de la legitimación procesal con el ejercicio del estatuto de parte por un representante, voluntario o necesario, o por el sucesor, ha sido calificado de “absurdo”</w:t>
      </w:r>
      <w:r>
        <w:rPr>
          <w:rStyle w:val="FootnoteReference"/>
          <w:rFonts w:ascii="Arial" w:hAnsi="Arial" w:cs="Arial"/>
          <w:sz w:val="22"/>
          <w:szCs w:val="22"/>
          <w:lang w:val="es-ES_tradnl"/>
        </w:rPr>
        <w:footnoteReference w:id="74"/>
      </w:r>
      <w:r>
        <w:rPr>
          <w:rFonts w:ascii="Arial" w:hAnsi="Arial" w:cs="Arial"/>
          <w:sz w:val="22"/>
          <w:szCs w:val="22"/>
          <w:lang w:val="es-ES_tradnl"/>
        </w:rPr>
        <w:t>.</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 xml:space="preserve">En definitiva, en nuestro concepto, solo cabe distinguir dos especies de legitimación: una de carácter procesal, que podríamos denominar </w:t>
      </w:r>
      <w:r>
        <w:rPr>
          <w:rFonts w:ascii="Arial" w:hAnsi="Arial" w:cs="Arial"/>
          <w:i/>
          <w:sz w:val="22"/>
          <w:szCs w:val="22"/>
          <w:lang w:val="es-ES_tradnl"/>
        </w:rPr>
        <w:t>legitimación para obrar</w:t>
      </w:r>
      <w:r>
        <w:rPr>
          <w:rStyle w:val="FootnoteReference"/>
          <w:rFonts w:ascii="Arial" w:hAnsi="Arial" w:cs="Arial"/>
          <w:i/>
          <w:sz w:val="22"/>
          <w:szCs w:val="22"/>
          <w:lang w:val="es-ES_tradnl"/>
        </w:rPr>
        <w:footnoteReference w:id="75"/>
      </w:r>
      <w:r>
        <w:rPr>
          <w:rFonts w:ascii="Arial" w:hAnsi="Arial" w:cs="Arial"/>
          <w:sz w:val="22"/>
          <w:szCs w:val="22"/>
          <w:lang w:val="es-ES_tradnl"/>
        </w:rPr>
        <w:t xml:space="preserve"> y otra de carácter sustancial, denominada </w:t>
      </w:r>
      <w:r>
        <w:rPr>
          <w:rFonts w:ascii="Arial" w:hAnsi="Arial" w:cs="Arial"/>
          <w:i/>
          <w:sz w:val="22"/>
          <w:szCs w:val="22"/>
          <w:lang w:val="es-ES_tradnl"/>
        </w:rPr>
        <w:t xml:space="preserve">legitimación en la causa </w:t>
      </w:r>
      <w:r>
        <w:rPr>
          <w:rFonts w:ascii="Arial" w:hAnsi="Arial" w:cs="Arial"/>
          <w:sz w:val="22"/>
          <w:szCs w:val="22"/>
          <w:lang w:val="es-ES_tradnl"/>
        </w:rPr>
        <w:t xml:space="preserve">o bien, con difundida expresión latina, </w:t>
      </w:r>
      <w:r>
        <w:rPr>
          <w:rFonts w:ascii="Arial" w:hAnsi="Arial" w:cs="Arial"/>
          <w:i/>
          <w:sz w:val="22"/>
          <w:szCs w:val="22"/>
          <w:lang w:val="es-ES_tradnl"/>
        </w:rPr>
        <w:t>legitimatio ad causam</w:t>
      </w:r>
      <w:r>
        <w:rPr>
          <w:rFonts w:ascii="Arial" w:hAnsi="Arial" w:cs="Arial"/>
          <w:sz w:val="22"/>
          <w:szCs w:val="22"/>
          <w:lang w:val="es-ES_tradnl"/>
        </w:rPr>
        <w:t xml:space="preserve">. La primera se vincula con lo que hemos llamado </w:t>
      </w:r>
      <w:r>
        <w:rPr>
          <w:rFonts w:ascii="Arial" w:hAnsi="Arial" w:cs="Arial"/>
          <w:i/>
          <w:sz w:val="22"/>
          <w:szCs w:val="22"/>
          <w:lang w:val="es-ES_tradnl"/>
        </w:rPr>
        <w:t>interés en obrar</w:t>
      </w:r>
      <w:r>
        <w:rPr>
          <w:rFonts w:ascii="Arial" w:hAnsi="Arial" w:cs="Arial"/>
          <w:sz w:val="22"/>
          <w:szCs w:val="22"/>
          <w:lang w:val="es-ES_tradnl"/>
        </w:rPr>
        <w:t xml:space="preserve">, en cuanto designa el sujeto de aquella necesidad de protección  jurídica que se satisface con la prestación de la tutela jurisdiccional y que es el elemento material del derecho subjetivo de acción, condicionante del conocimiento y decisión del fondo litigioso. La segunda, tiene relación con el mérito de la pretensión y de la resistencia, designando los sujetos de los </w:t>
      </w:r>
      <w:r>
        <w:rPr>
          <w:rFonts w:ascii="Arial" w:hAnsi="Arial" w:cs="Arial"/>
          <w:i/>
          <w:sz w:val="22"/>
          <w:szCs w:val="22"/>
          <w:lang w:val="es-ES_tradnl"/>
        </w:rPr>
        <w:t>intereses en litigio</w:t>
      </w:r>
      <w:r>
        <w:rPr>
          <w:rFonts w:ascii="Arial" w:hAnsi="Arial" w:cs="Arial"/>
          <w:sz w:val="22"/>
          <w:szCs w:val="22"/>
          <w:lang w:val="es-ES_tradnl"/>
        </w:rPr>
        <w:t xml:space="preserve">, titulares del derecho, estado o situación deducidos en juicio.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De allí se concluye que la resolución judicial que se pronuncia sobre aquellas no puede tener una misma eficacia.</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Las vacilaciones de la doctrina y de la jurisprudencia en la interpretación y aplicación del artículo 347, inc. 3º, CPCCN., deben ser resueltas, según lo que dejamos dicho, en el sentido de que la norma legal autoriza al demandado a oponer la ausencia de las dos especies de legitimación a las que nos hemos referido –procesal y sustancial-, con la sola condición que tales falencias resulten de las constancias obrantes en autos –sea “manifiesta”- sin necesidad de producir prueba</w:t>
      </w:r>
      <w:r>
        <w:rPr>
          <w:rStyle w:val="FootnoteReference"/>
          <w:rFonts w:ascii="Arial" w:hAnsi="Arial" w:cs="Arial"/>
          <w:sz w:val="22"/>
          <w:szCs w:val="22"/>
          <w:lang w:val="es-ES_tradnl"/>
        </w:rPr>
        <w:footnoteReference w:id="76"/>
      </w:r>
      <w:r>
        <w:rPr>
          <w:rFonts w:ascii="Arial" w:hAnsi="Arial" w:cs="Arial"/>
          <w:sz w:val="22"/>
          <w:szCs w:val="22"/>
          <w:lang w:val="es-ES_tradnl"/>
        </w:rPr>
        <w:t xml:space="preserve"> La naturaleza de cada especie de legitimación marca la diferencia que separa uno y otro de los fundamentos en que puede apoyarse la actividad defensiva del demandado, previa a la contestación de la demanda: la falta de legitimación procesal surgirá siempre, salvo casos excepcionalísimos, de la propia demanda</w:t>
      </w:r>
      <w:r>
        <w:rPr>
          <w:rStyle w:val="FootnoteReference"/>
          <w:rFonts w:ascii="Arial" w:hAnsi="Arial" w:cs="Arial"/>
          <w:sz w:val="22"/>
          <w:szCs w:val="22"/>
          <w:lang w:val="es-ES_tradnl"/>
        </w:rPr>
        <w:footnoteReference w:id="77"/>
      </w:r>
      <w:r>
        <w:rPr>
          <w:rFonts w:ascii="Arial" w:hAnsi="Arial" w:cs="Arial"/>
          <w:sz w:val="22"/>
          <w:szCs w:val="22"/>
          <w:lang w:val="es-ES_tradnl"/>
        </w:rPr>
        <w:t>; la falta de legitimación sustancial puede requerir de la alegación de hechos que requieran prueba, de donde no siempre será “manifiesta”</w:t>
      </w:r>
      <w:r>
        <w:rPr>
          <w:rStyle w:val="FootnoteReference"/>
          <w:rFonts w:ascii="Arial" w:hAnsi="Arial" w:cs="Arial"/>
          <w:sz w:val="22"/>
          <w:szCs w:val="22"/>
          <w:lang w:val="es-ES_tradnl"/>
        </w:rPr>
        <w:footnoteReference w:id="78"/>
      </w:r>
      <w:r>
        <w:rPr>
          <w:rFonts w:ascii="Arial" w:hAnsi="Arial" w:cs="Arial"/>
          <w:sz w:val="22"/>
          <w:szCs w:val="22"/>
          <w:lang w:val="es-ES_tradnl"/>
        </w:rPr>
        <w:t>.</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La resolución que decida el mérito de la excepción tendrá diferente eficacia según que la excepción previa haya deducido la falta de uno u otro tipo de legitimación. Cuando decide una cuestión que versa sobre la legitimación procesal producirá cosa juzgada formal, de modo que, si acoge la excepción, el actor podrá reiterar la demanda, salvando el defecto de legitimación. La decisión que se pronuncia sobre la legitimación sustancial adquirirá autoridad de cosa juzgada material</w:t>
      </w:r>
      <w:r>
        <w:rPr>
          <w:rStyle w:val="FootnoteReference"/>
          <w:rFonts w:ascii="Arial" w:hAnsi="Arial" w:cs="Arial"/>
          <w:sz w:val="22"/>
          <w:szCs w:val="22"/>
          <w:lang w:val="es-ES_tradnl"/>
        </w:rPr>
        <w:footnoteReference w:id="79"/>
      </w:r>
      <w:r>
        <w:rPr>
          <w:rFonts w:ascii="Arial" w:hAnsi="Arial" w:cs="Arial"/>
          <w:sz w:val="22"/>
          <w:szCs w:val="22"/>
          <w:lang w:val="es-ES_tradnl"/>
        </w:rPr>
        <w:t xml:space="preserve"> </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6F0B54"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La decisión que decide cuestiones relativas a la legitimación para obrar es de naturaleza procesal y carece de autoridad de cosa juzgada material, mientras la que recae sobre la legitimación en la causa –</w:t>
      </w:r>
      <w:r>
        <w:rPr>
          <w:rFonts w:ascii="Arial" w:hAnsi="Arial" w:cs="Arial"/>
          <w:i/>
          <w:sz w:val="22"/>
          <w:szCs w:val="22"/>
          <w:lang w:val="es-ES_tradnl"/>
        </w:rPr>
        <w:t>legtimatio ad causam-</w:t>
      </w:r>
      <w:r>
        <w:rPr>
          <w:rFonts w:ascii="Arial" w:hAnsi="Arial" w:cs="Arial"/>
          <w:sz w:val="22"/>
          <w:szCs w:val="22"/>
          <w:lang w:val="es-ES_tradnl"/>
        </w:rPr>
        <w:t>, resuelve una cuestión de fondo y adquiere autoridad de cosa juzgada material</w:t>
      </w:r>
      <w:r>
        <w:rPr>
          <w:rStyle w:val="FootnoteReference"/>
          <w:rFonts w:ascii="Arial" w:hAnsi="Arial" w:cs="Arial"/>
          <w:sz w:val="22"/>
          <w:szCs w:val="22"/>
          <w:lang w:val="es-ES_tradnl"/>
        </w:rPr>
        <w:footnoteReference w:id="80"/>
      </w:r>
      <w:r>
        <w:rPr>
          <w:rFonts w:ascii="Arial" w:hAnsi="Arial" w:cs="Arial"/>
          <w:sz w:val="22"/>
          <w:szCs w:val="22"/>
          <w:lang w:val="es-ES_tradnl"/>
        </w:rPr>
        <w:t>.</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147E51">
      <w:pPr>
        <w:pStyle w:val="NormalWeb"/>
        <w:numPr>
          <w:ilvl w:val="1"/>
          <w:numId w:val="7"/>
        </w:numPr>
        <w:spacing w:before="0" w:beforeAutospacing="0" w:after="0" w:afterAutospacing="0" w:line="360" w:lineRule="auto"/>
        <w:jc w:val="both"/>
        <w:rPr>
          <w:rFonts w:ascii="Arial" w:hAnsi="Arial" w:cs="Arial"/>
          <w:i/>
          <w:iCs/>
          <w:sz w:val="22"/>
          <w:szCs w:val="22"/>
          <w:lang w:val="es-ES_tradnl"/>
        </w:rPr>
      </w:pPr>
      <w:r>
        <w:rPr>
          <w:rFonts w:ascii="Arial" w:hAnsi="Arial" w:cs="Arial"/>
          <w:i/>
          <w:iCs/>
          <w:sz w:val="22"/>
          <w:szCs w:val="22"/>
          <w:lang w:val="es-ES_tradnl"/>
        </w:rPr>
        <w:t>C</w:t>
      </w:r>
      <w:r w:rsidRPr="00A62029">
        <w:rPr>
          <w:rFonts w:ascii="Arial" w:hAnsi="Arial" w:cs="Arial"/>
          <w:i/>
          <w:iCs/>
          <w:sz w:val="22"/>
          <w:szCs w:val="22"/>
          <w:lang w:val="es-ES_tradnl"/>
        </w:rPr>
        <w:t>lases:-</w:t>
      </w:r>
    </w:p>
    <w:p w:rsidR="00877ED0" w:rsidRPr="00A62029" w:rsidRDefault="00877ED0" w:rsidP="00A62029">
      <w:pPr>
        <w:pStyle w:val="NormalWeb"/>
        <w:spacing w:before="0" w:beforeAutospacing="0" w:after="0" w:afterAutospacing="0" w:line="360" w:lineRule="auto"/>
        <w:ind w:firstLine="2337"/>
        <w:jc w:val="both"/>
        <w:rPr>
          <w:rFonts w:ascii="Arial" w:hAnsi="Arial" w:cs="Arial"/>
          <w:i/>
          <w:iCs/>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i/>
          <w:iCs/>
          <w:sz w:val="22"/>
          <w:szCs w:val="22"/>
          <w:lang w:val="es-ES_tradnl"/>
        </w:rPr>
        <w:t xml:space="preserve">La </w:t>
      </w:r>
      <w:r w:rsidRPr="00A62029">
        <w:rPr>
          <w:rFonts w:ascii="Arial" w:hAnsi="Arial" w:cs="Arial"/>
          <w:sz w:val="22"/>
          <w:szCs w:val="22"/>
          <w:lang w:val="es-ES_tradnl"/>
        </w:rPr>
        <w:t xml:space="preserve">legitimación habilita a la persona titular del interés en litigio a perseguir su tutela frente al titular del interés </w:t>
      </w:r>
      <w:r>
        <w:rPr>
          <w:rFonts w:ascii="Arial" w:hAnsi="Arial" w:cs="Arial"/>
          <w:sz w:val="22"/>
          <w:szCs w:val="22"/>
          <w:lang w:val="es-ES_tradnl"/>
        </w:rPr>
        <w:t>contrario,</w:t>
      </w:r>
      <w:r w:rsidRPr="00A62029">
        <w:rPr>
          <w:rFonts w:ascii="Arial" w:hAnsi="Arial" w:cs="Arial"/>
          <w:sz w:val="22"/>
          <w:szCs w:val="22"/>
          <w:lang w:val="es-ES_tradnl"/>
        </w:rPr>
        <w:t xml:space="preserve"> ante los órganos jurisdiccionales del Estado. Esto es lo que se llama </w:t>
      </w:r>
      <w:r w:rsidRPr="00A62029">
        <w:rPr>
          <w:rFonts w:ascii="Arial" w:hAnsi="Arial" w:cs="Arial"/>
          <w:i/>
          <w:iCs/>
          <w:sz w:val="22"/>
          <w:szCs w:val="22"/>
          <w:lang w:val="es-ES_tradnl"/>
        </w:rPr>
        <w:t xml:space="preserve">legitimación individual, </w:t>
      </w:r>
      <w:r w:rsidRPr="00A62029">
        <w:rPr>
          <w:rFonts w:ascii="Arial" w:hAnsi="Arial" w:cs="Arial"/>
          <w:sz w:val="22"/>
          <w:szCs w:val="22"/>
          <w:lang w:val="es-ES_tradnl"/>
        </w:rPr>
        <w:t xml:space="preserve">que es la común. </w:t>
      </w:r>
      <w:r>
        <w:rPr>
          <w:rFonts w:ascii="Arial" w:hAnsi="Arial" w:cs="Arial"/>
          <w:sz w:val="22"/>
          <w:szCs w:val="22"/>
          <w:lang w:val="es-ES_tradnl"/>
        </w:rPr>
        <w:t>É</w:t>
      </w:r>
      <w:r w:rsidRPr="00A62029">
        <w:rPr>
          <w:rFonts w:ascii="Arial" w:hAnsi="Arial" w:cs="Arial"/>
          <w:sz w:val="22"/>
          <w:szCs w:val="22"/>
          <w:lang w:val="es-ES_tradnl"/>
        </w:rPr>
        <w:t xml:space="preserve">sta puede ser </w:t>
      </w:r>
      <w:r w:rsidRPr="00A62029">
        <w:rPr>
          <w:rFonts w:ascii="Arial" w:hAnsi="Arial" w:cs="Arial"/>
          <w:i/>
          <w:iCs/>
          <w:sz w:val="22"/>
          <w:szCs w:val="22"/>
          <w:lang w:val="es-ES_tradnl"/>
        </w:rPr>
        <w:t xml:space="preserve">singular </w:t>
      </w:r>
      <w:r w:rsidRPr="00A62029">
        <w:rPr>
          <w:rFonts w:ascii="Arial" w:hAnsi="Arial" w:cs="Arial"/>
          <w:sz w:val="22"/>
          <w:szCs w:val="22"/>
          <w:lang w:val="es-ES_tradnl"/>
        </w:rPr>
        <w:t xml:space="preserve">o </w:t>
      </w:r>
      <w:r w:rsidRPr="00A62029">
        <w:rPr>
          <w:rFonts w:ascii="Arial" w:hAnsi="Arial" w:cs="Arial"/>
          <w:i/>
          <w:iCs/>
          <w:sz w:val="22"/>
          <w:szCs w:val="22"/>
          <w:lang w:val="es-ES_tradnl"/>
        </w:rPr>
        <w:t xml:space="preserve">plural, </w:t>
      </w:r>
      <w:r w:rsidRPr="00A62029">
        <w:rPr>
          <w:rFonts w:ascii="Arial" w:hAnsi="Arial" w:cs="Arial"/>
          <w:sz w:val="22"/>
          <w:szCs w:val="22"/>
          <w:lang w:val="es-ES_tradnl"/>
        </w:rPr>
        <w:t xml:space="preserve">según que la legitimación recaiga sobre uno o varios sujetos.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Hay casos en que la ley confiere esa cualidad a un grupo o conjunto de personas, imponiéndole el ejercicio conjunto de la pretensión o de la resistencia. Estamos en presencia de lo que se ha dado en llamar </w:t>
      </w:r>
      <w:r w:rsidRPr="00A62029">
        <w:rPr>
          <w:rFonts w:ascii="Arial" w:hAnsi="Arial" w:cs="Arial"/>
          <w:i/>
          <w:iCs/>
          <w:sz w:val="22"/>
          <w:szCs w:val="22"/>
          <w:lang w:val="es-ES_tradnl"/>
        </w:rPr>
        <w:t xml:space="preserve">legitimación colectiva, </w:t>
      </w:r>
      <w:r w:rsidRPr="00A62029">
        <w:rPr>
          <w:rFonts w:ascii="Arial" w:hAnsi="Arial" w:cs="Arial"/>
          <w:sz w:val="22"/>
          <w:szCs w:val="22"/>
          <w:lang w:val="es-ES_tradnl"/>
        </w:rPr>
        <w:t xml:space="preserve">que exige la concurrencia de todos los sujetos legitimados para que la pretensión o la resistencia resulten deducibles en juicio. El ejemplo de la pretensión de filiación matrimonial previsto en el artículo 254, Cód. civ., es útil para graficar esta situación.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Repárese en que la legitimación colectiva se distingue nítidamente de la </w:t>
      </w:r>
      <w:r w:rsidRPr="00A62029">
        <w:rPr>
          <w:rFonts w:ascii="Arial" w:hAnsi="Arial" w:cs="Arial"/>
          <w:i/>
          <w:iCs/>
          <w:sz w:val="22"/>
          <w:szCs w:val="22"/>
          <w:lang w:val="es-ES_tradnl"/>
        </w:rPr>
        <w:t xml:space="preserve">legitimación plural, </w:t>
      </w:r>
      <w:r w:rsidRPr="00A62029">
        <w:rPr>
          <w:rFonts w:ascii="Arial" w:hAnsi="Arial" w:cs="Arial"/>
          <w:sz w:val="22"/>
          <w:szCs w:val="22"/>
          <w:lang w:val="es-ES_tradnl"/>
        </w:rPr>
        <w:t xml:space="preserve">que habilita a un grupo de personas a pretender o resistir, pudiendo hacerlo todos o </w:t>
      </w:r>
      <w:r w:rsidRPr="00A62029">
        <w:rPr>
          <w:rFonts w:ascii="Arial" w:hAnsi="Arial" w:cs="Arial"/>
          <w:i/>
          <w:iCs/>
          <w:sz w:val="22"/>
          <w:szCs w:val="22"/>
          <w:lang w:val="es-ES_tradnl"/>
        </w:rPr>
        <w:t xml:space="preserve">cada uno individualmente </w:t>
      </w:r>
      <w:r w:rsidRPr="00A62029">
        <w:rPr>
          <w:rFonts w:ascii="Arial" w:hAnsi="Arial" w:cs="Arial"/>
          <w:sz w:val="22"/>
          <w:szCs w:val="22"/>
          <w:lang w:val="es-ES_tradnl"/>
        </w:rPr>
        <w:t xml:space="preserve">—como ocurre en el caso de solidaridad, activa o pasiva, regulado en los artículos 705 y 715, Cód. civ.-, por lo que la consideramos un tipo de legitimación </w:t>
      </w:r>
      <w:r w:rsidRPr="00A62029">
        <w:rPr>
          <w:rFonts w:ascii="Arial" w:hAnsi="Arial" w:cs="Arial"/>
          <w:i/>
          <w:iCs/>
          <w:sz w:val="22"/>
          <w:szCs w:val="22"/>
          <w:lang w:val="es-ES_tradnl"/>
        </w:rPr>
        <w:t xml:space="preserve">individual, </w:t>
      </w:r>
      <w:r w:rsidRPr="00A62029">
        <w:rPr>
          <w:rFonts w:ascii="Arial" w:hAnsi="Arial" w:cs="Arial"/>
          <w:sz w:val="22"/>
          <w:szCs w:val="22"/>
          <w:lang w:val="es-ES_tradnl"/>
        </w:rPr>
        <w:t xml:space="preserve">separable solo por el </w:t>
      </w:r>
      <w:r w:rsidRPr="00A62029">
        <w:rPr>
          <w:rFonts w:ascii="Arial" w:hAnsi="Arial" w:cs="Arial"/>
          <w:i/>
          <w:iCs/>
          <w:sz w:val="22"/>
          <w:szCs w:val="22"/>
          <w:lang w:val="es-ES_tradnl"/>
        </w:rPr>
        <w:t xml:space="preserve">número </w:t>
      </w:r>
      <w:r w:rsidRPr="00A62029">
        <w:rPr>
          <w:rFonts w:ascii="Arial" w:hAnsi="Arial" w:cs="Arial"/>
          <w:sz w:val="22"/>
          <w:szCs w:val="22"/>
          <w:lang w:val="es-ES_tradnl"/>
        </w:rPr>
        <w:t xml:space="preserve">de sujetos legitimados, pero intrínsecamente idéntica a la que recae sobre un solo sujeto.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Dijimos que, en virtud de la aplicación de normas constitucionales, el titular del interés protegido por una norma jurídica se encuentra, normalmente, legitimado para pretender la tutela judicial de dicho interés. Esto es lo que se denomina </w:t>
      </w:r>
      <w:r w:rsidRPr="00A62029">
        <w:rPr>
          <w:rFonts w:ascii="Arial" w:hAnsi="Arial" w:cs="Arial"/>
          <w:i/>
          <w:iCs/>
          <w:sz w:val="22"/>
          <w:szCs w:val="22"/>
          <w:lang w:val="es-ES_tradnl"/>
        </w:rPr>
        <w:t xml:space="preserve">“legitimación ordinaria” </w:t>
      </w:r>
      <w:r w:rsidRPr="00A62029">
        <w:rPr>
          <w:rFonts w:ascii="Arial" w:hAnsi="Arial" w:cs="Arial"/>
          <w:sz w:val="22"/>
          <w:szCs w:val="22"/>
          <w:lang w:val="es-ES_tradnl"/>
        </w:rPr>
        <w:t xml:space="preserve">o </w:t>
      </w:r>
      <w:r w:rsidRPr="00A62029">
        <w:rPr>
          <w:rFonts w:ascii="Arial" w:hAnsi="Arial" w:cs="Arial"/>
          <w:i/>
          <w:iCs/>
          <w:sz w:val="22"/>
          <w:szCs w:val="22"/>
          <w:lang w:val="es-ES_tradnl"/>
        </w:rPr>
        <w:t xml:space="preserve">común </w:t>
      </w:r>
      <w:r w:rsidRPr="00A62029">
        <w:rPr>
          <w:rFonts w:ascii="Arial" w:hAnsi="Arial" w:cs="Arial"/>
          <w:sz w:val="22"/>
          <w:szCs w:val="22"/>
          <w:lang w:val="es-ES_tradnl"/>
        </w:rPr>
        <w:t xml:space="preserve">y es la que habilita a todo aquel que afirma la “probable titularidad de un interés” a actuar ante la justicia en defensa del mismo. Excepcionalmente, la propia ley, confiere legitimación a personas </w:t>
      </w:r>
      <w:r w:rsidRPr="00A62029">
        <w:rPr>
          <w:rFonts w:ascii="Arial" w:hAnsi="Arial" w:cs="Arial"/>
          <w:i/>
          <w:iCs/>
          <w:sz w:val="22"/>
          <w:szCs w:val="22"/>
          <w:lang w:val="es-ES_tradnl"/>
        </w:rPr>
        <w:t xml:space="preserve">distintas de los titulares de intereses protegidos, </w:t>
      </w:r>
      <w:r w:rsidRPr="00A62029">
        <w:rPr>
          <w:rFonts w:ascii="Arial" w:hAnsi="Arial" w:cs="Arial"/>
          <w:sz w:val="22"/>
          <w:szCs w:val="22"/>
          <w:lang w:val="es-ES_tradnl"/>
        </w:rPr>
        <w:t xml:space="preserve">confiriendo una </w:t>
      </w:r>
      <w:r w:rsidRPr="00A62029">
        <w:rPr>
          <w:rFonts w:ascii="Arial" w:hAnsi="Arial" w:cs="Arial"/>
          <w:i/>
          <w:iCs/>
          <w:sz w:val="22"/>
          <w:szCs w:val="22"/>
          <w:lang w:val="es-ES_tradnl"/>
        </w:rPr>
        <w:t xml:space="preserve">legitimación extraordinaria, </w:t>
      </w:r>
      <w:r w:rsidRPr="00A62029">
        <w:rPr>
          <w:rFonts w:ascii="Arial" w:hAnsi="Arial" w:cs="Arial"/>
          <w:sz w:val="22"/>
          <w:szCs w:val="22"/>
          <w:lang w:val="es-ES_tradnl"/>
        </w:rPr>
        <w:t>como ocurre en los casos de nulidad de matrimonio (artículos 219 y 220, incs. 1° y 2°, Cód. civ.), en razón de separar la titularidad del derecho de su ejercicio ante la justicia.</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r w:rsidRPr="00A62029">
        <w:rPr>
          <w:rFonts w:ascii="Arial" w:hAnsi="Arial" w:cs="Arial"/>
          <w:sz w:val="22"/>
          <w:szCs w:val="22"/>
          <w:lang w:val="es-ES_tradnl"/>
        </w:rPr>
        <w:t xml:space="preserve">La legitimación extraordinaria puede ser </w:t>
      </w:r>
      <w:r w:rsidRPr="00A62029">
        <w:rPr>
          <w:rFonts w:ascii="Arial" w:hAnsi="Arial" w:cs="Arial"/>
          <w:i/>
          <w:iCs/>
          <w:sz w:val="22"/>
          <w:szCs w:val="22"/>
          <w:lang w:val="es-ES_tradnl"/>
        </w:rPr>
        <w:t xml:space="preserve">por categoría </w:t>
      </w:r>
      <w:r w:rsidRPr="00A62029">
        <w:rPr>
          <w:rFonts w:ascii="Arial" w:hAnsi="Arial" w:cs="Arial"/>
          <w:sz w:val="22"/>
          <w:szCs w:val="22"/>
          <w:lang w:val="es-ES_tradnl"/>
        </w:rPr>
        <w:t xml:space="preserve">de personas, como es el caso que vimos en el párrafo precedente, al que se puede agregar el del artículo 144, Cód. civ., o </w:t>
      </w:r>
      <w:r w:rsidRPr="00A62029">
        <w:rPr>
          <w:rFonts w:ascii="Arial" w:hAnsi="Arial" w:cs="Arial"/>
          <w:i/>
          <w:iCs/>
          <w:sz w:val="22"/>
          <w:szCs w:val="22"/>
          <w:lang w:val="es-ES_tradnl"/>
        </w:rPr>
        <w:t xml:space="preserve">pública, </w:t>
      </w:r>
      <w:r w:rsidRPr="00A62029">
        <w:rPr>
          <w:rFonts w:ascii="Arial" w:hAnsi="Arial" w:cs="Arial"/>
          <w:sz w:val="22"/>
          <w:szCs w:val="22"/>
          <w:lang w:val="es-ES_tradnl"/>
        </w:rPr>
        <w:t>como es el caso del amparo colectivo, en el que se difiere legitimación al Defensor del Pueblo (artículo 86, Const. Nac.), entre muchos otros —especialmente aquellos que son diferidos al Ministerio Público-.</w:t>
      </w:r>
    </w:p>
    <w:p w:rsidR="00877ED0"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r>
        <w:rPr>
          <w:rFonts w:ascii="Arial" w:hAnsi="Arial" w:cs="Arial"/>
          <w:sz w:val="22"/>
          <w:szCs w:val="22"/>
          <w:lang w:val="es-ES_tradnl"/>
        </w:rPr>
        <w:t>La tutela jurisdiccional de los nuevos intereses supraindividuales, cuya protección jurídica ha merecido rango constitucional (artículos 41 y 42, Const. Nac.), ha sido confiada, por la misma norma constitucional, al “afectado”, al “defensor del pueblo” y a “las asociaciones” que tengan por objeto la defensa de aquellos intereses y que se encuentren “registradas conforme a la ley” (artículo 43, 2º  párrafo, Const. Nac.). Estas disposiciones han sido reglamentadas en diversas, que se han encargado de precisar las condiciones y alcances de la legitimación relativa a esta especie de intereses colectivos</w:t>
      </w:r>
      <w:r>
        <w:rPr>
          <w:rStyle w:val="FootnoteReference"/>
          <w:rFonts w:ascii="Arial" w:hAnsi="Arial" w:cs="Arial"/>
          <w:sz w:val="22"/>
          <w:szCs w:val="22"/>
          <w:lang w:val="es-ES_tradnl"/>
        </w:rPr>
        <w:footnoteReference w:id="81"/>
      </w:r>
      <w:r>
        <w:rPr>
          <w:rFonts w:ascii="Arial" w:hAnsi="Arial" w:cs="Arial"/>
          <w:sz w:val="22"/>
          <w:szCs w:val="22"/>
          <w:lang w:val="es-ES_tradnl"/>
        </w:rPr>
        <w:t xml:space="preserve"> </w:t>
      </w:r>
    </w:p>
    <w:p w:rsidR="00877ED0" w:rsidRPr="00A62029" w:rsidRDefault="00877ED0" w:rsidP="00A62029">
      <w:pPr>
        <w:pStyle w:val="NormalWeb"/>
        <w:spacing w:before="0" w:beforeAutospacing="0" w:after="0" w:afterAutospacing="0" w:line="360" w:lineRule="auto"/>
        <w:jc w:val="both"/>
        <w:rPr>
          <w:rFonts w:ascii="Arial" w:hAnsi="Arial" w:cs="Arial"/>
          <w:sz w:val="22"/>
          <w:szCs w:val="22"/>
          <w:lang w:val="es-ES_tradnl"/>
        </w:rPr>
      </w:pPr>
    </w:p>
    <w:p w:rsidR="00877ED0" w:rsidRPr="00A62029" w:rsidRDefault="00877ED0" w:rsidP="00A62029">
      <w:pPr>
        <w:pStyle w:val="NormalWeb"/>
        <w:spacing w:before="0" w:beforeAutospacing="0" w:after="0" w:afterAutospacing="0" w:line="360" w:lineRule="auto"/>
        <w:jc w:val="both"/>
        <w:rPr>
          <w:rFonts w:ascii="Arial" w:hAnsi="Arial" w:cs="Arial"/>
          <w:b/>
          <w:bCs/>
          <w:sz w:val="22"/>
          <w:szCs w:val="22"/>
          <w:lang w:val="es-ES_tradnl"/>
        </w:rPr>
      </w:pPr>
      <w:r w:rsidRPr="00A62029">
        <w:rPr>
          <w:rFonts w:ascii="Arial" w:hAnsi="Arial" w:cs="Arial"/>
          <w:sz w:val="22"/>
          <w:szCs w:val="22"/>
          <w:lang w:val="es-ES_tradnl"/>
        </w:rPr>
        <w:t>Cualquiera sea el tipo de legitimación que alcance a un sujeto determinado, esa cualidad encierra la posibilidad</w:t>
      </w:r>
      <w:r>
        <w:rPr>
          <w:rFonts w:ascii="Arial" w:hAnsi="Arial" w:cs="Arial"/>
          <w:sz w:val="22"/>
          <w:szCs w:val="22"/>
          <w:lang w:val="es-ES_tradnl"/>
        </w:rPr>
        <w:t>,</w:t>
      </w:r>
      <w:r w:rsidRPr="00A62029">
        <w:rPr>
          <w:rFonts w:ascii="Arial" w:hAnsi="Arial" w:cs="Arial"/>
          <w:sz w:val="22"/>
          <w:szCs w:val="22"/>
          <w:lang w:val="es-ES_tradnl"/>
        </w:rPr>
        <w:t xml:space="preserve"> que el orden jurídico reconoce al legitimado</w:t>
      </w:r>
      <w:r>
        <w:rPr>
          <w:rFonts w:ascii="Arial" w:hAnsi="Arial" w:cs="Arial"/>
          <w:sz w:val="22"/>
          <w:szCs w:val="22"/>
          <w:lang w:val="es-ES_tradnl"/>
        </w:rPr>
        <w:t>,</w:t>
      </w:r>
      <w:r w:rsidRPr="00A62029">
        <w:rPr>
          <w:rFonts w:ascii="Arial" w:hAnsi="Arial" w:cs="Arial"/>
          <w:sz w:val="22"/>
          <w:szCs w:val="22"/>
          <w:lang w:val="es-ES_tradnl"/>
        </w:rPr>
        <w:t xml:space="preserve"> de intervenir, en carácter de </w:t>
      </w:r>
      <w:r w:rsidRPr="00A62029">
        <w:rPr>
          <w:rFonts w:ascii="Arial" w:hAnsi="Arial" w:cs="Arial"/>
          <w:i/>
          <w:iCs/>
          <w:sz w:val="22"/>
          <w:szCs w:val="22"/>
          <w:lang w:val="es-ES_tradnl"/>
        </w:rPr>
        <w:t xml:space="preserve">parte </w:t>
      </w:r>
      <w:r w:rsidRPr="00A62029">
        <w:rPr>
          <w:rFonts w:ascii="Arial" w:hAnsi="Arial" w:cs="Arial"/>
          <w:sz w:val="22"/>
          <w:szCs w:val="22"/>
          <w:lang w:val="es-ES_tradnl"/>
        </w:rPr>
        <w:t xml:space="preserve">—sujeto procesal- en un proceso judicial en el que se controviertan cuestiones vinculadas con el derecho o interés del que deriva la legitimación, ejerciendo los poderes que la ley procesal confiere a esa pieza del proceso judicial, aun cuando ellos se disminuyan o restrinjan en virtud de que el interés afectado no se vincula con el litigio pendiente en toda su amplitud, sino con una parte del mismo. </w:t>
      </w:r>
      <w:r w:rsidRPr="00A62029">
        <w:rPr>
          <w:rFonts w:ascii="Arial" w:hAnsi="Arial" w:cs="Arial"/>
          <w:b/>
          <w:bCs/>
          <w:sz w:val="22"/>
          <w:szCs w:val="22"/>
          <w:lang w:val="es-ES_tradnl"/>
        </w:rPr>
        <w:t xml:space="preserve"> </w:t>
      </w:r>
    </w:p>
    <w:sectPr w:rsidR="00877ED0" w:rsidRPr="00A62029" w:rsidSect="00A32FFC">
      <w:footerReference w:type="even" r:id="rId7"/>
      <w:footerReference w:type="default" r:id="rId8"/>
      <w:pgSz w:w="11906" w:h="16838"/>
      <w:pgMar w:top="1418" w:right="1701" w:bottom="1418" w:left="1701"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7ED0" w:rsidRDefault="00877ED0" w:rsidP="00A94A0D">
      <w:r>
        <w:separator/>
      </w:r>
    </w:p>
  </w:endnote>
  <w:endnote w:type="continuationSeparator" w:id="0">
    <w:p w:rsidR="00877ED0" w:rsidRDefault="00877ED0" w:rsidP="00A94A0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Helvetica, sans-serif">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D0" w:rsidRDefault="00877ED0" w:rsidP="004947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77ED0" w:rsidRDefault="00877ED0" w:rsidP="004947F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D0" w:rsidRDefault="00877ED0" w:rsidP="004947F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7ED0" w:rsidRDefault="00877ED0" w:rsidP="00A94A0D">
      <w:r>
        <w:separator/>
      </w:r>
    </w:p>
  </w:footnote>
  <w:footnote w:type="continuationSeparator" w:id="0">
    <w:p w:rsidR="00877ED0" w:rsidRDefault="00877ED0" w:rsidP="00A94A0D">
      <w:r>
        <w:continuationSeparator/>
      </w:r>
    </w:p>
  </w:footnote>
  <w:footnote w:id="1">
    <w:p w:rsidR="00877ED0" w:rsidRDefault="00877ED0" w:rsidP="00DB654E">
      <w:pPr>
        <w:pStyle w:val="FootnoteText"/>
        <w:jc w:val="both"/>
      </w:pPr>
      <w:r>
        <w:rPr>
          <w:rStyle w:val="FootnoteReference"/>
        </w:rPr>
        <w:footnoteRef/>
      </w:r>
      <w:r>
        <w:t xml:space="preserve"> Con referencia a nuestro tema, se ha dicho, acertadamente, que “pasa por ser uno de los temas clásicos de la teoría general del proceso, a su vez con importantes implicaciones en otros institutos de la ciencia procesal, también controvertidos”, lo que genera “el anhelo –y la necesidad- de buscar una construcción sobre esta trascendental categoría, sobre su naturaleza jurídica y su tratamiento procesal, que goce de cierta estabilidad y que sea susceptible de suscitar un cierto consenso o acuerdo en la comunidad científica” (GUTIERREZ DE CAVIEDES E HIDALGO DE CAVIEDES, Pablo, </w:t>
      </w:r>
      <w:smartTag w:uri="urn:schemas-microsoft-com:office:smarttags" w:element="PersonName">
        <w:smartTagPr>
          <w:attr w:name="ProductID" w:val="LA TUTELA JURISDICCIONAL"/>
        </w:smartTagPr>
        <w:r>
          <w:t>LA TUTELA JURISDICCIONAL</w:t>
        </w:r>
      </w:smartTag>
      <w:r>
        <w:t xml:space="preserve"> DE LOS INTERESES SUPRAINDIVIDUALES: COLECTIVOS Y DIFUSOS, Ed. Aranzadi, Elcano (Navarra), 1999, pág. 142).</w:t>
      </w:r>
    </w:p>
  </w:footnote>
  <w:footnote w:id="2">
    <w:p w:rsidR="00877ED0" w:rsidRDefault="00877ED0" w:rsidP="00BF1C37">
      <w:pPr>
        <w:pStyle w:val="FootnoteText"/>
        <w:jc w:val="both"/>
      </w:pPr>
      <w:r>
        <w:rPr>
          <w:rStyle w:val="FootnoteReference"/>
        </w:rPr>
        <w:footnoteRef/>
      </w:r>
      <w:r>
        <w:t xml:space="preserve"> RECACENS SICHES, Luis, enseña que una “de las funciones intrínsecas que todo Derecho tiene por esencia es la resolución de los conflictos de intereses por medio de normas de imposición inexorable” (TRATADO GENERAL DE FILOSOFÍA DEL DERECHO, 6º ed., Ed. Porrua SA., México, 1978, pág. 226). </w:t>
      </w:r>
    </w:p>
  </w:footnote>
  <w:footnote w:id="3">
    <w:p w:rsidR="00877ED0" w:rsidRDefault="00877ED0" w:rsidP="000B3DE8">
      <w:pPr>
        <w:pStyle w:val="FootnoteText"/>
        <w:jc w:val="both"/>
      </w:pPr>
      <w:r>
        <w:rPr>
          <w:rStyle w:val="FootnoteReference"/>
        </w:rPr>
        <w:footnoteRef/>
      </w:r>
      <w:r>
        <w:t xml:space="preserve"> CARNELUTTI, iniciaba su TEORÍA GENERAL DEL DERECHO, señalando que si bien el “concepto de interés…es necesario, no es suficiente para representar la sustancia del Derecho”, para lo cual “Además de los intereses deben ser observadas atentamente las relaciones entre intereses”, las que pueden ser de “preeminencia o de indiferencia. A su vez la posición de preeminencia puede ser de solidaridad o bien de conflicto” (trad. Francisco Javier Osset, Ed. Revista de Derecho Privado, Madrid, sin fecha, págs. 25 y 27)</w:t>
      </w:r>
    </w:p>
  </w:footnote>
  <w:footnote w:id="4">
    <w:p w:rsidR="00877ED0" w:rsidRDefault="00877ED0" w:rsidP="00B06B5F">
      <w:pPr>
        <w:pStyle w:val="FootnoteText"/>
        <w:jc w:val="both"/>
      </w:pPr>
      <w:r>
        <w:rPr>
          <w:rStyle w:val="FootnoteReference"/>
        </w:rPr>
        <w:footnoteRef/>
      </w:r>
      <w:r>
        <w:t xml:space="preserve"> CARNELUTTI, Francesco, enseñaba que “el simple conflicto de intereses…en sí no tiene nada de patológico o de patogénico. Por el contrario, es una situación netamente fisiológica; del conflicto puede desprenderse, en verdad, un delito lo mismo que una obra de caridad. El conflicto de intereses es un ambiente, en el cual puede manifestarse tanto el egoísmo, como el altruismo. El germen del delito no es pues el conflicto de intereses sino el conflicto de acciones” (DERECHO Y PROCESO, trad. Sentís Melendo, Bs. As. 1971, pág. 61). </w:t>
      </w:r>
      <w:r w:rsidRPr="008F7C12">
        <w:t xml:space="preserve">ALVARADO VELLOSO, localiza la “causa del proceso” en “el conflicto intersubjetivo de intereses” (EL DEBIDO PROCESO DE </w:t>
      </w:r>
      <w:smartTag w:uri="urn:schemas-microsoft-com:office:smarttags" w:element="PersonName">
        <w:smartTagPr>
          <w:attr w:name="ProductID" w:val="LA GARANTÍA CONSTITUCIONAL"/>
        </w:smartTagPr>
        <w:r w:rsidRPr="008F7C12">
          <w:t>LA GARANTÍA CONSTITUCIONAL</w:t>
        </w:r>
      </w:smartTag>
      <w:r w:rsidRPr="008F7C12">
        <w:t>, Ed. Zeus, Rosario, 2003, pág. 20) y a éste lo describe como la “coexistencia de una pretensión y de una resistencia acerca de un mismo bien en el plano de la realidad social” (INTR</w:t>
      </w:r>
      <w:r>
        <w:t>O</w:t>
      </w:r>
      <w:r w:rsidRPr="008F7C12">
        <w:t>DUCCIÓN AL ESTUDIO DEL DERECHO PROCESAL, Primera Parte, pág. 14), de tal suerte, para el autor citado, “la insatisfacción de la pretensión, por la aparición contemporánea de una resistencia, es lo que origina el conflicto intersubjetivo de intereses” (ibídem, pág. 98). Ver, también, SISTEMA</w:t>
      </w:r>
      <w:r>
        <w:t xml:space="preserve"> </w:t>
      </w:r>
      <w:r w:rsidRPr="008F7C12">
        <w:t xml:space="preserve">DE DERECHO PROCESAL, T. I, Ed. Rubinzal-Culzoni, Bs. As. – </w:t>
      </w:r>
      <w:r>
        <w:t>S</w:t>
      </w:r>
      <w:r w:rsidRPr="008F7C12">
        <w:t>anta Fe, 2009, cit., pág</w:t>
      </w:r>
      <w:r>
        <w:t>s</w:t>
      </w:r>
      <w:r w:rsidRPr="008F7C12">
        <w:t xml:space="preserve">. 27, </w:t>
      </w:r>
      <w:r>
        <w:t xml:space="preserve">38 y 40, </w:t>
      </w:r>
      <w:r w:rsidRPr="008F7C12">
        <w:t>en donde distingue el plano social, en el que nace y se desarrolla la pretensión y la resistencia, del plano “exclusivamente jurídico”, en donde “existe un choque intersubjetivo de intereses (…) por desconocimiento o violación de un precepto que preordena una conducta que en los hechos no se cumple…”, dando lugar al “litigio”, configurado por “la simple a</w:t>
      </w:r>
      <w:r>
        <w:t>firm</w:t>
      </w:r>
      <w:r w:rsidRPr="008F7C12">
        <w:t>ación, en el plano jurídico del proceso,</w:t>
      </w:r>
      <w:r>
        <w:t xml:space="preserve"> de </w:t>
      </w:r>
      <w:r w:rsidRPr="008F7C12">
        <w:t xml:space="preserve"> la existencia de un conflicto en el plano de la realidad social, </w:t>
      </w:r>
      <w:r w:rsidRPr="004208A3">
        <w:rPr>
          <w:i/>
        </w:rPr>
        <w:t>aun cuando de hecho no exista o no haya existido tal conflicto</w:t>
      </w:r>
      <w:r w:rsidRPr="008F7C12">
        <w:t>”.</w:t>
      </w:r>
      <w:r>
        <w:t xml:space="preserve"> La diferencia de opinión entre ambos autores de se percibe en que, según el jurista italiano, el </w:t>
      </w:r>
      <w:r>
        <w:rPr>
          <w:i/>
        </w:rPr>
        <w:t xml:space="preserve">litigio </w:t>
      </w:r>
      <w:r>
        <w:t xml:space="preserve">se configura </w:t>
      </w:r>
      <w:r>
        <w:rPr>
          <w:i/>
        </w:rPr>
        <w:t>entes</w:t>
      </w:r>
      <w:r>
        <w:t xml:space="preserve"> del proceso, en la realidad social regida por normas materiales, mientras que, para el procesalista rosarino, no hay </w:t>
      </w:r>
      <w:r>
        <w:rPr>
          <w:i/>
        </w:rPr>
        <w:t>litigio</w:t>
      </w:r>
      <w:r>
        <w:t xml:space="preserve"> antes que se promueva un “proceso mediante un </w:t>
      </w:r>
      <w:r>
        <w:rPr>
          <w:i/>
        </w:rPr>
        <w:t>demanda</w:t>
      </w:r>
      <w:r>
        <w:t xml:space="preserve">, en la cual debe afirmar necesariamente (…) la existencia del conflicto den el plano de la realidad social” </w:t>
      </w:r>
      <w:r w:rsidRPr="000D3FB5">
        <w:t>(pág. 39)</w:t>
      </w:r>
      <w:r>
        <w:t xml:space="preserve"> </w:t>
      </w:r>
    </w:p>
  </w:footnote>
  <w:footnote w:id="5">
    <w:p w:rsidR="00877ED0" w:rsidRDefault="00877ED0" w:rsidP="002E1788">
      <w:pPr>
        <w:pStyle w:val="FootnoteText"/>
        <w:jc w:val="both"/>
      </w:pPr>
      <w:r w:rsidRPr="00A62029">
        <w:rPr>
          <w:rStyle w:val="FootnoteReference"/>
        </w:rPr>
        <w:footnoteRef/>
      </w:r>
      <w:r w:rsidRPr="00A62029">
        <w:t xml:space="preserve"> Esta conducta de los procesalistas tuvo origen en un doble orden de razones. Por una parte, en el escepticismo que, a cierta altura de las investigaciones sobre la </w:t>
      </w:r>
      <w:r w:rsidRPr="00A62029">
        <w:rPr>
          <w:i/>
        </w:rPr>
        <w:t>acción procesal</w:t>
      </w:r>
      <w:r w:rsidRPr="00A62029">
        <w:t xml:space="preserve">, asaltó a los investigadores y que se describe en estos términos: ”Los estudiosos del proceso al no poder encontrar una explicación superadora de las dudas fueron dejando las cosas en un compás de espera ensordinando…las resonancias con las que se había intentado acotar el perfil de “la acción”, de manera que, en los últimos veinticinco años, esos debates se fueron cubriendo de un piadoso silencio” (MORELLO, Augusto M., </w:t>
      </w:r>
      <w:r w:rsidRPr="00A62029">
        <w:rPr>
          <w:i/>
        </w:rPr>
        <w:t xml:space="preserve">La relaciones de derecho material con el derecho procesal Senderos bifurcados que se reencuentran”, </w:t>
      </w:r>
      <w:r w:rsidRPr="00A62029">
        <w:t xml:space="preserve">en ACCESO AL DERECHO PROCESAL CIVIL, T.I, Obra colectiva, dirigida por Augusto M. Morello, Ed. Lajouane, Bs. As., 2007, pág. 106). Por otra parte, en la deliberada exclusión de la </w:t>
      </w:r>
      <w:r w:rsidRPr="00A62029">
        <w:rPr>
          <w:i/>
        </w:rPr>
        <w:t>acción</w:t>
      </w:r>
      <w:r w:rsidRPr="00A62029">
        <w:t xml:space="preserve"> del campo de investigación de la ciencia procesal, concretado, en la doctrina española,  por Jaime GUASP, y receptado por la gran mayoría de la doctrina foránea. Este autor, sobre la base de </w:t>
      </w:r>
      <w:r w:rsidRPr="00A62029">
        <w:rPr>
          <w:rFonts w:ascii="Arial" w:hAnsi="Arial" w:cs="Arial"/>
        </w:rPr>
        <w:t xml:space="preserve">que “la relación permanente en que parecen hallarse las concretas necesidades sociales con los instrumentos jurídicos que las recogen” es </w:t>
      </w:r>
      <w:r>
        <w:t>de “sustitución de la materia social auténtica” por “una construcción artificial del legislador”, de suerte que el derecho “se despreocupa íntegramente de la materia social para operar solo con las nuevas formas creadas”, sostuvo, con indudable enjundia científica, que “el concepto de acción es relativo respecto al proceso porque no depende de las estructuras procesales, sino que se hace independiente de ellas y funciona respetando a las mismas como una variable de distinto significado; por ello igualmente es intrascendente para el proceso” (</w:t>
      </w:r>
      <w:r>
        <w:rPr>
          <w:i/>
        </w:rPr>
        <w:t>La pretensión procesal</w:t>
      </w:r>
      <w:r>
        <w:t xml:space="preserve">, en ESTUDIOS JURÍDICOS, Ed. Civitas SA., Madrid, 1996, págs.  584 y 591). Al mismo resultado llega, por otro camino Francisco RAMOS MÉNDEZ, reduciendo la acción a pura actividad, una “trascendente al sujeto: un </w:t>
      </w:r>
      <w:r w:rsidRPr="0084636E">
        <w:rPr>
          <w:i/>
        </w:rPr>
        <w:t>“agere”</w:t>
      </w:r>
      <w:r>
        <w:rPr>
          <w:i/>
        </w:rPr>
        <w:t xml:space="preserve"> </w:t>
      </w:r>
      <w:r>
        <w:t>dinámico y activo que exterioriza al individuo en movimiento, sin resultado material”; y agrega, “El llamado derecho de acción no es sino la libertad del individuo de obrar o no” (DERECHO Y PROCESO, Ed. Bosch, Barcelona, págs.. 109 y 110).</w:t>
      </w:r>
    </w:p>
  </w:footnote>
  <w:footnote w:id="6">
    <w:p w:rsidR="00877ED0" w:rsidRDefault="00877ED0" w:rsidP="00C4124C">
      <w:pPr>
        <w:pStyle w:val="FootnoteText"/>
        <w:jc w:val="both"/>
      </w:pPr>
      <w:r>
        <w:rPr>
          <w:rStyle w:val="FootnoteReference"/>
        </w:rPr>
        <w:footnoteRef/>
      </w:r>
      <w:r>
        <w:t xml:space="preserve"> Precisamente, fue RAMOS MÉNDEZ quien advirtió, luego de minimizar al extremo la “relevancia práctica del tema”, que “el problema del interés puede llegar a cobrar una significación totalmente nueva en aquellos casos en que se habla de la protección de intereses difusos y la consiguiente legitimación para obrar” DERECHO PROCESAL CIVIL, T. I, Ed. Bosch, Barcelona, 1990, págs.. 255 y 257).</w:t>
      </w:r>
    </w:p>
  </w:footnote>
  <w:footnote w:id="7">
    <w:p w:rsidR="00877ED0" w:rsidRDefault="00877ED0" w:rsidP="00DF06CC">
      <w:pPr>
        <w:pStyle w:val="FootnoteText"/>
        <w:jc w:val="both"/>
      </w:pPr>
      <w:r>
        <w:rPr>
          <w:rStyle w:val="FootnoteReference"/>
        </w:rPr>
        <w:footnoteRef/>
      </w:r>
      <w:r>
        <w:t xml:space="preserve"> Sostenía Jaime GUASP que “Sólo al desplazarse el centro de gravedad de la discusión de la idea de poder a la idea de acto se descubre el equívoco juego de conceptos que durante tanto tiempo se ha producido aquí, ya que sea cual sea el poder al que proceso debe su existencia, del proceso sólo forma parte el acto que lo origina” (</w:t>
      </w:r>
      <w:r w:rsidRPr="00D95A55">
        <w:t>Ob. cit.</w:t>
      </w:r>
      <w:r>
        <w:t>, pág.  591).</w:t>
      </w:r>
    </w:p>
  </w:footnote>
  <w:footnote w:id="8">
    <w:p w:rsidR="00877ED0" w:rsidRDefault="00877ED0" w:rsidP="00571D48">
      <w:pPr>
        <w:pStyle w:val="FootnoteText"/>
      </w:pPr>
      <w:r w:rsidRPr="00D52D6A">
        <w:rPr>
          <w:rStyle w:val="FootnoteReference"/>
        </w:rPr>
        <w:footnoteRef/>
      </w:r>
      <w:r w:rsidRPr="00D52D6A">
        <w:t xml:space="preserve"> </w:t>
      </w:r>
      <w:r w:rsidRPr="00D52D6A">
        <w:rPr>
          <w:bCs/>
          <w:lang w:val="es-ES_tradnl"/>
        </w:rPr>
        <w:t xml:space="preserve">TRATADO DE LAS TERCERÍAS, T. 1, Ed. Ábaco, Bs As.. 1993, </w:t>
      </w:r>
      <w:r w:rsidRPr="00D52D6A">
        <w:rPr>
          <w:lang w:val="es-ES_tradnl"/>
        </w:rPr>
        <w:t xml:space="preserve">págs. </w:t>
      </w:r>
      <w:r w:rsidRPr="00D52D6A">
        <w:rPr>
          <w:bCs/>
          <w:lang w:val="es-ES_tradnl"/>
        </w:rPr>
        <w:t>121 y 122</w:t>
      </w:r>
      <w:r w:rsidRPr="00D52D6A">
        <w:rPr>
          <w:b/>
          <w:bCs/>
          <w:lang w:val="es-ES_tradnl"/>
        </w:rPr>
        <w:t>.</w:t>
      </w:r>
    </w:p>
  </w:footnote>
  <w:footnote w:id="9">
    <w:p w:rsidR="00877ED0" w:rsidRDefault="00877ED0" w:rsidP="00785FC1">
      <w:pPr>
        <w:pStyle w:val="FootnoteText"/>
        <w:jc w:val="both"/>
      </w:pPr>
      <w:r>
        <w:rPr>
          <w:rStyle w:val="FootnoteReference"/>
        </w:rPr>
        <w:footnoteRef/>
      </w:r>
      <w:r>
        <w:t xml:space="preserve"> Para el autor citado, interés es “el juicio de valor formulado por un sujeto acerca de una necesidad, sobre la utilidad o sobre el valor de un </w:t>
      </w:r>
      <w:r>
        <w:rPr>
          <w:i/>
        </w:rPr>
        <w:t xml:space="preserve">quid </w:t>
      </w:r>
      <w:r>
        <w:t xml:space="preserve">(bien), en cuanto sea medio de satisfacción de una necesidad”, de donde extrae que “el bien es </w:t>
      </w:r>
      <w:r>
        <w:rPr>
          <w:i/>
        </w:rPr>
        <w:t>interés</w:t>
      </w:r>
      <w:r>
        <w:t xml:space="preserve"> en cuanto es percibido por la inteligencia; y es </w:t>
      </w:r>
      <w:r>
        <w:rPr>
          <w:i/>
        </w:rPr>
        <w:t>finalidad</w:t>
      </w:r>
      <w:r>
        <w:t xml:space="preserve"> o </w:t>
      </w:r>
      <w:r>
        <w:rPr>
          <w:i/>
        </w:rPr>
        <w:t>fin</w:t>
      </w:r>
      <w:r>
        <w:t xml:space="preserve"> en cuanto es perseguido por la voluntad” (TRATADO DE DERECHO PROCESAL CIVIL, T. I, Eds. Temis – Depalma, Bogotá – Bs. As., 1969, 17).</w:t>
      </w:r>
    </w:p>
  </w:footnote>
  <w:footnote w:id="10">
    <w:p w:rsidR="00877ED0" w:rsidRDefault="00877ED0">
      <w:pPr>
        <w:pStyle w:val="FootnoteText"/>
      </w:pPr>
      <w:r>
        <w:rPr>
          <w:rStyle w:val="FootnoteReference"/>
        </w:rPr>
        <w:footnoteRef/>
      </w:r>
      <w:r>
        <w:t xml:space="preserve"> </w:t>
      </w:r>
      <w:r w:rsidRPr="004939B3">
        <w:t>TRATADO DE LAS TERCERÍAS, T. 1, Ed. Ábaco, Bs As., 1993, págs. 121 y 122.</w:t>
      </w:r>
    </w:p>
  </w:footnote>
  <w:footnote w:id="11">
    <w:p w:rsidR="00877ED0" w:rsidRDefault="00877ED0">
      <w:pPr>
        <w:pStyle w:val="FootnoteText"/>
      </w:pPr>
      <w:r>
        <w:rPr>
          <w:rStyle w:val="FootnoteReference"/>
        </w:rPr>
        <w:footnoteRef/>
      </w:r>
      <w:r>
        <w:t xml:space="preserve"> Véase, CARNELUTTI, TEORÍA GENERAL…, cit., págs.. </w:t>
      </w:r>
      <w:smartTag w:uri="urn:schemas-microsoft-com:office:smarttags" w:element="metricconverter">
        <w:smartTagPr>
          <w:attr w:name="ProductID" w:val="25 a"/>
        </w:smartTagPr>
        <w:r>
          <w:t>25 a</w:t>
        </w:r>
      </w:smartTag>
      <w:r>
        <w:t xml:space="preserve"> 38.</w:t>
      </w:r>
    </w:p>
  </w:footnote>
  <w:footnote w:id="12">
    <w:p w:rsidR="00877ED0" w:rsidRDefault="00877ED0" w:rsidP="00D52D6A">
      <w:pPr>
        <w:pStyle w:val="FootnoteText"/>
        <w:jc w:val="both"/>
      </w:pPr>
      <w:r>
        <w:rPr>
          <w:rStyle w:val="FootnoteReference"/>
        </w:rPr>
        <w:footnoteRef/>
      </w:r>
      <w:r>
        <w:t xml:space="preserve"> El proceso de </w:t>
      </w:r>
      <w:r>
        <w:rPr>
          <w:i/>
        </w:rPr>
        <w:t xml:space="preserve">juridización </w:t>
      </w:r>
      <w:r>
        <w:t>de los intereses se ha descripto en los siguientes términos: “</w:t>
      </w:r>
      <w:r w:rsidRPr="003F5416">
        <w:t>Una</w:t>
      </w:r>
      <w:r>
        <w:t xml:space="preserve"> vez producida, a través del proceso político, la determinación de qué interés debe ser satisfecho con prioridad a otros, qué relación valorativa de utilidad entre un sujeto y un objeto –apto para satisfacer una necesidad de aquél- debe ser reconocida y amparada por el ordenamiento, el interés que haya sido así acogido será ya un interés jurídicamente protegido, un interés jurídico” (BUJOSA VADELL, Lorenzo M., LA PROTECCIÓN JURISDICCIONAL DE LOS INTERESES DE GRUPO, Ed. José María Bosch – Barcelona, 1995, pág. 28).</w:t>
      </w:r>
    </w:p>
  </w:footnote>
  <w:footnote w:id="13">
    <w:p w:rsidR="00877ED0" w:rsidRDefault="00877ED0" w:rsidP="00F1465D">
      <w:pPr>
        <w:pStyle w:val="FootnoteText"/>
        <w:jc w:val="both"/>
      </w:pPr>
      <w:r>
        <w:rPr>
          <w:rStyle w:val="FootnoteReference"/>
        </w:rPr>
        <w:footnoteRef/>
      </w:r>
      <w:r>
        <w:t xml:space="preserve"> Los modos en que el derecho positivo opera para la solución de los .conflictos de  intereses se ha descripto diciendo que éstos son sometidos a “una </w:t>
      </w:r>
      <w:r>
        <w:rPr>
          <w:i/>
        </w:rPr>
        <w:t xml:space="preserve">regulación objetiva </w:t>
      </w:r>
      <w:r>
        <w:t xml:space="preserve">(es decir que no derive de ninguna de las partes en conflicto, sino de una instancia imparcial y que sea impuestas a ellas por igual)“, regulación que encierra “la realización de” las siguientes “tareas”: “clasificación de los intereses, la determinación de los límites dentro de los cuales algunos intereses merecen protección, la especificación de las prioridades y preferencias de unos intereses sobre otros y la formulación de esquemas de compromiso o armonización entre intereses contrarios”, sintetizando los modos de actuación del derecho positivo, en los siguientes términos: “el Derecho actúa a veces como </w:t>
      </w:r>
      <w:r>
        <w:rPr>
          <w:i/>
        </w:rPr>
        <w:t xml:space="preserve">tapia o </w:t>
      </w:r>
      <w:r w:rsidRPr="003F5416">
        <w:t>cerca</w:t>
      </w:r>
      <w:r>
        <w:t xml:space="preserve">, que defiende el ámbito de libertad contra indebidas intromisiones, y otras veces como </w:t>
      </w:r>
      <w:r w:rsidRPr="004A3192">
        <w:rPr>
          <w:i/>
        </w:rPr>
        <w:t>vi</w:t>
      </w:r>
      <w:r>
        <w:rPr>
          <w:i/>
        </w:rPr>
        <w:t>sa</w:t>
      </w:r>
      <w:r w:rsidRPr="004A3192">
        <w:rPr>
          <w:i/>
        </w:rPr>
        <w:t>gra o engranaje</w:t>
      </w:r>
      <w:r>
        <w:t xml:space="preserve">, que articula en obra de colaboración las actividades de dos o más personas” (RECASENS SICHES, Luís, Ob. cit., págs.. 227 y 229). </w:t>
      </w:r>
    </w:p>
  </w:footnote>
  <w:footnote w:id="14">
    <w:p w:rsidR="00877ED0" w:rsidRDefault="00877ED0">
      <w:pPr>
        <w:pStyle w:val="FootnoteText"/>
      </w:pPr>
      <w:r>
        <w:rPr>
          <w:rStyle w:val="FootnoteReference"/>
        </w:rPr>
        <w:footnoteRef/>
      </w:r>
      <w:r>
        <w:t xml:space="preserve"> CARNELUTTI, DERECHO…, cit., pág. 63.</w:t>
      </w:r>
    </w:p>
  </w:footnote>
  <w:footnote w:id="15">
    <w:p w:rsidR="00877ED0" w:rsidRDefault="00877ED0" w:rsidP="001E2AA3">
      <w:pPr>
        <w:pStyle w:val="FootnoteText"/>
        <w:jc w:val="both"/>
      </w:pPr>
      <w:r>
        <w:rPr>
          <w:rStyle w:val="FootnoteReference"/>
        </w:rPr>
        <w:footnoteRef/>
      </w:r>
      <w:r>
        <w:t xml:space="preserve"> No hay discrepancia posible con la idea de que “el Derecho trata de resolver o zanjar los conflictos de intereses, no de un modo teórico, sino de una manera práctica, eficaz, es decir, de tal manera que la solución que él da a tales  conflictos sea cumplida necesariamente, forzosamente” (RECANSES SICHES, Ob. cit., pág. 228).</w:t>
      </w:r>
    </w:p>
  </w:footnote>
  <w:footnote w:id="16">
    <w:p w:rsidR="00877ED0" w:rsidRDefault="00877ED0" w:rsidP="00E36AA5">
      <w:pPr>
        <w:pStyle w:val="FootnoteText"/>
        <w:jc w:val="both"/>
      </w:pPr>
      <w:r>
        <w:rPr>
          <w:rStyle w:val="FootnoteReference"/>
        </w:rPr>
        <w:footnoteRef/>
      </w:r>
      <w:r>
        <w:t xml:space="preserve"> Concluía CARNELUTTI su larga trayectoria en la investigación de los fenómenos vinculados al proceso judicial, sosteniendo que “</w:t>
      </w:r>
      <w:r>
        <w:rPr>
          <w:i/>
        </w:rPr>
        <w:t>composición de la litis</w:t>
      </w:r>
      <w:r>
        <w:t>, como fin del proceso contencioso y prevención de la desobediencia como fin del proceso voluntario, confluyen, pues, en el concepto de cumplimiento de la ley como fin del proceso en todas sus formas” (DRECHO Y…cit., pág. 76)</w:t>
      </w:r>
    </w:p>
  </w:footnote>
  <w:footnote w:id="17">
    <w:p w:rsidR="00877ED0" w:rsidRPr="0085292D" w:rsidRDefault="00877ED0" w:rsidP="00E36AA5">
      <w:pPr>
        <w:pStyle w:val="FootnoteText"/>
        <w:jc w:val="both"/>
        <w:rPr>
          <w:bCs/>
          <w:lang w:val="es-ES_tradnl"/>
        </w:rPr>
      </w:pPr>
      <w:r w:rsidRPr="0085292D">
        <w:rPr>
          <w:rStyle w:val="FootnoteReference"/>
        </w:rPr>
        <w:footnoteRef/>
      </w:r>
      <w:r w:rsidRPr="0085292D">
        <w:t xml:space="preserve"> </w:t>
      </w:r>
      <w:r>
        <w:t>Ú</w:t>
      </w:r>
      <w:r w:rsidRPr="00DA1ECE">
        <w:t>nico sujeto idóneo para perseguir la satisfacción de necesidad tan elevada</w:t>
      </w:r>
      <w:r>
        <w:t>.</w:t>
      </w:r>
      <w:r w:rsidRPr="00DA1ECE">
        <w:t xml:space="preserve"> </w:t>
      </w:r>
      <w:r w:rsidRPr="0085292D">
        <w:rPr>
          <w:bCs/>
          <w:lang w:val="es-ES_tradnl"/>
        </w:rPr>
        <w:t>En</w:t>
      </w:r>
      <w:r>
        <w:rPr>
          <w:bCs/>
          <w:lang w:val="es-ES_tradnl"/>
        </w:rPr>
        <w:t xml:space="preserve"> idéntico sentido, en</w:t>
      </w:r>
      <w:r w:rsidRPr="0085292D">
        <w:rPr>
          <w:bCs/>
          <w:lang w:val="es-ES_tradnl"/>
        </w:rPr>
        <w:t xml:space="preserve">señaba Ugo ROCCO que </w:t>
      </w:r>
      <w:r>
        <w:rPr>
          <w:bCs/>
          <w:lang w:val="es-ES_tradnl"/>
        </w:rPr>
        <w:t>“</w:t>
      </w:r>
      <w:r w:rsidRPr="0085292D">
        <w:rPr>
          <w:bCs/>
          <w:lang w:val="es-ES_tradnl"/>
        </w:rPr>
        <w:t>llegado el derecho a su perfecta madurez y reforzada la autoridad del Estado, la realización de los intereses tutelados por normas jurídicas pasó a ser una función pública</w:t>
      </w:r>
      <w:r>
        <w:rPr>
          <w:bCs/>
          <w:lang w:val="es-ES_tradnl"/>
        </w:rPr>
        <w:t xml:space="preserve"> que el Estado reclamó para sí”, en virtud de una “necesidad imprescindible” generada por el hecho de que “el Estado se presenta frente a los ciudadanos, no solo como el órgano específico del derecho, sino también como investido del poder soberano o de una potestad soberana, tan enérgica y superior, que lo pone en condiciones de poderse imponer con su acción a la voluntad y a las acciones de los súbditos” </w:t>
      </w:r>
      <w:r w:rsidRPr="0085292D">
        <w:rPr>
          <w:bCs/>
          <w:lang w:val="es-ES_tradnl"/>
        </w:rPr>
        <w:t>(Ob. cit., pág</w:t>
      </w:r>
      <w:r>
        <w:rPr>
          <w:bCs/>
          <w:lang w:val="es-ES_tradnl"/>
        </w:rPr>
        <w:t>s</w:t>
      </w:r>
      <w:r w:rsidRPr="0085292D">
        <w:rPr>
          <w:bCs/>
          <w:lang w:val="es-ES_tradnl"/>
        </w:rPr>
        <w:t>. 42</w:t>
      </w:r>
      <w:r>
        <w:rPr>
          <w:bCs/>
          <w:lang w:val="es-ES_tradnl"/>
        </w:rPr>
        <w:t xml:space="preserve"> y 47</w:t>
      </w:r>
      <w:r w:rsidRPr="0085292D">
        <w:rPr>
          <w:bCs/>
          <w:lang w:val="es-ES_tradnl"/>
        </w:rPr>
        <w:t xml:space="preserve">). La misma idea expone RECANSES SICHES, para quien </w:t>
      </w:r>
      <w:r>
        <w:rPr>
          <w:bCs/>
          <w:lang w:val="es-ES_tradnl"/>
        </w:rPr>
        <w:t xml:space="preserve">el carácter </w:t>
      </w:r>
      <w:r>
        <w:rPr>
          <w:bCs/>
          <w:i/>
          <w:lang w:val="es-ES_tradnl"/>
        </w:rPr>
        <w:t>coercitivo</w:t>
      </w:r>
      <w:r>
        <w:rPr>
          <w:bCs/>
          <w:lang w:val="es-ES_tradnl"/>
        </w:rPr>
        <w:t xml:space="preserve"> de las normas jurídicas es la razón fundamental por la que “el Derecho es dictado y aplicado por el Estado, la organización social que quiere ser más fuerte que todas las más fuertes, puesto que sus decisiones deben ser impuestas no solo a los débiles, sino incluso a los fuertes” (Ob. cit., pág. 229). </w:t>
      </w:r>
    </w:p>
    <w:p w:rsidR="00877ED0" w:rsidRDefault="00877ED0" w:rsidP="00E36AA5">
      <w:pPr>
        <w:pStyle w:val="FootnoteText"/>
        <w:jc w:val="both"/>
      </w:pPr>
      <w:r w:rsidRPr="00151807">
        <w:rPr>
          <w:rFonts w:ascii="Arial" w:hAnsi="Arial" w:cs="Arial"/>
          <w:bCs/>
          <w:sz w:val="16"/>
          <w:szCs w:val="16"/>
          <w:lang w:val="es-ES_tradnl"/>
        </w:rPr>
        <w:br/>
      </w:r>
    </w:p>
  </w:footnote>
  <w:footnote w:id="18">
    <w:p w:rsidR="00877ED0" w:rsidRDefault="00877ED0" w:rsidP="00A94A0D">
      <w:pPr>
        <w:pStyle w:val="FootnoteText"/>
      </w:pPr>
      <w:r w:rsidRPr="00C100DF">
        <w:rPr>
          <w:rStyle w:val="FootnoteReference"/>
        </w:rPr>
        <w:footnoteRef/>
      </w:r>
      <w:r w:rsidRPr="00C100DF">
        <w:t xml:space="preserve"> </w:t>
      </w:r>
      <w:r w:rsidRPr="00C100DF">
        <w:rPr>
          <w:bCs/>
          <w:lang w:val="es-ES_tradnl"/>
        </w:rPr>
        <w:t xml:space="preserve">PODETTI. 3. Rmiro. TRATADO DL LA TLRCF.RÍA, 30 ed., ampliada y actualizada por V’citor </w:t>
      </w:r>
      <w:r w:rsidRPr="00C100DF">
        <w:rPr>
          <w:lang w:val="es-ES_tradnl"/>
        </w:rPr>
        <w:t xml:space="preserve">Guerrero </w:t>
      </w:r>
      <w:r w:rsidRPr="00C100DF">
        <w:rPr>
          <w:bCs/>
          <w:lang w:val="es-ES_tradnl"/>
        </w:rPr>
        <w:t xml:space="preserve">Leconte. Ed. Ediar SA., Bs. As., 2004, </w:t>
      </w:r>
      <w:r w:rsidRPr="00C100DF">
        <w:rPr>
          <w:lang w:val="es-ES_tradnl"/>
        </w:rPr>
        <w:t>pág. 41.</w:t>
      </w:r>
    </w:p>
  </w:footnote>
  <w:footnote w:id="19">
    <w:p w:rsidR="00877ED0" w:rsidRDefault="00877ED0" w:rsidP="009D5BEE">
      <w:pPr>
        <w:pStyle w:val="FootnoteText"/>
        <w:jc w:val="both"/>
      </w:pPr>
      <w:r>
        <w:rPr>
          <w:rStyle w:val="FootnoteReference"/>
        </w:rPr>
        <w:footnoteRef/>
      </w:r>
      <w:r>
        <w:t xml:space="preserve"> PROTO PISANI, citado por MONTERO AROCA, Juan, LA LEGITIMACIÓN EN EL PROCESO CIVIL, Ed. Civitas SA, Madrid, 1994, pág  46).</w:t>
      </w:r>
    </w:p>
  </w:footnote>
  <w:footnote w:id="20">
    <w:p w:rsidR="00877ED0" w:rsidRDefault="00877ED0" w:rsidP="0040208B">
      <w:pPr>
        <w:pStyle w:val="FootnoteText"/>
        <w:jc w:val="both"/>
      </w:pPr>
      <w:r>
        <w:rPr>
          <w:rStyle w:val="FootnoteReference"/>
        </w:rPr>
        <w:footnoteRef/>
      </w:r>
      <w:r>
        <w:t xml:space="preserve"> Decía CARNELUTTI que “Hay necesidades cuya satisfacción sólo se consigue mediante la conquista de posiciones sucesivas: para comer debe procurarse antes el hombre loa alimentos y para construir la casa adquirir los materiales. Así se explica que un interés puede ser, más bien que la probabilidad de satisfacer una necesidad, una posibilidad de alcanzar otro interés; en este aspecto se distinguen los intereses </w:t>
      </w:r>
      <w:r>
        <w:rPr>
          <w:i/>
        </w:rPr>
        <w:t>finales</w:t>
      </w:r>
      <w:r>
        <w:t xml:space="preserve"> de los </w:t>
      </w:r>
      <w:r>
        <w:rPr>
          <w:i/>
        </w:rPr>
        <w:t>instrumentales</w:t>
      </w:r>
      <w:r>
        <w:t xml:space="preserve">, o los </w:t>
      </w:r>
      <w:r>
        <w:rPr>
          <w:i/>
        </w:rPr>
        <w:t xml:space="preserve">inmediatos </w:t>
      </w:r>
      <w:r>
        <w:t xml:space="preserve">de los </w:t>
      </w:r>
      <w:r>
        <w:rPr>
          <w:i/>
        </w:rPr>
        <w:t>mediatos</w:t>
      </w:r>
      <w:r>
        <w:t xml:space="preserve">” (TEORÍA GENERAL…cit. págs. 25 y 26). En el mismo sentido, Ugo ROCCO, se refiere a </w:t>
      </w:r>
      <w:r>
        <w:rPr>
          <w:i/>
        </w:rPr>
        <w:t xml:space="preserve">bienes </w:t>
      </w:r>
      <w:r>
        <w:t xml:space="preserve">e </w:t>
      </w:r>
      <w:r>
        <w:rPr>
          <w:i/>
        </w:rPr>
        <w:t xml:space="preserve">intereses </w:t>
      </w:r>
      <w:r>
        <w:t xml:space="preserve">de </w:t>
      </w:r>
      <w:r>
        <w:rPr>
          <w:i/>
        </w:rPr>
        <w:t xml:space="preserve">primer grado </w:t>
      </w:r>
      <w:r>
        <w:t xml:space="preserve">o </w:t>
      </w:r>
      <w:r>
        <w:rPr>
          <w:i/>
        </w:rPr>
        <w:t>primarios</w:t>
      </w:r>
      <w:r>
        <w:t xml:space="preserve"> y </w:t>
      </w:r>
      <w:r>
        <w:rPr>
          <w:i/>
        </w:rPr>
        <w:t xml:space="preserve">bienes </w:t>
      </w:r>
      <w:r>
        <w:t xml:space="preserve">e </w:t>
      </w:r>
      <w:r>
        <w:rPr>
          <w:i/>
        </w:rPr>
        <w:t xml:space="preserve">intereses </w:t>
      </w:r>
      <w:r>
        <w:t xml:space="preserve">de </w:t>
      </w:r>
      <w:r>
        <w:rPr>
          <w:i/>
        </w:rPr>
        <w:t xml:space="preserve">segundo grado </w:t>
      </w:r>
      <w:r>
        <w:t xml:space="preserve">o </w:t>
      </w:r>
      <w:r w:rsidRPr="000D7199">
        <w:rPr>
          <w:i/>
        </w:rPr>
        <w:t>secundarios</w:t>
      </w:r>
      <w:r>
        <w:t xml:space="preserve"> (Ob. cit., págs.. 18 y 19).</w:t>
      </w:r>
    </w:p>
  </w:footnote>
  <w:footnote w:id="21">
    <w:p w:rsidR="00877ED0" w:rsidRDefault="00877ED0" w:rsidP="00206D8E">
      <w:pPr>
        <w:pStyle w:val="FootnoteText"/>
        <w:jc w:val="both"/>
      </w:pPr>
      <w:r>
        <w:rPr>
          <w:rStyle w:val="FootnoteReference"/>
        </w:rPr>
        <w:footnoteRef/>
      </w:r>
      <w:r>
        <w:t xml:space="preserve"> No ha dejado de señalarse por la doctrina las dificultades para enuclear con precisión esta especie de interés jurídico (véase, SÁNCHEZ MORÓN, Miguel, LA PARTICIPACIÓN DE LOS CIUDADANOS EN LA ADMINISTRACIÓN PÚBLICA, Centro de Estudios Constitucionales, Madrid, 1980, págs.. 131y 132.. Sin que podamos abordar aquí tan espinoso problema, dejamos señalada que esa dificultad ha intentado superarse destacando que “en el seno del concepto de interés público puede albergarse una diversa tipología de situaciones, según su caracterización y alcance. Y así se ha hablado de intereses públicos de carácter general e intereses sectoriales”, diferenciación que se funda “en si el interés es referible de modo idéntico a la entera sociedad (si es de todos los ciudadanos o, al menos, de la mayoría de ellos), o si atañe (a pesar de la trascendencia global para la comunidad social, que por definición está presente), más directamente a alguno de los sectores sociales que componen la comunidad” (GUTIERREZ DE CAVIEDES E HIDALGO DE CAVIEDES, Ob. cit., págs. 58 y 59).</w:t>
      </w:r>
    </w:p>
  </w:footnote>
  <w:footnote w:id="22">
    <w:p w:rsidR="00877ED0" w:rsidRDefault="00877ED0" w:rsidP="00D96A39">
      <w:pPr>
        <w:pStyle w:val="FootnoteText"/>
        <w:jc w:val="both"/>
      </w:pPr>
      <w:r>
        <w:rPr>
          <w:rStyle w:val="FootnoteReference"/>
        </w:rPr>
        <w:footnoteRef/>
      </w:r>
      <w:r>
        <w:t xml:space="preserve"> Su carácter de fenómeno “intermedio” entre los intereses públicos y los privados deriva del hecho  de “que el ámbito en que estos intereses se desarrollan no es ni el puramente privado ni el público, en sentido estricto. Es un nivel “intermedio” entre lo público y lo privado donde encuentran su existencia, en correspondencia con la posición también intermedia de los cuerpos sociales que son sus naturales portadores” (GUTIERREZ DE CAVIEDES E HIDALGO DE CAVIEDES, Ob. cit., pág. 87).</w:t>
      </w:r>
    </w:p>
  </w:footnote>
  <w:footnote w:id="23">
    <w:p w:rsidR="00877ED0" w:rsidRDefault="00877ED0">
      <w:pPr>
        <w:pStyle w:val="FootnoteText"/>
      </w:pPr>
      <w:r>
        <w:rPr>
          <w:rStyle w:val="FootnoteReference"/>
        </w:rPr>
        <w:footnoteRef/>
      </w:r>
      <w:r>
        <w:t xml:space="preserve"> GUTIERREZ DE CAVIEDES E HIDALGO DE CAVIEDES, Ob. cit., pág. 109).</w:t>
      </w:r>
    </w:p>
  </w:footnote>
  <w:footnote w:id="24">
    <w:p w:rsidR="00877ED0" w:rsidRDefault="00877ED0" w:rsidP="00CC1E6A">
      <w:pPr>
        <w:pStyle w:val="FootnoteText"/>
        <w:jc w:val="both"/>
      </w:pPr>
      <w:r>
        <w:rPr>
          <w:rStyle w:val="FootnoteReference"/>
        </w:rPr>
        <w:footnoteRef/>
      </w:r>
      <w:r>
        <w:t xml:space="preserve"> Opina MONTERO AROCA que “Lo característico de los  intereses colectivos es que los mismos pertenecen a una serie de personas, más o menos numerosa, que están o pueden ser determinadas, entre las cuales existe un vínculo jurídico, existiendo una entidad que es persona jurídica a la cual se atribuye por ley la representación institucional para la defensa de ese interés” (Ob. cit., pág. 65). En cuanto al “vinculo jurídico”, preferimos la fórmula de GUTIERREZ DE CAVIEDES E HIDALGO DE CAVIEDES, para quien “en el caso de los intereses colectivos existirá una vinculación jurídica de los miembros del grupo con un tercero o entre sí” (</w:t>
      </w:r>
      <w:r>
        <w:rPr>
          <w:i/>
        </w:rPr>
        <w:t>ibídem</w:t>
      </w:r>
      <w:r>
        <w:t>).</w:t>
      </w:r>
    </w:p>
  </w:footnote>
  <w:footnote w:id="25">
    <w:p w:rsidR="00877ED0" w:rsidRDefault="00877ED0" w:rsidP="001836E7">
      <w:pPr>
        <w:pStyle w:val="FootnoteText"/>
        <w:jc w:val="both"/>
      </w:pPr>
      <w:r>
        <w:rPr>
          <w:rStyle w:val="FootnoteReference"/>
        </w:rPr>
        <w:footnoteRef/>
      </w:r>
      <w:r>
        <w:t xml:space="preserve"> Corte Suprema de Justicia de la Nación, sentencia recaída en la causa </w:t>
      </w:r>
      <w:r>
        <w:rPr>
          <w:i/>
        </w:rPr>
        <w:t>H.E. vs. PEN</w:t>
      </w:r>
      <w:r>
        <w:t xml:space="preserve">, del 24/2/2009, publicada en ABELEDO-PERROT – NEWSLETTER DIARIO, del 25/2/2009. Para un análisis jurisprudencial, véase, LOS DERECHOS DE INCIDENCIA COLECTIVA EN LA JURISPRUDENCIA DE LA CORTE SUPREMA DE JUSTICIA DE LA NACIÓN, Ed. Rubinzal-Culzoni, Bs. As. – Santa Fe, 2010.  </w:t>
      </w:r>
    </w:p>
    <w:p w:rsidR="00877ED0" w:rsidRDefault="00877ED0" w:rsidP="001836E7">
      <w:pPr>
        <w:pStyle w:val="FootnoteText"/>
      </w:pPr>
    </w:p>
    <w:p w:rsidR="00877ED0" w:rsidRDefault="00877ED0" w:rsidP="001836E7">
      <w:pPr>
        <w:pStyle w:val="FootnoteText"/>
      </w:pPr>
    </w:p>
    <w:p w:rsidR="00877ED0" w:rsidRDefault="00877ED0" w:rsidP="001836E7">
      <w:pPr>
        <w:pStyle w:val="FootnoteText"/>
      </w:pPr>
    </w:p>
  </w:footnote>
  <w:footnote w:id="26">
    <w:p w:rsidR="00877ED0" w:rsidRDefault="00877ED0" w:rsidP="004C28F1">
      <w:pPr>
        <w:pStyle w:val="FootnoteText"/>
        <w:jc w:val="both"/>
      </w:pPr>
      <w:r>
        <w:rPr>
          <w:rStyle w:val="FootnoteReference"/>
        </w:rPr>
        <w:footnoteRef/>
      </w:r>
      <w:r>
        <w:t xml:space="preserve"> Por eso, en nuestro criterio, la pretensión, considerada en el estricto campo del derecho, se desenvuelve siempre en el plano jurídico, por lo que discrepamos con el concepto que brinda ALVARADO VELLOSO, relegándola al “plano de la realidad social” y reconociéndole trascendencia jurídica solo en el ámbito del proceso judicial, cuando se realiza “mediante el ejercicio del derecho autónomo y abstracto de </w:t>
      </w:r>
      <w:r>
        <w:rPr>
          <w:i/>
        </w:rPr>
        <w:t>acción</w:t>
      </w:r>
      <w:r w:rsidRPr="004F2160">
        <w:t>”</w:t>
      </w:r>
      <w:r>
        <w:t xml:space="preserve"> (SISTEMA…cit., pág. 236).</w:t>
      </w:r>
    </w:p>
  </w:footnote>
  <w:footnote w:id="27">
    <w:p w:rsidR="00877ED0" w:rsidRDefault="00877ED0" w:rsidP="004C28F1">
      <w:pPr>
        <w:pStyle w:val="FootnoteText"/>
      </w:pPr>
      <w:r>
        <w:rPr>
          <w:rStyle w:val="FootnoteReference"/>
        </w:rPr>
        <w:footnoteRef/>
      </w:r>
      <w:r>
        <w:t xml:space="preserve"> Artículos 509, 2º párrafo, y 513, Código Civil</w:t>
      </w:r>
    </w:p>
  </w:footnote>
  <w:footnote w:id="28">
    <w:p w:rsidR="00877ED0" w:rsidRDefault="00877ED0">
      <w:pPr>
        <w:pStyle w:val="FootnoteText"/>
      </w:pPr>
      <w:r>
        <w:rPr>
          <w:rStyle w:val="FootnoteReference"/>
        </w:rPr>
        <w:footnoteRef/>
      </w:r>
      <w:r>
        <w:t xml:space="preserve"> Artículo 3986, 2º párrafo, Código Civil.</w:t>
      </w:r>
    </w:p>
  </w:footnote>
  <w:footnote w:id="29">
    <w:p w:rsidR="00877ED0" w:rsidRDefault="00877ED0">
      <w:pPr>
        <w:pStyle w:val="FootnoteText"/>
      </w:pPr>
      <w:r>
        <w:rPr>
          <w:rStyle w:val="FootnoteReference"/>
        </w:rPr>
        <w:footnoteRef/>
      </w:r>
      <w:r>
        <w:t xml:space="preserve"> Artículos 3947 y 3949, Código Civil.</w:t>
      </w:r>
    </w:p>
  </w:footnote>
  <w:footnote w:id="30">
    <w:p w:rsidR="00877ED0" w:rsidRDefault="00877ED0" w:rsidP="00A36CA9">
      <w:pPr>
        <w:pStyle w:val="FootnoteText"/>
        <w:jc w:val="both"/>
      </w:pPr>
      <w:r>
        <w:rPr>
          <w:rStyle w:val="FootnoteReference"/>
        </w:rPr>
        <w:footnoteRef/>
      </w:r>
      <w:r>
        <w:t xml:space="preserve"> Por ejemplo, artículo 259, Código Civil, con relación a la caducidad de la “acción de impugnación de la paternidad del marido…ejercida por éste”. Para la diferencia entre caducidad y prescripción, véase, ALVARADO VELLOSO, SISTEMA…, cit., págs.. 214 y 215.</w:t>
      </w:r>
    </w:p>
  </w:footnote>
  <w:footnote w:id="31">
    <w:p w:rsidR="00877ED0" w:rsidRDefault="00877ED0" w:rsidP="00293F23">
      <w:pPr>
        <w:pStyle w:val="FootnoteText"/>
        <w:jc w:val="both"/>
      </w:pPr>
      <w:r>
        <w:rPr>
          <w:rStyle w:val="FootnoteReference"/>
        </w:rPr>
        <w:footnoteRef/>
      </w:r>
      <w:r>
        <w:t xml:space="preserve"> También en este punto nos separamos de ALVARADO VELLOSO, en cuanto, para éste, el </w:t>
      </w:r>
      <w:r>
        <w:rPr>
          <w:i/>
        </w:rPr>
        <w:t xml:space="preserve">litigio </w:t>
      </w:r>
      <w:r>
        <w:t>se configura recién “en el plano jurídico del proceso”, fuera del cual solo existe un “</w:t>
      </w:r>
      <w:r>
        <w:rPr>
          <w:i/>
        </w:rPr>
        <w:t>conflicto</w:t>
      </w:r>
      <w:r>
        <w:t xml:space="preserve">” (SISTEMA…, cit., pág. 40), discrepancia que es consecuencia directa de la que puntualizamos en nota nº 25. </w:t>
      </w:r>
    </w:p>
  </w:footnote>
  <w:footnote w:id="32">
    <w:p w:rsidR="00877ED0" w:rsidRDefault="00877ED0" w:rsidP="005047AD">
      <w:pPr>
        <w:pStyle w:val="FootnoteText"/>
        <w:jc w:val="both"/>
      </w:pPr>
      <w:r>
        <w:rPr>
          <w:rStyle w:val="FootnoteReference"/>
        </w:rPr>
        <w:footnoteRef/>
      </w:r>
      <w:r>
        <w:t xml:space="preserve"> Para ALVARADO VELLOSO objeto de la pretensión es “obtener de la autoridad (juez o árbitro) una resolución con contenido favorable a la petición hecha en la demanda” (SISTEMA…, pág. 242), lo cual es coherente con su idea de pretensión. Para nosotros, que ubicamos la pretensión fuera del proceso –sin perjuicio que se haga valer a través del ejercicio del derecho de acción en el ámbito judicial-, el objeto no puede ser otro que el bien de la vida. El modo de tutela jurisdiccional que se persigue por las partes –declaración de certeza; condena; constitución jurídica- constituye, para nosotros,  el objeto último del derecho subjetivo de acción; y el contenido material de la sentencia –actuación de una norma de derecho sustancial- es objeto de la pretensión en sentido sustancial.</w:t>
      </w:r>
    </w:p>
  </w:footnote>
  <w:footnote w:id="33">
    <w:p w:rsidR="00877ED0" w:rsidRDefault="00877ED0" w:rsidP="00396F8C">
      <w:pPr>
        <w:pStyle w:val="FootnoteText"/>
        <w:jc w:val="both"/>
      </w:pPr>
      <w:r>
        <w:rPr>
          <w:rStyle w:val="FootnoteReference"/>
        </w:rPr>
        <w:footnoteRef/>
      </w:r>
      <w:r>
        <w:t xml:space="preserve"> Seguimos en este lugar a CARNELUTTI, quien expone su pensamiento diciendo que “Desde que me dediqué a estudiar el proceso se me presentó la necesidad de separar la pretensión del derecho; de otro modo no se podría admitir una pretensión no fundada; pero en un principio he confundido la pretensión con la </w:t>
      </w:r>
      <w:r>
        <w:rPr>
          <w:i/>
        </w:rPr>
        <w:t xml:space="preserve">afirmación  </w:t>
      </w:r>
      <w:r>
        <w:t xml:space="preserve">del derecho (…) ya que no había advertido que se puede dar no solo la pretensión </w:t>
      </w:r>
      <w:r>
        <w:rPr>
          <w:i/>
        </w:rPr>
        <w:t xml:space="preserve">infundada </w:t>
      </w:r>
      <w:r>
        <w:t xml:space="preserve">sino también la pretensión </w:t>
      </w:r>
      <w:r>
        <w:rPr>
          <w:i/>
        </w:rPr>
        <w:t xml:space="preserve">no razonada (quia nominor leo) </w:t>
      </w:r>
      <w:r>
        <w:t xml:space="preserve">por eso” en obras posteriores “la pretensión ha sido definida como “exigencia de la subordinación del interés ajeno al interés propio”; así no solo la pretensión es separada del derecho sino también de la </w:t>
      </w:r>
      <w:r>
        <w:rPr>
          <w:i/>
        </w:rPr>
        <w:t>razón (ragione)</w:t>
      </w:r>
      <w:r>
        <w:t>; la razón (</w:t>
      </w:r>
      <w:r>
        <w:rPr>
          <w:i/>
        </w:rPr>
        <w:t>ratio petendi)</w:t>
      </w:r>
      <w:r>
        <w:t xml:space="preserve"> es precisamente lo que vincula la pretensión al derecho” (DERECHO Y…cit., págs.. 61 y 62, nota nº 27). </w:t>
      </w:r>
    </w:p>
  </w:footnote>
  <w:footnote w:id="34">
    <w:p w:rsidR="00877ED0" w:rsidRDefault="00877ED0" w:rsidP="00F75166">
      <w:pPr>
        <w:pStyle w:val="FootnoteText"/>
        <w:jc w:val="both"/>
      </w:pPr>
      <w:r>
        <w:rPr>
          <w:rStyle w:val="FootnoteReference"/>
        </w:rPr>
        <w:footnoteRef/>
      </w:r>
      <w:r>
        <w:t xml:space="preserve"> Esto es así por cuanto, como enseña ALVARADO VELLOSO, “Toda pretensión procesal –y aún la que se manifiesta el plano de las relaciones materiales, agregamos por nuestra cuenta- implica la afirmación de una relación jurídica, entendida…como vínculo que surge entre dos sujetos -…- con motivo de un acaecimiento con trascendencia para el Derecho” (SISTEMA…, cit. págs.. 240 y 241).</w:t>
      </w:r>
    </w:p>
  </w:footnote>
  <w:footnote w:id="35">
    <w:p w:rsidR="00877ED0" w:rsidRDefault="00877ED0" w:rsidP="00F75166">
      <w:pPr>
        <w:pStyle w:val="FootnoteText"/>
        <w:jc w:val="both"/>
      </w:pPr>
      <w:r>
        <w:rPr>
          <w:rStyle w:val="FootnoteReference"/>
        </w:rPr>
        <w:footnoteRef/>
      </w:r>
      <w:r>
        <w:t xml:space="preserve"> Para quienes, como ALVARADO VELLOSO y un sector importante de la doctrina nacional, interesa solo la </w:t>
      </w:r>
      <w:r>
        <w:rPr>
          <w:i/>
        </w:rPr>
        <w:t xml:space="preserve">pretensión procesal </w:t>
      </w:r>
      <w:r>
        <w:t xml:space="preserve">formulada “en una </w:t>
      </w:r>
      <w:r>
        <w:rPr>
          <w:i/>
        </w:rPr>
        <w:t>demanda</w:t>
      </w:r>
      <w:r>
        <w:t xml:space="preserve">” (SISTEMA…cit., pág. 237), el elemento causal es constitutivo de la pretensión. </w:t>
      </w:r>
    </w:p>
  </w:footnote>
  <w:footnote w:id="36">
    <w:p w:rsidR="00877ED0" w:rsidRDefault="00877ED0" w:rsidP="00A94A0D">
      <w:pPr>
        <w:pStyle w:val="FootnoteText"/>
      </w:pPr>
      <w:r w:rsidRPr="00842681">
        <w:rPr>
          <w:rStyle w:val="FootnoteReference"/>
        </w:rPr>
        <w:footnoteRef/>
      </w:r>
      <w:r w:rsidRPr="00842681">
        <w:t xml:space="preserve"> </w:t>
      </w:r>
      <w:r w:rsidRPr="00842681">
        <w:rPr>
          <w:lang w:val="es-ES_tradnl"/>
        </w:rPr>
        <w:t xml:space="preserve">CNApeICIV. Sala D. 11 de mayo de 1984. JA. 1985-11-539. </w:t>
      </w:r>
    </w:p>
  </w:footnote>
  <w:footnote w:id="37">
    <w:p w:rsidR="00877ED0" w:rsidRDefault="00877ED0" w:rsidP="00A94A0D">
      <w:pPr>
        <w:pStyle w:val="FootnoteText"/>
      </w:pPr>
      <w:r w:rsidRPr="00842681">
        <w:rPr>
          <w:rStyle w:val="FootnoteReference"/>
        </w:rPr>
        <w:footnoteRef/>
      </w:r>
      <w:r w:rsidRPr="00842681">
        <w:t xml:space="preserve"> </w:t>
      </w:r>
      <w:r w:rsidRPr="00842681">
        <w:rPr>
          <w:lang w:val="es-ES_tradnl"/>
        </w:rPr>
        <w:t xml:space="preserve">‘Cl°ApeI Bahía Blanca, 11 de marzo de 1966, JA. 1966-1V, </w:t>
      </w:r>
      <w:r w:rsidRPr="00842681">
        <w:rPr>
          <w:i/>
          <w:iCs/>
          <w:lang w:val="es-ES_tradnl"/>
        </w:rPr>
        <w:t xml:space="preserve">pág. </w:t>
      </w:r>
      <w:r w:rsidRPr="00842681">
        <w:rPr>
          <w:lang w:val="es-ES_tradnl"/>
        </w:rPr>
        <w:t xml:space="preserve">84. </w:t>
      </w:r>
    </w:p>
  </w:footnote>
  <w:footnote w:id="38">
    <w:p w:rsidR="00877ED0" w:rsidRDefault="00877ED0" w:rsidP="00A45797">
      <w:pPr>
        <w:pStyle w:val="FootnoteText"/>
        <w:jc w:val="both"/>
      </w:pPr>
      <w:r>
        <w:rPr>
          <w:rStyle w:val="FootnoteReference"/>
        </w:rPr>
        <w:footnoteRef/>
      </w:r>
      <w:r>
        <w:t xml:space="preserve"> Se ha contado a la legitimación entre los “conceptos…más debatidos y, al mismo tiempo, más confusos del derecho procesal” (MONTERO AROCA, Ob. cit., pág. 13), siendo común en la doctrina española la cita de GOMEZ ORBANEJA, para quien “la confusión viene de lejos y depende de que con esta palabra se han designado hoy cosas muy distintas” (GUTIERREZ DE CAVIEDES E HIDALGO DE CAVIEDES, Ob. cit., pág. 141) </w:t>
      </w:r>
    </w:p>
  </w:footnote>
  <w:footnote w:id="39">
    <w:p w:rsidR="00877ED0" w:rsidRDefault="00877ED0" w:rsidP="000F2DAB">
      <w:pPr>
        <w:pStyle w:val="FootnoteText"/>
        <w:jc w:val="both"/>
      </w:pPr>
      <w:r>
        <w:rPr>
          <w:rStyle w:val="FootnoteReference"/>
        </w:rPr>
        <w:footnoteRef/>
      </w:r>
      <w:r>
        <w:t xml:space="preserve"> Advertía ya CARNELUTTI que “Como muchos otros conceptos que han ido o está pasando al plano de la teoría general, también el concepto de legitimación puede decirse que ha emergido en el campo del proceso” (TEORÍA GENERAL…, cit., págs.. 234 y 235); en época más reciente, también, GUTIERREZ DE CAVIEDES E HIDALGO DE CAVIEDES destaca que “la legitimación no es una institución jurídica exclusiva del Derecho Procesal, sino perteneciente a la </w:t>
      </w:r>
      <w:r>
        <w:rPr>
          <w:i/>
        </w:rPr>
        <w:t>Teoría General del Derecho</w:t>
      </w:r>
      <w:r>
        <w:t xml:space="preserve"> y en consecuencia susceptible de ser tratada y aplicada en cada una de las diferentes ramas que componen el ordenamiento jurídico” (Ob. cit., pág. 143). En el mismo sentido, SILGUERO ESTAGNAM, Joaquín, LA TUTELA DE LOS INTERESES COLECTIVOS A TRAVÉS DE LA LEGITIMACIÓN DE LOS GRUPOS, Ed. Dykinson, Madrid, 1999, pág. 155.</w:t>
      </w:r>
    </w:p>
  </w:footnote>
  <w:footnote w:id="40">
    <w:p w:rsidR="00877ED0" w:rsidRDefault="00877ED0">
      <w:pPr>
        <w:pStyle w:val="FootnoteText"/>
      </w:pPr>
      <w:r>
        <w:rPr>
          <w:rStyle w:val="FootnoteReference"/>
        </w:rPr>
        <w:footnoteRef/>
      </w:r>
      <w:r>
        <w:rPr>
          <w:rStyle w:val="FootnoteReference"/>
        </w:rPr>
        <w:footnoteRef/>
      </w:r>
      <w:r>
        <w:t xml:space="preserve"> Con cita de Ramos Méndez, destaca SILGUERO ESTAGNAM que “El problema de la relación entre Derecho y proceso…está detrás de cualquier institución procesal, pero…adquiere especial relevancia en el tratamiento procesal de la legitimación” (Ob. cit., pág. 48).</w:t>
      </w:r>
    </w:p>
  </w:footnote>
  <w:footnote w:id="41">
    <w:p w:rsidR="00877ED0" w:rsidRDefault="00877ED0" w:rsidP="00B34F49">
      <w:pPr>
        <w:pStyle w:val="FootnoteText"/>
        <w:jc w:val="both"/>
      </w:pPr>
      <w:r>
        <w:rPr>
          <w:rStyle w:val="FootnoteReference"/>
        </w:rPr>
        <w:footnoteRef/>
      </w:r>
      <w:r>
        <w:t xml:space="preserve"> PALACIO, Lino E., DERECHO PROCESAL CIVIL, T. I, 3º ed., act. Carlos E. Camps, Ed. Abeledo-Perrot, Bs. As., 2011, pág. 301. DE LOS SANTOS, Mabel, en la misma dirección afirma que “Tener legitimación para obrar consiste en ser la persona que, de conformidad con la ley sustancial, puede formular o contradecir las pretensiones contenidas en la demanda” (</w:t>
      </w:r>
      <w:r>
        <w:rPr>
          <w:i/>
        </w:rPr>
        <w:t>Falta de acción. La excepción de falta manifiesta de legitimación para obrar</w:t>
      </w:r>
      <w:r>
        <w:t xml:space="preserve">, en EXCEPCIONES PROCESALES, T.I, obra colectiva, dirigida por Jorge W. PEYRANO, Ed. Jurídica Panamericana SRL., Santa Fe, 2001, pág. 65). </w:t>
      </w:r>
    </w:p>
  </w:footnote>
  <w:footnote w:id="42">
    <w:p w:rsidR="00877ED0" w:rsidRDefault="00877ED0" w:rsidP="00C46533">
      <w:pPr>
        <w:pStyle w:val="FootnoteText"/>
        <w:jc w:val="both"/>
      </w:pPr>
      <w:r>
        <w:rPr>
          <w:rStyle w:val="FootnoteReference"/>
        </w:rPr>
        <w:footnoteRef/>
      </w:r>
      <w:r>
        <w:t xml:space="preserve"> Roland ARAZI señala que “en general, la legitimación activa coincide con la titularidad del derecho subjetivo que se pretende hacer valer en el juicio, y la legitimación pasiva con el carácter de sujeto pasivo de esa relación”, señalando, luego, casos en que “no existe tal coincidencia (legitimación irregular o anómala)” (DERECHO PROCESAL CIVIL Y COMERCIAL, T. I, 2º ed., Ed. Rubinzal-Culzoni, Bs. As., Santa Fe, 2004, pág. 116), en el mismo sentido se expide Mabel DELOS SANTOS, diciendo que “podemos identificar la legitimación ordinaria como la que coincide con la titularidad del derecho sustancial, mientras que la legitimación extraordinaria es la corresponde al sustituto procesal” (Op. cit., pág. 69).</w:t>
      </w:r>
    </w:p>
  </w:footnote>
  <w:footnote w:id="43">
    <w:p w:rsidR="00877ED0" w:rsidRDefault="00877ED0" w:rsidP="00E32A85">
      <w:pPr>
        <w:pStyle w:val="FootnoteText"/>
        <w:jc w:val="both"/>
      </w:pPr>
      <w:r>
        <w:rPr>
          <w:rStyle w:val="FootnoteReference"/>
        </w:rPr>
        <w:footnoteRef/>
      </w:r>
      <w:r>
        <w:t xml:space="preserve"> Jorge W. PEYRANO sostiene que “hablar de legitimación procesal hoy equivale a hablar de “legitimaciones atípicas”, por lo menos vista la cuestión desde la óptica tradicional en materia de legitimación”, con lo “que persigue dejar en claro que resulta desacertado hablar de “legitimación”, correspondiendo más bien explayarse respecto de las “legitimaciones”. Vale decir que dicha aptitud postulatoria debe merecer análisis en cada caso concreto, no siendo, entonces, válido referirse a la legitimación procesal a través de un concepto unívoco que permita siempre </w:t>
      </w:r>
      <w:r>
        <w:rPr>
          <w:i/>
        </w:rPr>
        <w:t xml:space="preserve">a priori </w:t>
      </w:r>
      <w:r>
        <w:t>determinar cuándo concurre (o no)” (</w:t>
      </w:r>
      <w:r>
        <w:rPr>
          <w:i/>
        </w:rPr>
        <w:t xml:space="preserve">Legitimaciones atípicas, </w:t>
      </w:r>
      <w:r>
        <w:t xml:space="preserve">en LA LEGITIMACIÓN, Obra colectiva coordinada por Augusto M. MORELLO, Ed. Abeledo-Perrot, Bs. As., 1996, págs. 83 y 84). </w:t>
      </w:r>
    </w:p>
  </w:footnote>
  <w:footnote w:id="44">
    <w:p w:rsidR="00877ED0" w:rsidRDefault="00877ED0" w:rsidP="009F2BBE">
      <w:pPr>
        <w:pStyle w:val="FootnoteText"/>
        <w:jc w:val="both"/>
      </w:pPr>
      <w:r>
        <w:rPr>
          <w:rStyle w:val="FootnoteReference"/>
        </w:rPr>
        <w:footnoteRef/>
      </w:r>
      <w:r>
        <w:t xml:space="preserve"> Véase, BIDART CAMPOS, Germán J., </w:t>
      </w:r>
      <w:r>
        <w:rPr>
          <w:i/>
        </w:rPr>
        <w:t>El acceso a la justicia, el proceso y la legitimación,</w:t>
      </w:r>
      <w:r>
        <w:t xml:space="preserve"> en LA LEGITIMACIÓN, cit., págs. 18 a 21 y MORELLO, Augusto M., </w:t>
      </w:r>
      <w:r>
        <w:rPr>
          <w:i/>
        </w:rPr>
        <w:t xml:space="preserve">Ascenso y multiplicación de las legitimaciones, </w:t>
      </w:r>
      <w:r>
        <w:t>en ACCESO…, cit., págs.. 217 a 230.</w:t>
      </w:r>
    </w:p>
  </w:footnote>
  <w:footnote w:id="45">
    <w:p w:rsidR="00877ED0" w:rsidRDefault="00877ED0" w:rsidP="005660AE">
      <w:pPr>
        <w:pStyle w:val="FootnoteText"/>
        <w:jc w:val="both"/>
      </w:pPr>
      <w:r>
        <w:rPr>
          <w:rStyle w:val="FootnoteReference"/>
        </w:rPr>
        <w:footnoteRef/>
      </w:r>
      <w:r>
        <w:t xml:space="preserve"> Expresa MORELLO: “Utilizamos las expresiones “legitimación extraordinaria”, “atípica”, “anómala”, etc., en el sentido de mostrar el arrollador ingreso, consolidación y expansión de las nuevas manifestaciones, competencias y reconocimientos de tutelas específicas y efectivas de intereses y situaciones subjetivas diversificadas, que en el presente, como claros </w:t>
      </w:r>
      <w:r>
        <w:rPr>
          <w:i/>
        </w:rPr>
        <w:t>derechos</w:t>
      </w:r>
      <w:r>
        <w:t>, son tratados por el ordenamiento jurídico con base institucional y política, de manera preferente, en un movimiento de trascendental importancia. No es aplicable, por consiguiente,  la versión ortodoxa que atribuye a las “legitimaciones extraordinarias” un alcance más restringido  y que opera en el interior de un proceso singular” (Op. cit., pág. 217, nota nº 1); en sentido similar, PEYRANO se refiere a las “legitimaciones atípìcas”, las cuales, dice,  producen “un evidente “ensanchamiento” del concepto de legitimación procesal” (Op. cit., pág. 90). Muestra nítida la confusión que dejamos señalada en el texto, Valeria MONTALDO MAIOCCHI, cuando, planteándose la hipótesis de “quien no debería ser aceptado por insuficiencia de los requisitos de la clásica titularidad, manifiesta –no obstante- un interés serio, concreto, evidente, y plantea una acción que es resistida por la contraria”, opina que la defensa de falta de legitimación debe ser rechazada con fundamento en la “existencia de…interés suficiente”, en virtud de que “el interés prevalece sobre cualquier cuestionamiento a la mentada clásica titularidad”, por cuanto “ese tal interés no puede ignorarse sin franca posibilidad de ignorar derechos fundamentales” como el “derecho de peticionar” (</w:t>
      </w:r>
      <w:r>
        <w:rPr>
          <w:i/>
        </w:rPr>
        <w:t>Falta de legitimación para obrar</w:t>
      </w:r>
      <w:r>
        <w:t>, en DEFENSAS Y EXCEPCIONES, Obra colectiva dirigida por Osvaldo GOZAINI, Ed. Rubinzal-Culzoni, Bs. As. . Santa Fe, 2007, pág. 216); como veremos en el texto, la sola afirmación de la existencia de un interés protegido “serio, concreto, evidente” y personal, como son los de incidencia colectiva a partir de su consagración en la Constitución Nacional (artículo 41 y 42), legitima al “afectado” (artículo 43, 2º párrafo, Const. Nac.), para accionar persiguiendo la tutela judicial de dicho interés.</w:t>
      </w:r>
    </w:p>
  </w:footnote>
  <w:footnote w:id="46">
    <w:p w:rsidR="00877ED0" w:rsidRDefault="00877ED0" w:rsidP="00F832A7">
      <w:pPr>
        <w:pStyle w:val="FootnoteText"/>
        <w:jc w:val="both"/>
      </w:pPr>
      <w:r>
        <w:rPr>
          <w:rStyle w:val="FootnoteReference"/>
        </w:rPr>
        <w:footnoteRef/>
      </w:r>
      <w:r>
        <w:t xml:space="preserve"> En orden a esta legitimación cabe repetir con BIDART CAMPOS que “Cuando la </w:t>
      </w:r>
      <w:r w:rsidRPr="00F832A7">
        <w:rPr>
          <w:i/>
        </w:rPr>
        <w:t>pretensión sustancial o material</w:t>
      </w:r>
      <w:r>
        <w:t xml:space="preserve"> –la cursiva nos pertenece- hace referencia a un derecho –o interés protegido, agregamos nosotros- que el justiciable invoca como suyo, ha de quedar abierto el acceso a la justicia mediante la </w:t>
      </w:r>
      <w:r>
        <w:rPr>
          <w:i/>
        </w:rPr>
        <w:t>pretensión procesal</w:t>
      </w:r>
      <w:r>
        <w:t xml:space="preserve"> –</w:t>
      </w:r>
      <w:r>
        <w:rPr>
          <w:i/>
        </w:rPr>
        <w:t>ibídem-</w:t>
      </w:r>
      <w:r>
        <w:t>, porque de no ser así tampoco se podrá recorrer el trayecto conducente a la sentencia, que será la que decida si aquél derecho es o no tal”, y que “La expectativa de lograr solución a la situación del justiciable pretensor exige indudablemente el tránsito a través del proceso debido, y el proceso debido exige que –como presupuesto- se reconozca la legitimación de aquél”, todo ello con fundamento en que “El nudo de lo procesal con lo constitucional no puede desatarse…Para verificar la legitimación –tanto activa como pasiva- es imprescindible hurgar en el derecho constitucional” (Op. cit., págs.. 18 y 21). De acuerdo a tales conclusiones, que compartimos, la tutela de los intereses de incidencia colectiva en la Constitución Nacional (artículos 41 y 42)  y en la ley (Nº 24240 y 25675), habilita, sin más, a formular pretensiones de tutela jurisdiccional a favor de tales intereses ante los órganos judiciales.</w:t>
      </w:r>
    </w:p>
  </w:footnote>
  <w:footnote w:id="47">
    <w:p w:rsidR="00877ED0" w:rsidRDefault="00877ED0" w:rsidP="000A126C">
      <w:pPr>
        <w:pStyle w:val="FootnoteText"/>
        <w:jc w:val="both"/>
      </w:pPr>
      <w:r>
        <w:rPr>
          <w:rStyle w:val="FootnoteReference"/>
        </w:rPr>
        <w:footnoteRef/>
      </w:r>
      <w:r>
        <w:t xml:space="preserve"> RAMOS MÉNDEZ, Fransisco, DERECHO PROCESAL CIVIL. </w:t>
      </w:r>
      <w:r w:rsidRPr="00373015">
        <w:rPr>
          <w:lang w:val="it-IT"/>
        </w:rPr>
        <w:t>T. I, 4º ed., Ed. José M. Bosch SA., Barcelona, 1990, pág. 257.</w:t>
      </w:r>
    </w:p>
  </w:footnote>
  <w:footnote w:id="48">
    <w:p w:rsidR="00877ED0" w:rsidRDefault="00877ED0" w:rsidP="007223CC">
      <w:pPr>
        <w:pStyle w:val="FootnoteText"/>
        <w:jc w:val="both"/>
      </w:pPr>
      <w:r>
        <w:rPr>
          <w:rStyle w:val="FootnoteReference"/>
        </w:rPr>
        <w:footnoteRef/>
      </w:r>
      <w:r>
        <w:t xml:space="preserve"> Se ha entendido, por una parte, que la excepción “persigue la desestimación </w:t>
      </w:r>
      <w:r>
        <w:rPr>
          <w:i/>
        </w:rPr>
        <w:t>ab initio</w:t>
      </w:r>
      <w:r>
        <w:t>…por falta de titularidad o el interés o la condición de persona habilitada para discutir sobre el objeto del juicio” (MONTALDO MAOICCHI, op. cit., pág. 222); por otra parte, se interpreta que la excepción es lo que tradicionalmente era “considerado…como un medio de defensa que debía ser examinado en la sentencia definitiva” y que “su inclusión como excepción de previo y especial pronunciamiento –cuando resulta manifiesta- se fundamenta en razones de política procesal pragmática, que confiere prelación al principio de economía procesal” (DE LOS SANTOS, op. cit., págs. 74 y 75); por último, la excepción ha sido enucleada en “dos formas diferentes: 1) el actor invoca una calidad  que no lo legitima para accionar o demandar a quien no está legitimado para contradecir; 2) en la demanda se invoca una calidad legitimante pero luego no se prueba”, afirmando que “En el primer caso…es manifiesta…en el segundo…se trata de una cuestión para el momento de la sentencia definitiva”, pero el autor estima que “razones de economía procesal, que el juez tiene el deber de procurar (art. 34, inc. 5º) aconsejan que el tema quede definitivamente resuelto antes de tramitarse un largo proceso” (ARAZI, op. cit., pág. 33).</w:t>
      </w:r>
    </w:p>
  </w:footnote>
  <w:footnote w:id="49">
    <w:p w:rsidR="00877ED0" w:rsidRDefault="00877ED0" w:rsidP="00A70320">
      <w:pPr>
        <w:pStyle w:val="FootnoteText"/>
        <w:jc w:val="both"/>
      </w:pPr>
      <w:r>
        <w:rPr>
          <w:rStyle w:val="FootnoteReference"/>
        </w:rPr>
        <w:footnoteRef/>
      </w:r>
      <w:r>
        <w:t xml:space="preserve"> Interpreta MONTALDO MAOICCHI que “la calificación de la cosa juzgada que opera en punto al rechazo de la legitimación intentada” transmite a la excepción la impronta de “defensa perentoria –y definitiva- con relación a ambas partes y en el caso concreto traído a juicio” (op. cit., pág. 224); a su turno, ARAZI prefiere –coherente con lo expuesto en los párrafos transcriptos en la nota precedente-“hacer una distinción. Si el juez declaró que la legitimación invocada no habilitaba al actor para obtener la sentencia de mérito, no podrá proponerse la misma demanda, invocando la misma legitimación”, por el contrario, si no se acreditó “debidamente la cualidad invocada…la omisión puede subsanarse en otro proceso, aún cuando la pretensión sea la misma” (op. cit., págs. 34 y 35)   </w:t>
      </w:r>
    </w:p>
  </w:footnote>
  <w:footnote w:id="50">
    <w:p w:rsidR="00877ED0" w:rsidRDefault="00877ED0" w:rsidP="00692506">
      <w:pPr>
        <w:pStyle w:val="FootnoteText"/>
        <w:jc w:val="both"/>
      </w:pPr>
      <w:r>
        <w:rPr>
          <w:rStyle w:val="FootnoteReference"/>
        </w:rPr>
        <w:footnoteRef/>
      </w:r>
      <w:r>
        <w:t xml:space="preserve"> Véanse los fallos citados MONTALDO MAOICCHI, en op. cit., págs.. 225 a 239, y por DE LOS SANTOS, en op. cit., págs.. 79 a 87.</w:t>
      </w:r>
    </w:p>
  </w:footnote>
  <w:footnote w:id="51">
    <w:p w:rsidR="00877ED0" w:rsidRDefault="00877ED0" w:rsidP="00D22027">
      <w:pPr>
        <w:pStyle w:val="FootnoteText"/>
        <w:jc w:val="both"/>
      </w:pPr>
      <w:r>
        <w:rPr>
          <w:rStyle w:val="FootnoteReference"/>
        </w:rPr>
        <w:footnoteRef/>
      </w:r>
      <w:r>
        <w:t xml:space="preserve"> Promediando el siglo XX, decía CARNELUTTI que “El estudio de los fenómenos de la legitimación, aunque iniciados hace ya tiempo, no han dado aún resultados definitivos, a causa de su extraordinaria dificultad”, pese a que “el concepto jurídico de legitimación, o el todavía más amplio de cualificación, están considerados como tentativas para poner en orden una masa todavía fluida, cuando no caótica, de conceptos” (TEORÍA GENERAL…cit., pág. 234). Al borde del último quinquenio de aquella centuria, MONTERO AROCA, mantenía la misma percepción de vacío científico que el maestro italiano, diciendo que “No sé hasta qué punto somos conscientes de la indeterminación conceptual en que nos venimos  moviendo en torno a la legitimación”, punto respecto del cual “La doctrina está muy lejos de alcanzar una construcción que pueda considerarse estable y la jurisprudencia lo que transmite a las partes es inseguridad” (Ob. cit., pág. 13). La advertencia continuaba en la primera década de este tercer milenio, en nuestro país, donde se decía que “Una buena prevención a la hora de analizar la legitimación es la de alertar de (sic) que se trata de uno de los institutos </w:t>
      </w:r>
      <w:r>
        <w:rPr>
          <w:i/>
        </w:rPr>
        <w:t>más debatidos</w:t>
      </w:r>
      <w:r>
        <w:t xml:space="preserve"> y al mismo tiempo </w:t>
      </w:r>
      <w:r>
        <w:rPr>
          <w:i/>
        </w:rPr>
        <w:t>más confusos</w:t>
      </w:r>
      <w:r>
        <w:t xml:space="preserve"> del Derecho Procesal Civil” -y de la teoría general del proceso, agregamos por nuestra cuenta- (VARGAS, Abraham L., </w:t>
      </w:r>
      <w:r>
        <w:rPr>
          <w:i/>
        </w:rPr>
        <w:t>La legitimación activa en los procesos colectivos</w:t>
      </w:r>
      <w:r>
        <w:t>, en PROCESOS COLECTIVOS, Ed. Rubinzal-Culzoni, Santa Fe – Bs. As., 2006, Obra colectiva, coordinada por Eduardo Oteiza, pág. 222).</w:t>
      </w:r>
    </w:p>
  </w:footnote>
  <w:footnote w:id="52">
    <w:p w:rsidR="00877ED0" w:rsidRDefault="00877ED0">
      <w:pPr>
        <w:pStyle w:val="FootnoteText"/>
      </w:pPr>
      <w:r>
        <w:rPr>
          <w:rStyle w:val="FootnoteReference"/>
        </w:rPr>
        <w:footnoteRef/>
      </w:r>
      <w:r>
        <w:t xml:space="preserve"> CARNELUTTI, TEORÍA GENERAL…cit., pág. 234.  </w:t>
      </w:r>
    </w:p>
  </w:footnote>
  <w:footnote w:id="53">
    <w:p w:rsidR="00877ED0" w:rsidRDefault="00877ED0" w:rsidP="00BB2064">
      <w:pPr>
        <w:pStyle w:val="FootnoteText"/>
        <w:jc w:val="both"/>
      </w:pPr>
      <w:r>
        <w:rPr>
          <w:rStyle w:val="FootnoteReference"/>
        </w:rPr>
        <w:footnoteRef/>
      </w:r>
      <w:r>
        <w:t xml:space="preserve"> Sostiene Osvaldo GOZAINI que “es importante diferenciar la “legitimación </w:t>
      </w:r>
      <w:r>
        <w:rPr>
          <w:i/>
        </w:rPr>
        <w:t xml:space="preserve">ad processum” </w:t>
      </w:r>
      <w:r>
        <w:t xml:space="preserve">que refiere a la capacidad procesal de los peticionantes, de la “legitimación </w:t>
      </w:r>
      <w:r>
        <w:rPr>
          <w:i/>
        </w:rPr>
        <w:t>ad causam”</w:t>
      </w:r>
      <w:r>
        <w:t>, que constituye un elemento sustancial de la relación jurídica” (</w:t>
      </w:r>
      <w:r>
        <w:rPr>
          <w:i/>
        </w:rPr>
        <w:t xml:space="preserve">Legitimación y proceso, </w:t>
      </w:r>
      <w:r>
        <w:t xml:space="preserve">en LA LEGITIMACIÓN, cit., pág. 52); en la misma dirección se expide DE LOS SANTOS, expresando que “la “legitimatio ad causam” es un elemento sustancial de la litis” y “la “legitimatio ad processum” se vincula con la capacidad jurídica procesal de las partes, constituyendo, por tanto, un presupuesto procesal” (op. cit., pág. 68) </w:t>
      </w:r>
    </w:p>
  </w:footnote>
  <w:footnote w:id="54">
    <w:p w:rsidR="00877ED0" w:rsidRDefault="00877ED0" w:rsidP="007A358D">
      <w:pPr>
        <w:pStyle w:val="FootnoteText"/>
        <w:jc w:val="both"/>
      </w:pPr>
      <w:r>
        <w:rPr>
          <w:rStyle w:val="FootnoteReference"/>
        </w:rPr>
        <w:footnoteRef/>
      </w:r>
      <w:r>
        <w:t xml:space="preserve"> DEVIS ECHANDÍA expresa que “Sería mejor eliminar el término </w:t>
      </w:r>
      <w:r>
        <w:rPr>
          <w:i/>
        </w:rPr>
        <w:t>legitimatio ad processum</w:t>
      </w:r>
      <w:r>
        <w:t>, para hablar simplemente de capacidad general y especial para ciertos actos procesales, y no correr el riesgo de confundir indebidamente las dos nociones” (COMPENDIO DE DERECHO PROCESAL, T. I , 5º ed., Ed. ABC, Bogotá, 1976, pág. 245).</w:t>
      </w:r>
    </w:p>
  </w:footnote>
  <w:footnote w:id="55">
    <w:p w:rsidR="00877ED0" w:rsidRDefault="00877ED0">
      <w:pPr>
        <w:pStyle w:val="FootnoteText"/>
      </w:pPr>
      <w:r>
        <w:rPr>
          <w:rStyle w:val="FootnoteReference"/>
        </w:rPr>
        <w:footnoteRef/>
      </w:r>
      <w:r>
        <w:t xml:space="preserve"> RAMOS MÉNDEZ, DERECHO PROCESAL…, cit., pág. 255.</w:t>
      </w:r>
    </w:p>
  </w:footnote>
  <w:footnote w:id="56">
    <w:p w:rsidR="00877ED0" w:rsidRDefault="00877ED0" w:rsidP="007C6DD7">
      <w:pPr>
        <w:pStyle w:val="FootnoteText"/>
        <w:jc w:val="both"/>
      </w:pPr>
      <w:r>
        <w:rPr>
          <w:rStyle w:val="FootnoteReference"/>
        </w:rPr>
        <w:footnoteRef/>
      </w:r>
      <w:r>
        <w:t xml:space="preserve"> </w:t>
      </w:r>
      <w:r w:rsidRPr="007C6DD7">
        <w:rPr>
          <w:i/>
        </w:rPr>
        <w:t>Ibídem</w:t>
      </w:r>
      <w:r>
        <w:t>, págs.. 255,  252 y 251; además, del mismo autor, DERECHO Y PROCESO, cit., págs.. 187 a 193.</w:t>
      </w:r>
    </w:p>
  </w:footnote>
  <w:footnote w:id="57">
    <w:p w:rsidR="00877ED0" w:rsidRDefault="00877ED0">
      <w:pPr>
        <w:pStyle w:val="FootnoteText"/>
      </w:pPr>
      <w:r>
        <w:rPr>
          <w:rStyle w:val="FootnoteReference"/>
        </w:rPr>
        <w:footnoteRef/>
      </w:r>
      <w:r>
        <w:t xml:space="preserve"> Véase, MONTERO AROCA, Ob. cit., págs.. 42 a 44.</w:t>
      </w:r>
    </w:p>
  </w:footnote>
  <w:footnote w:id="58">
    <w:p w:rsidR="00877ED0" w:rsidRDefault="00877ED0" w:rsidP="006E2B86">
      <w:pPr>
        <w:pStyle w:val="FootnoteText"/>
        <w:jc w:val="both"/>
      </w:pPr>
      <w:r>
        <w:rPr>
          <w:rStyle w:val="FootnoteReference"/>
        </w:rPr>
        <w:footnoteRef/>
      </w:r>
      <w:r>
        <w:t xml:space="preserve"> Expresa MONTERO AROCA que “La tutela que el particular puede pedir no cabe que se refiera a cualquier derecho”, mucho menos “los derechos” de “otro” (Ob. cit., pág. 42.</w:t>
      </w:r>
    </w:p>
  </w:footnote>
  <w:footnote w:id="59">
    <w:p w:rsidR="00877ED0" w:rsidRDefault="00877ED0" w:rsidP="00380F7B">
      <w:pPr>
        <w:pStyle w:val="FootnoteText"/>
        <w:jc w:val="both"/>
      </w:pPr>
      <w:r>
        <w:rPr>
          <w:rStyle w:val="FootnoteReference"/>
        </w:rPr>
        <w:footnoteRef/>
      </w:r>
      <w:r>
        <w:t xml:space="preserve"> CLARIÁ OLMEDO, Jorge A, DERECHO PROCESAL T. I, Ed. Depalma, Bs. As., 1982, págs. 296 y 297.  </w:t>
      </w:r>
    </w:p>
  </w:footnote>
  <w:footnote w:id="60">
    <w:p w:rsidR="00877ED0" w:rsidRDefault="00877ED0">
      <w:pPr>
        <w:pStyle w:val="FootnoteText"/>
      </w:pPr>
      <w:r>
        <w:rPr>
          <w:rStyle w:val="FootnoteReference"/>
        </w:rPr>
        <w:footnoteRef/>
      </w:r>
      <w:r>
        <w:t xml:space="preserve"> ALVARADO VELLOSO, Ob. cit., págs.. 212 y 213.</w:t>
      </w:r>
    </w:p>
  </w:footnote>
  <w:footnote w:id="61">
    <w:p w:rsidR="00877ED0" w:rsidRDefault="00877ED0" w:rsidP="00696BA2">
      <w:pPr>
        <w:pStyle w:val="FootnoteText"/>
        <w:jc w:val="both"/>
      </w:pPr>
      <w:r>
        <w:rPr>
          <w:rStyle w:val="FootnoteReference"/>
        </w:rPr>
        <w:footnoteRef/>
      </w:r>
      <w:r>
        <w:t xml:space="preserve"> SISTEMA…, cit., pág. 212. Cabe aclarar que, para el autor, procedimiento “es el género (aparece en </w:t>
      </w:r>
      <w:r>
        <w:rPr>
          <w:i/>
        </w:rPr>
        <w:t>todas las instancias</w:t>
      </w:r>
      <w:r>
        <w:t xml:space="preserve">), en tanto el </w:t>
      </w:r>
      <w:r>
        <w:rPr>
          <w:i/>
        </w:rPr>
        <w:t>proceso</w:t>
      </w:r>
      <w:r>
        <w:t xml:space="preserve"> es una especie de él (aparece sólo en la acción procesal, instancia que debe ser necesariamente bilateralizada”, definiéndose aquél como “la suscesión de actos ordenados y consecutivos, vinculados causalmente entre sí, por virtud de lo cual uno es precedente necesario del que le sigue y éste, a su turno, consecuencia imprescindible del anterior” (</w:t>
      </w:r>
      <w:r>
        <w:rPr>
          <w:i/>
        </w:rPr>
        <w:t xml:space="preserve">ibídem, </w:t>
      </w:r>
      <w:r>
        <w:t>65).</w:t>
      </w:r>
    </w:p>
  </w:footnote>
  <w:footnote w:id="62">
    <w:p w:rsidR="00877ED0" w:rsidRDefault="00877ED0">
      <w:pPr>
        <w:pStyle w:val="FootnoteText"/>
      </w:pPr>
      <w:r>
        <w:rPr>
          <w:rStyle w:val="FootnoteReference"/>
        </w:rPr>
        <w:footnoteRef/>
      </w:r>
      <w:r>
        <w:t xml:space="preserve"> DERECHO Y…cit., pág. 136).</w:t>
      </w:r>
    </w:p>
  </w:footnote>
  <w:footnote w:id="63">
    <w:p w:rsidR="00877ED0" w:rsidRDefault="00877ED0" w:rsidP="00AB638A">
      <w:pPr>
        <w:pStyle w:val="FootnoteText"/>
        <w:jc w:val="both"/>
      </w:pPr>
      <w:r>
        <w:rPr>
          <w:rStyle w:val="FootnoteReference"/>
        </w:rPr>
        <w:footnoteRef/>
      </w:r>
      <w:r>
        <w:t xml:space="preserve"> BARRIOS DE ANGELIS, Dante, TEORÍA GENERAL Ob. cit., pág. 131; agrega el autor que “No puede demandar por divorcio una vecina de la cónyuge ni demandarse  por reivindicación al arrendatario del poseedor, etc.”. </w:t>
      </w:r>
    </w:p>
  </w:footnote>
  <w:footnote w:id="64">
    <w:p w:rsidR="00877ED0" w:rsidRDefault="00877ED0" w:rsidP="001D7A4A">
      <w:pPr>
        <w:pStyle w:val="FootnoteText"/>
        <w:jc w:val="both"/>
      </w:pPr>
      <w:r>
        <w:rPr>
          <w:rStyle w:val="FootnoteReference"/>
        </w:rPr>
        <w:footnoteRef/>
      </w:r>
      <w:r>
        <w:t xml:space="preserve"> ARAZI, op. cit., pág. 26. De un lado, se niega la identificación de la legitimación con la titularidad del derecho sustancial, pero del otro, se identifica la legitimación procesal con “la capacidad jurídica procesal de las partes” y la legitimación sustancial se la vincula con “la relación sustancial que debe existir entre el sujeto demandante o demandado y el interés sustancial discutido en el proceso” (DE LOS SANTOS,  op. cit., págs.. 66, 67 y 68). En sentido similar se expide DEVIS ECHANDÍA, para quien “la legitimación en la causa consiste, respecto del demandante, en ser la persona que, de conformidad con la ley sustancial, esta legitimada para que por sentencia de fondo o mérito se resuelva si existe o no el derecho o la relación jurídica sustancial pretendida en la demanda, y respecto del demandado en ser la persona que conforme a la ley sustancial está legitimada para discutir u oponerse a dicha pretensión del demandante” (Ob. cit., págs.. 247 y  248).</w:t>
      </w:r>
    </w:p>
  </w:footnote>
  <w:footnote w:id="65">
    <w:p w:rsidR="00877ED0" w:rsidRDefault="00877ED0" w:rsidP="000F40A2">
      <w:pPr>
        <w:pStyle w:val="FootnoteText"/>
        <w:jc w:val="both"/>
      </w:pPr>
      <w:r>
        <w:rPr>
          <w:rStyle w:val="FootnoteReference"/>
        </w:rPr>
        <w:footnoteRef/>
      </w:r>
      <w:r>
        <w:t xml:space="preserve"> BARRIOS DE ANGELIS distingue, acertadamente,  “la efectiva pertenencia de la situación sustancial (o relación jurídica sustancial, en el lenguaje corriente) al sujeto que se la atribuye,  o a quien se asume como titular” y “la efectiva existencia del derecho sustancial (…) pretendido o asumido como objeto” (TEROÍ GENERAL… cit., pág. 131), aunque, cabe acotar, ambas son cuestiones regidas por el derecho sustancial y se vinculan con el fondo del litigio que se somete a la decisión judicial.</w:t>
      </w:r>
    </w:p>
  </w:footnote>
  <w:footnote w:id="66">
    <w:p w:rsidR="00877ED0" w:rsidRDefault="00877ED0">
      <w:pPr>
        <w:pStyle w:val="FootnoteText"/>
      </w:pPr>
      <w:r>
        <w:rPr>
          <w:rStyle w:val="FootnoteReference"/>
        </w:rPr>
        <w:footnoteRef/>
      </w:r>
      <w:r>
        <w:t xml:space="preserve"> MONTERO AROCA, Ob. cit., pág. 35.</w:t>
      </w:r>
    </w:p>
  </w:footnote>
  <w:footnote w:id="67">
    <w:p w:rsidR="00877ED0" w:rsidRDefault="00877ED0" w:rsidP="00EE7249">
      <w:pPr>
        <w:pStyle w:val="FootnoteText"/>
        <w:jc w:val="both"/>
      </w:pPr>
      <w:r w:rsidRPr="001C39AB">
        <w:rPr>
          <w:rStyle w:val="FootnoteReference"/>
          <w:rFonts w:ascii="Arial" w:hAnsi="Arial" w:cs="Arial"/>
        </w:rPr>
        <w:footnoteRef/>
      </w:r>
      <w:r w:rsidRPr="001C39AB">
        <w:rPr>
          <w:rFonts w:ascii="Arial" w:hAnsi="Arial" w:cs="Arial"/>
        </w:rPr>
        <w:t xml:space="preserve"> </w:t>
      </w:r>
      <w:r w:rsidRPr="001C39AB">
        <w:rPr>
          <w:rFonts w:ascii="Arial" w:hAnsi="Arial" w:cs="Arial"/>
          <w:bCs/>
          <w:lang w:val="es-ES_tradnl"/>
        </w:rPr>
        <w:t>BARRIO DE ÁNGELIS, Dante, INTRODUCCIÓN AL ESTUDIO DEL PROCESO. Ed. Depalma, Bs. As., 1</w:t>
      </w:r>
      <w:r w:rsidRPr="001C39AB">
        <w:rPr>
          <w:rFonts w:ascii="Arial" w:hAnsi="Arial" w:cs="Arial"/>
          <w:bCs/>
          <w:i/>
          <w:iCs/>
          <w:lang w:val="es-ES_tradnl"/>
        </w:rPr>
        <w:t xml:space="preserve">983, </w:t>
      </w:r>
      <w:r w:rsidRPr="001C39AB">
        <w:rPr>
          <w:rFonts w:ascii="Arial" w:hAnsi="Arial" w:cs="Arial"/>
          <w:lang w:val="es-ES_tradnl"/>
        </w:rPr>
        <w:t xml:space="preserve">pág. </w:t>
      </w:r>
      <w:r w:rsidRPr="001C39AB">
        <w:rPr>
          <w:rFonts w:ascii="Arial" w:hAnsi="Arial" w:cs="Arial"/>
          <w:bCs/>
          <w:lang w:val="es-ES_tradnl"/>
        </w:rPr>
        <w:t xml:space="preserve">120. </w:t>
      </w:r>
    </w:p>
  </w:footnote>
  <w:footnote w:id="68">
    <w:p w:rsidR="00877ED0" w:rsidRDefault="00877ED0" w:rsidP="00604E5F">
      <w:pPr>
        <w:pStyle w:val="FootnoteText"/>
        <w:jc w:val="both"/>
      </w:pPr>
      <w:r w:rsidRPr="00B63B82">
        <w:rPr>
          <w:rStyle w:val="FootnoteReference"/>
          <w:sz w:val="16"/>
          <w:szCs w:val="16"/>
        </w:rPr>
        <w:footnoteRef/>
      </w:r>
      <w:r w:rsidRPr="00B63B82">
        <w:rPr>
          <w:sz w:val="16"/>
          <w:szCs w:val="16"/>
        </w:rPr>
        <w:t xml:space="preserve"> </w:t>
      </w:r>
      <w:r w:rsidRPr="00B63B82">
        <w:rPr>
          <w:rFonts w:ascii="Arial" w:hAnsi="Arial" w:cs="Arial"/>
          <w:bCs/>
          <w:sz w:val="16"/>
          <w:szCs w:val="16"/>
          <w:lang w:val="es-ES_tradnl"/>
        </w:rPr>
        <w:t xml:space="preserve">ARAZI, Rotand, DERECHO PROCESAL CIVIL Y COMERCIAL. </w:t>
      </w:r>
      <w:r w:rsidRPr="00373015">
        <w:rPr>
          <w:rFonts w:ascii="Arial" w:hAnsi="Arial" w:cs="Arial"/>
          <w:bCs/>
          <w:sz w:val="16"/>
          <w:szCs w:val="16"/>
          <w:lang w:val="it-IT"/>
        </w:rPr>
        <w:t>T. 1,2 cd., Ed. Rubinzal-CuIzoni, Bs. As.</w:t>
      </w:r>
      <w:r w:rsidRPr="00373015">
        <w:rPr>
          <w:rFonts w:ascii="Arial" w:hAnsi="Arial" w:cs="Arial"/>
          <w:sz w:val="16"/>
          <w:szCs w:val="16"/>
          <w:lang w:val="it-IT"/>
        </w:rPr>
        <w:t xml:space="preserve">- Sta. </w:t>
      </w:r>
      <w:r w:rsidRPr="00B63B82">
        <w:rPr>
          <w:rFonts w:ascii="Arial" w:hAnsi="Arial" w:cs="Arial"/>
          <w:sz w:val="16"/>
          <w:szCs w:val="16"/>
          <w:lang w:val="es-ES_tradnl"/>
        </w:rPr>
        <w:t xml:space="preserve">Fe, </w:t>
      </w:r>
      <w:r w:rsidRPr="00B63B82">
        <w:rPr>
          <w:rFonts w:ascii="Arial" w:hAnsi="Arial" w:cs="Arial"/>
          <w:bCs/>
          <w:sz w:val="16"/>
          <w:szCs w:val="16"/>
          <w:lang w:val="es-ES_tradnl"/>
        </w:rPr>
        <w:t xml:space="preserve">2004. </w:t>
      </w:r>
      <w:r w:rsidRPr="00B63B82">
        <w:rPr>
          <w:rFonts w:ascii="Arial" w:hAnsi="Arial" w:cs="Arial"/>
          <w:sz w:val="16"/>
          <w:szCs w:val="16"/>
          <w:lang w:val="es-ES_tradnl"/>
        </w:rPr>
        <w:t>pág. 116.</w:t>
      </w:r>
    </w:p>
  </w:footnote>
  <w:footnote w:id="69">
    <w:p w:rsidR="00877ED0" w:rsidRDefault="00877ED0" w:rsidP="000A57EC">
      <w:pPr>
        <w:pStyle w:val="FootnoteText"/>
        <w:jc w:val="both"/>
      </w:pPr>
      <w:r>
        <w:rPr>
          <w:rStyle w:val="FootnoteReference"/>
        </w:rPr>
        <w:footnoteRef/>
      </w:r>
      <w:r>
        <w:t xml:space="preserve"> Sentencia recaída en </w:t>
      </w:r>
      <w:r w:rsidRPr="000A57EC">
        <w:rPr>
          <w:i/>
        </w:rPr>
        <w:t>Halabi, Ernesto v. PEN</w:t>
      </w:r>
      <w:r>
        <w:t xml:space="preserve">, de fecha 24 de febrero de 2009, publicada en  Abeledo-Perrot on line – Newsletter Diario – miércoles 25 de febrero de 2009.  </w:t>
      </w:r>
    </w:p>
  </w:footnote>
  <w:footnote w:id="70">
    <w:p w:rsidR="00877ED0" w:rsidRDefault="00877ED0">
      <w:pPr>
        <w:pStyle w:val="FootnoteText"/>
      </w:pPr>
      <w:r>
        <w:rPr>
          <w:rStyle w:val="FootnoteReference"/>
        </w:rPr>
        <w:footnoteRef/>
      </w:r>
      <w:r>
        <w:t xml:space="preserve"> </w:t>
      </w:r>
      <w:r>
        <w:rPr>
          <w:i/>
        </w:rPr>
        <w:t>Ibídem</w:t>
      </w:r>
    </w:p>
  </w:footnote>
  <w:footnote w:id="71">
    <w:p w:rsidR="00877ED0" w:rsidRDefault="00877ED0" w:rsidP="00153614">
      <w:pPr>
        <w:pStyle w:val="FootnoteText"/>
        <w:jc w:val="both"/>
      </w:pPr>
      <w:r>
        <w:rPr>
          <w:rStyle w:val="FootnoteReference"/>
        </w:rPr>
        <w:footnoteRef/>
      </w:r>
      <w:r>
        <w:t xml:space="preserve"> CARNELUTTI, TEORÍA GENERAL…cit., pág. 236. Razona el notable jurista italiano, argumentando que “si de un lado no es necesario que sea acreedor quien demanda el reconocimiento de un crédito, y de otro lado es preciso que afirme ser tal, esto quiere decir que el elemento cualificante, aunque no sea la realidad de la relación sobre la que es llamado a juzgar el juez, sin embargo, ofrezca una apariencia de tal, aunque sea mínima, en cuanto que de ella se deriva la posibilidad de que el demandante sea parte en un conflicto de intereses” (pág. 235).</w:t>
      </w:r>
    </w:p>
  </w:footnote>
  <w:footnote w:id="72">
    <w:p w:rsidR="00877ED0" w:rsidRDefault="00877ED0" w:rsidP="00A94A0D">
      <w:pPr>
        <w:pStyle w:val="FootnoteText"/>
      </w:pPr>
      <w:r w:rsidRPr="00604E5F">
        <w:rPr>
          <w:rStyle w:val="FootnoteReference"/>
          <w:rFonts w:ascii="Arial" w:hAnsi="Arial" w:cs="Arial"/>
        </w:rPr>
        <w:footnoteRef/>
      </w:r>
      <w:r w:rsidRPr="00604E5F">
        <w:rPr>
          <w:rFonts w:ascii="Arial" w:hAnsi="Arial" w:cs="Arial"/>
        </w:rPr>
        <w:t xml:space="preserve"> </w:t>
      </w:r>
      <w:r w:rsidRPr="00604E5F">
        <w:rPr>
          <w:rFonts w:ascii="Arial" w:hAnsi="Arial" w:cs="Arial"/>
          <w:bCs/>
          <w:lang w:val="es-ES_tradnl"/>
        </w:rPr>
        <w:t xml:space="preserve">BARRIO DE ANGELIS. Introducción…. cii. </w:t>
      </w:r>
      <w:r w:rsidRPr="00604E5F">
        <w:rPr>
          <w:rFonts w:ascii="Arial" w:hAnsi="Arial" w:cs="Arial"/>
          <w:lang w:val="es-ES_tradnl"/>
        </w:rPr>
        <w:t>pág. 1</w:t>
      </w:r>
      <w:r w:rsidRPr="00604E5F">
        <w:rPr>
          <w:rFonts w:ascii="Arial" w:hAnsi="Arial" w:cs="Arial"/>
          <w:bCs/>
          <w:lang w:val="es-ES_tradnl"/>
        </w:rPr>
        <w:t xml:space="preserve">2O. </w:t>
      </w:r>
    </w:p>
  </w:footnote>
  <w:footnote w:id="73">
    <w:p w:rsidR="00877ED0" w:rsidRDefault="00877ED0" w:rsidP="00A94A0D">
      <w:pPr>
        <w:pStyle w:val="FootnoteText"/>
      </w:pPr>
      <w:r>
        <w:rPr>
          <w:rStyle w:val="FootnoteReference"/>
        </w:rPr>
        <w:footnoteRef/>
      </w:r>
      <w:r>
        <w:t xml:space="preserve"> </w:t>
      </w:r>
      <w:r>
        <w:rPr>
          <w:rFonts w:ascii="Arial" w:hAnsi="Arial" w:cs="Arial"/>
          <w:i/>
          <w:iCs/>
          <w:lang w:val="es-ES_tradnl"/>
        </w:rPr>
        <w:t>ibídem</w:t>
      </w:r>
      <w:r w:rsidRPr="00DC0CEF">
        <w:rPr>
          <w:rFonts w:ascii="Arial" w:hAnsi="Arial" w:cs="Arial"/>
          <w:i/>
          <w:iCs/>
          <w:lang w:val="es-ES_tradnl"/>
        </w:rPr>
        <w:t xml:space="preserve">. </w:t>
      </w:r>
      <w:r w:rsidRPr="00DC0CEF">
        <w:rPr>
          <w:rFonts w:ascii="Arial" w:hAnsi="Arial" w:cs="Arial"/>
          <w:i/>
          <w:iCs/>
          <w:lang w:val="es-ES_tradnl"/>
        </w:rPr>
        <w:br/>
      </w:r>
    </w:p>
  </w:footnote>
  <w:footnote w:id="74">
    <w:p w:rsidR="00877ED0" w:rsidRDefault="00877ED0" w:rsidP="001744D0">
      <w:pPr>
        <w:pStyle w:val="FootnoteText"/>
        <w:jc w:val="both"/>
      </w:pPr>
      <w:r>
        <w:rPr>
          <w:rStyle w:val="FootnoteReference"/>
        </w:rPr>
        <w:footnoteRef/>
      </w:r>
      <w:r>
        <w:t xml:space="preserve"> MONTERO AROCA, criticando el “empeño” de la doctrina y jurisprudencia española en entender la palabra “carácter”, utilizada en los artículos 503.2º y 533.2º y 4º de la derogada Ley de Enjuiciamiento Civil de 1881, como sinónimo de legitimación, afirma que es un “absurdo…que la legitimación se refiera a la representación legal y necesaria y a la sucesión”, lo que, en el caso de la representación, “no tiene explicación, pero el de incluir la sucesión proviene de que se sostenía entonces…que la legitimación en su nuevo sentido se corresponde con la vieja </w:t>
      </w:r>
      <w:r>
        <w:rPr>
          <w:i/>
        </w:rPr>
        <w:t>legitimación ad causam”</w:t>
      </w:r>
      <w:r>
        <w:t xml:space="preserve"> (Ob. cit., págs.. 31 y 32, y nota nº 38).</w:t>
      </w:r>
    </w:p>
  </w:footnote>
  <w:footnote w:id="75">
    <w:p w:rsidR="00877ED0" w:rsidRDefault="00877ED0">
      <w:pPr>
        <w:pStyle w:val="FootnoteText"/>
      </w:pPr>
      <w:r>
        <w:rPr>
          <w:rStyle w:val="FootnoteReference"/>
        </w:rPr>
        <w:footnoteRef/>
      </w:r>
      <w:r>
        <w:t xml:space="preserve"> Utilizando la expresión empleada por el artículo 347, inc. 3º, CPCCN., </w:t>
      </w:r>
    </w:p>
  </w:footnote>
  <w:footnote w:id="76">
    <w:p w:rsidR="00877ED0" w:rsidRDefault="00877ED0">
      <w:pPr>
        <w:pStyle w:val="FootnoteText"/>
      </w:pPr>
      <w:r>
        <w:rPr>
          <w:rStyle w:val="FootnoteReference"/>
        </w:rPr>
        <w:footnoteRef/>
      </w:r>
      <w:r>
        <w:t xml:space="preserve"> DE LOS SANTOS, op. cit., pág. 76.</w:t>
      </w:r>
    </w:p>
  </w:footnote>
  <w:footnote w:id="77">
    <w:p w:rsidR="00877ED0" w:rsidRDefault="00877ED0" w:rsidP="00A83064">
      <w:pPr>
        <w:pStyle w:val="FootnoteText"/>
        <w:jc w:val="both"/>
      </w:pPr>
      <w:r>
        <w:rPr>
          <w:rStyle w:val="FootnoteReference"/>
        </w:rPr>
        <w:footnoteRef/>
      </w:r>
      <w:r>
        <w:t xml:space="preserve"> Señala Enrique VESCOVI que, en los casos de falta de legitimación procesal “se requiere que de la propia demanda surjan dichas carencias que demuestren que se está ante una improponibilidad manifiesta (</w:t>
      </w:r>
      <w:r>
        <w:rPr>
          <w:i/>
        </w:rPr>
        <w:t>La legitimación en el Código Procesal Civil Modelo para Iberoamérica y en el Código General del Proceso de Uruguay</w:t>
      </w:r>
      <w:r>
        <w:t>, en LA LEGITIMACIÓN, cit., pág. 506)</w:t>
      </w:r>
    </w:p>
  </w:footnote>
  <w:footnote w:id="78">
    <w:p w:rsidR="00877ED0" w:rsidRDefault="00877ED0">
      <w:pPr>
        <w:pStyle w:val="FootnoteText"/>
      </w:pPr>
      <w:r>
        <w:rPr>
          <w:rStyle w:val="FootnoteReference"/>
        </w:rPr>
        <w:footnoteRef/>
      </w:r>
      <w:r>
        <w:t xml:space="preserve"> Ver ARAZI, op. cit., pág. 32.</w:t>
      </w:r>
    </w:p>
  </w:footnote>
  <w:footnote w:id="79">
    <w:p w:rsidR="00877ED0" w:rsidRDefault="00877ED0" w:rsidP="00EC311B">
      <w:pPr>
        <w:pStyle w:val="FootnoteText"/>
        <w:jc w:val="both"/>
      </w:pPr>
      <w:r>
        <w:rPr>
          <w:rStyle w:val="FootnoteReference"/>
        </w:rPr>
        <w:footnoteRef/>
      </w:r>
      <w:r>
        <w:t xml:space="preserve"> Discrepamos con ARAZI, para quien en todo caso “La sentencia que resuelve sobre la legitimación de las partes, en principio (?), no hace cosa juzgada material, solo produce cosa juzgada formal”, sobre la base de que, aunque la cuestión relativa a la legitimación sustancial se resuelva en la sentencia, “se trata siempre de una cuestión prejudicial de la sentencia de mérito que no forma objeto de ella” (op. cit., pág. 34). Para nosotros, la cuestión no tiene carácter “prejudicial”, en el sentido técnico,  sin perjuicio de considerar que, entre la cuestiones que integran la materia litigiosa, la relativa a la legitimación sustancial debe tener un tratamiento previo al resto de las cuestiones, pues, en caso de faltar aquella condición de la tutela del interés en conflicto,  carecerá de interés pronunciarse sobre las otras.</w:t>
      </w:r>
    </w:p>
  </w:footnote>
  <w:footnote w:id="80">
    <w:p w:rsidR="00877ED0" w:rsidRDefault="00877ED0">
      <w:pPr>
        <w:pStyle w:val="FootnoteText"/>
      </w:pPr>
      <w:r>
        <w:rPr>
          <w:rStyle w:val="FootnoteReference"/>
        </w:rPr>
        <w:footnoteRef/>
      </w:r>
      <w:r>
        <w:t xml:space="preserve"> Véase, en el mismo sentido, MONTERO AROCA, Ob. cit., pág. 38; también, CARNELUTTI, TEORÍA GENERAL…cit., pág. 236.</w:t>
      </w:r>
    </w:p>
  </w:footnote>
  <w:footnote w:id="81">
    <w:p w:rsidR="00877ED0" w:rsidRDefault="00877ED0">
      <w:pPr>
        <w:pStyle w:val="FootnoteText"/>
      </w:pPr>
      <w:r>
        <w:rPr>
          <w:rStyle w:val="FootnoteReference"/>
        </w:rPr>
        <w:footnoteRef/>
      </w:r>
      <w:r>
        <w:t xml:space="preserve"> Ley 25675,  de política ambiental, y ley 24240 y modificatorias, de defensa del consumidor.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B7E9A"/>
    <w:multiLevelType w:val="hybridMultilevel"/>
    <w:tmpl w:val="6986ACA4"/>
    <w:lvl w:ilvl="0" w:tplc="0C0A000B">
      <w:start w:val="1"/>
      <w:numFmt w:val="bullet"/>
      <w:lvlText w:val=""/>
      <w:lvlJc w:val="left"/>
      <w:pPr>
        <w:tabs>
          <w:tab w:val="num" w:pos="3000"/>
        </w:tabs>
        <w:ind w:left="3000" w:hanging="360"/>
      </w:pPr>
      <w:rPr>
        <w:rFonts w:ascii="Wingdings" w:hAnsi="Wingdings" w:hint="default"/>
      </w:rPr>
    </w:lvl>
    <w:lvl w:ilvl="1" w:tplc="0C0A0003" w:tentative="1">
      <w:start w:val="1"/>
      <w:numFmt w:val="bullet"/>
      <w:lvlText w:val="o"/>
      <w:lvlJc w:val="left"/>
      <w:pPr>
        <w:tabs>
          <w:tab w:val="num" w:pos="3720"/>
        </w:tabs>
        <w:ind w:left="3720" w:hanging="360"/>
      </w:pPr>
      <w:rPr>
        <w:rFonts w:ascii="Courier New" w:hAnsi="Courier New" w:hint="default"/>
      </w:rPr>
    </w:lvl>
    <w:lvl w:ilvl="2" w:tplc="0C0A0005" w:tentative="1">
      <w:start w:val="1"/>
      <w:numFmt w:val="bullet"/>
      <w:lvlText w:val=""/>
      <w:lvlJc w:val="left"/>
      <w:pPr>
        <w:tabs>
          <w:tab w:val="num" w:pos="4440"/>
        </w:tabs>
        <w:ind w:left="4440" w:hanging="360"/>
      </w:pPr>
      <w:rPr>
        <w:rFonts w:ascii="Wingdings" w:hAnsi="Wingdings" w:hint="default"/>
      </w:rPr>
    </w:lvl>
    <w:lvl w:ilvl="3" w:tplc="0C0A0001" w:tentative="1">
      <w:start w:val="1"/>
      <w:numFmt w:val="bullet"/>
      <w:lvlText w:val=""/>
      <w:lvlJc w:val="left"/>
      <w:pPr>
        <w:tabs>
          <w:tab w:val="num" w:pos="5160"/>
        </w:tabs>
        <w:ind w:left="5160" w:hanging="360"/>
      </w:pPr>
      <w:rPr>
        <w:rFonts w:ascii="Symbol" w:hAnsi="Symbol" w:hint="default"/>
      </w:rPr>
    </w:lvl>
    <w:lvl w:ilvl="4" w:tplc="0C0A0003" w:tentative="1">
      <w:start w:val="1"/>
      <w:numFmt w:val="bullet"/>
      <w:lvlText w:val="o"/>
      <w:lvlJc w:val="left"/>
      <w:pPr>
        <w:tabs>
          <w:tab w:val="num" w:pos="5880"/>
        </w:tabs>
        <w:ind w:left="5880" w:hanging="360"/>
      </w:pPr>
      <w:rPr>
        <w:rFonts w:ascii="Courier New" w:hAnsi="Courier New" w:hint="default"/>
      </w:rPr>
    </w:lvl>
    <w:lvl w:ilvl="5" w:tplc="0C0A0005" w:tentative="1">
      <w:start w:val="1"/>
      <w:numFmt w:val="bullet"/>
      <w:lvlText w:val=""/>
      <w:lvlJc w:val="left"/>
      <w:pPr>
        <w:tabs>
          <w:tab w:val="num" w:pos="6600"/>
        </w:tabs>
        <w:ind w:left="6600" w:hanging="360"/>
      </w:pPr>
      <w:rPr>
        <w:rFonts w:ascii="Wingdings" w:hAnsi="Wingdings" w:hint="default"/>
      </w:rPr>
    </w:lvl>
    <w:lvl w:ilvl="6" w:tplc="0C0A0001" w:tentative="1">
      <w:start w:val="1"/>
      <w:numFmt w:val="bullet"/>
      <w:lvlText w:val=""/>
      <w:lvlJc w:val="left"/>
      <w:pPr>
        <w:tabs>
          <w:tab w:val="num" w:pos="7320"/>
        </w:tabs>
        <w:ind w:left="7320" w:hanging="360"/>
      </w:pPr>
      <w:rPr>
        <w:rFonts w:ascii="Symbol" w:hAnsi="Symbol" w:hint="default"/>
      </w:rPr>
    </w:lvl>
    <w:lvl w:ilvl="7" w:tplc="0C0A0003" w:tentative="1">
      <w:start w:val="1"/>
      <w:numFmt w:val="bullet"/>
      <w:lvlText w:val="o"/>
      <w:lvlJc w:val="left"/>
      <w:pPr>
        <w:tabs>
          <w:tab w:val="num" w:pos="8040"/>
        </w:tabs>
        <w:ind w:left="8040" w:hanging="360"/>
      </w:pPr>
      <w:rPr>
        <w:rFonts w:ascii="Courier New" w:hAnsi="Courier New" w:hint="default"/>
      </w:rPr>
    </w:lvl>
    <w:lvl w:ilvl="8" w:tplc="0C0A0005" w:tentative="1">
      <w:start w:val="1"/>
      <w:numFmt w:val="bullet"/>
      <w:lvlText w:val=""/>
      <w:lvlJc w:val="left"/>
      <w:pPr>
        <w:tabs>
          <w:tab w:val="num" w:pos="8760"/>
        </w:tabs>
        <w:ind w:left="8760" w:hanging="360"/>
      </w:pPr>
      <w:rPr>
        <w:rFonts w:ascii="Wingdings" w:hAnsi="Wingdings" w:hint="default"/>
      </w:rPr>
    </w:lvl>
  </w:abstractNum>
  <w:abstractNum w:abstractNumId="1">
    <w:nsid w:val="09D8441E"/>
    <w:multiLevelType w:val="hybridMultilevel"/>
    <w:tmpl w:val="3B50B90C"/>
    <w:lvl w:ilvl="0" w:tplc="C54804B0">
      <w:start w:val="1"/>
      <w:numFmt w:val="upperRoman"/>
      <w:lvlText w:val="%1."/>
      <w:lvlJc w:val="left"/>
      <w:pPr>
        <w:tabs>
          <w:tab w:val="num" w:pos="360"/>
        </w:tabs>
        <w:ind w:left="360" w:hanging="360"/>
      </w:pPr>
      <w:rPr>
        <w:rFonts w:ascii="Helvetica, sans-serif" w:eastAsia="Times New Roman" w:hAnsi="Helvetica, sans-serif" w:cs="Times New Roman"/>
        <w:b/>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start w:val="1"/>
      <w:numFmt w:val="decimal"/>
      <w:lvlText w:val="%4."/>
      <w:lvlJc w:val="left"/>
      <w:pPr>
        <w:tabs>
          <w:tab w:val="num" w:pos="2520"/>
        </w:tabs>
        <w:ind w:left="2520" w:hanging="360"/>
      </w:pPr>
      <w:rPr>
        <w:rFonts w:cs="Times New Roman"/>
        <w:b/>
      </w:rPr>
    </w:lvl>
    <w:lvl w:ilvl="4" w:tplc="0C0A0019">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2">
    <w:nsid w:val="0FB25B52"/>
    <w:multiLevelType w:val="hybridMultilevel"/>
    <w:tmpl w:val="5F84C6CC"/>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2EB6BAC"/>
    <w:multiLevelType w:val="hybridMultilevel"/>
    <w:tmpl w:val="E4901850"/>
    <w:lvl w:ilvl="0" w:tplc="0C0A0019">
      <w:start w:val="1"/>
      <w:numFmt w:val="lowerLetter"/>
      <w:lvlText w:val="%1."/>
      <w:lvlJc w:val="left"/>
      <w:pPr>
        <w:tabs>
          <w:tab w:val="num" w:pos="3000"/>
        </w:tabs>
        <w:ind w:left="3000" w:hanging="360"/>
      </w:pPr>
      <w:rPr>
        <w:rFonts w:cs="Times New Roman"/>
      </w:rPr>
    </w:lvl>
    <w:lvl w:ilvl="1" w:tplc="0C0A0019" w:tentative="1">
      <w:start w:val="1"/>
      <w:numFmt w:val="lowerLetter"/>
      <w:lvlText w:val="%2."/>
      <w:lvlJc w:val="left"/>
      <w:pPr>
        <w:tabs>
          <w:tab w:val="num" w:pos="3720"/>
        </w:tabs>
        <w:ind w:left="3720" w:hanging="360"/>
      </w:pPr>
      <w:rPr>
        <w:rFonts w:cs="Times New Roman"/>
      </w:rPr>
    </w:lvl>
    <w:lvl w:ilvl="2" w:tplc="0C0A001B" w:tentative="1">
      <w:start w:val="1"/>
      <w:numFmt w:val="lowerRoman"/>
      <w:lvlText w:val="%3."/>
      <w:lvlJc w:val="right"/>
      <w:pPr>
        <w:tabs>
          <w:tab w:val="num" w:pos="4440"/>
        </w:tabs>
        <w:ind w:left="4440" w:hanging="180"/>
      </w:pPr>
      <w:rPr>
        <w:rFonts w:cs="Times New Roman"/>
      </w:rPr>
    </w:lvl>
    <w:lvl w:ilvl="3" w:tplc="0C0A000F" w:tentative="1">
      <w:start w:val="1"/>
      <w:numFmt w:val="decimal"/>
      <w:lvlText w:val="%4."/>
      <w:lvlJc w:val="left"/>
      <w:pPr>
        <w:tabs>
          <w:tab w:val="num" w:pos="5160"/>
        </w:tabs>
        <w:ind w:left="5160" w:hanging="360"/>
      </w:pPr>
      <w:rPr>
        <w:rFonts w:cs="Times New Roman"/>
      </w:rPr>
    </w:lvl>
    <w:lvl w:ilvl="4" w:tplc="0C0A0019" w:tentative="1">
      <w:start w:val="1"/>
      <w:numFmt w:val="lowerLetter"/>
      <w:lvlText w:val="%5."/>
      <w:lvlJc w:val="left"/>
      <w:pPr>
        <w:tabs>
          <w:tab w:val="num" w:pos="5880"/>
        </w:tabs>
        <w:ind w:left="5880" w:hanging="360"/>
      </w:pPr>
      <w:rPr>
        <w:rFonts w:cs="Times New Roman"/>
      </w:rPr>
    </w:lvl>
    <w:lvl w:ilvl="5" w:tplc="0C0A001B" w:tentative="1">
      <w:start w:val="1"/>
      <w:numFmt w:val="lowerRoman"/>
      <w:lvlText w:val="%6."/>
      <w:lvlJc w:val="right"/>
      <w:pPr>
        <w:tabs>
          <w:tab w:val="num" w:pos="6600"/>
        </w:tabs>
        <w:ind w:left="6600" w:hanging="180"/>
      </w:pPr>
      <w:rPr>
        <w:rFonts w:cs="Times New Roman"/>
      </w:rPr>
    </w:lvl>
    <w:lvl w:ilvl="6" w:tplc="0C0A000F" w:tentative="1">
      <w:start w:val="1"/>
      <w:numFmt w:val="decimal"/>
      <w:lvlText w:val="%7."/>
      <w:lvlJc w:val="left"/>
      <w:pPr>
        <w:tabs>
          <w:tab w:val="num" w:pos="7320"/>
        </w:tabs>
        <w:ind w:left="7320" w:hanging="360"/>
      </w:pPr>
      <w:rPr>
        <w:rFonts w:cs="Times New Roman"/>
      </w:rPr>
    </w:lvl>
    <w:lvl w:ilvl="7" w:tplc="0C0A0019" w:tentative="1">
      <w:start w:val="1"/>
      <w:numFmt w:val="lowerLetter"/>
      <w:lvlText w:val="%8."/>
      <w:lvlJc w:val="left"/>
      <w:pPr>
        <w:tabs>
          <w:tab w:val="num" w:pos="8040"/>
        </w:tabs>
        <w:ind w:left="8040" w:hanging="360"/>
      </w:pPr>
      <w:rPr>
        <w:rFonts w:cs="Times New Roman"/>
      </w:rPr>
    </w:lvl>
    <w:lvl w:ilvl="8" w:tplc="0C0A001B" w:tentative="1">
      <w:start w:val="1"/>
      <w:numFmt w:val="lowerRoman"/>
      <w:lvlText w:val="%9."/>
      <w:lvlJc w:val="right"/>
      <w:pPr>
        <w:tabs>
          <w:tab w:val="num" w:pos="8760"/>
        </w:tabs>
        <w:ind w:left="8760" w:hanging="180"/>
      </w:pPr>
      <w:rPr>
        <w:rFonts w:cs="Times New Roman"/>
      </w:rPr>
    </w:lvl>
  </w:abstractNum>
  <w:abstractNum w:abstractNumId="4">
    <w:nsid w:val="18FB0A75"/>
    <w:multiLevelType w:val="hybridMultilevel"/>
    <w:tmpl w:val="CC765924"/>
    <w:lvl w:ilvl="0" w:tplc="0C0A0017">
      <w:start w:val="1"/>
      <w:numFmt w:val="lowerLetter"/>
      <w:lvlText w:val="%1)"/>
      <w:lvlJc w:val="left"/>
      <w:pPr>
        <w:tabs>
          <w:tab w:val="num" w:pos="780"/>
        </w:tabs>
        <w:ind w:left="780" w:hanging="360"/>
      </w:pPr>
      <w:rPr>
        <w:rFonts w:cs="Times New Roman"/>
      </w:rPr>
    </w:lvl>
    <w:lvl w:ilvl="1" w:tplc="1E04C89E">
      <w:start w:val="1"/>
      <w:numFmt w:val="decimal"/>
      <w:lvlText w:val="%2."/>
      <w:lvlJc w:val="left"/>
      <w:pPr>
        <w:tabs>
          <w:tab w:val="num" w:pos="1500"/>
        </w:tabs>
        <w:ind w:left="1500" w:hanging="360"/>
      </w:pPr>
      <w:rPr>
        <w:rFonts w:cs="Times New Roman"/>
        <w:b/>
      </w:rPr>
    </w:lvl>
    <w:lvl w:ilvl="2" w:tplc="0C0A001B" w:tentative="1">
      <w:start w:val="1"/>
      <w:numFmt w:val="lowerRoman"/>
      <w:lvlText w:val="%3."/>
      <w:lvlJc w:val="right"/>
      <w:pPr>
        <w:tabs>
          <w:tab w:val="num" w:pos="2220"/>
        </w:tabs>
        <w:ind w:left="2220" w:hanging="180"/>
      </w:pPr>
      <w:rPr>
        <w:rFonts w:cs="Times New Roman"/>
      </w:rPr>
    </w:lvl>
    <w:lvl w:ilvl="3" w:tplc="0C0A000F" w:tentative="1">
      <w:start w:val="1"/>
      <w:numFmt w:val="decimal"/>
      <w:lvlText w:val="%4."/>
      <w:lvlJc w:val="left"/>
      <w:pPr>
        <w:tabs>
          <w:tab w:val="num" w:pos="2940"/>
        </w:tabs>
        <w:ind w:left="2940" w:hanging="360"/>
      </w:pPr>
      <w:rPr>
        <w:rFonts w:cs="Times New Roman"/>
      </w:rPr>
    </w:lvl>
    <w:lvl w:ilvl="4" w:tplc="0C0A0019" w:tentative="1">
      <w:start w:val="1"/>
      <w:numFmt w:val="lowerLetter"/>
      <w:lvlText w:val="%5."/>
      <w:lvlJc w:val="left"/>
      <w:pPr>
        <w:tabs>
          <w:tab w:val="num" w:pos="3660"/>
        </w:tabs>
        <w:ind w:left="3660" w:hanging="360"/>
      </w:pPr>
      <w:rPr>
        <w:rFonts w:cs="Times New Roman"/>
      </w:rPr>
    </w:lvl>
    <w:lvl w:ilvl="5" w:tplc="0C0A001B" w:tentative="1">
      <w:start w:val="1"/>
      <w:numFmt w:val="lowerRoman"/>
      <w:lvlText w:val="%6."/>
      <w:lvlJc w:val="right"/>
      <w:pPr>
        <w:tabs>
          <w:tab w:val="num" w:pos="4380"/>
        </w:tabs>
        <w:ind w:left="4380" w:hanging="180"/>
      </w:pPr>
      <w:rPr>
        <w:rFonts w:cs="Times New Roman"/>
      </w:rPr>
    </w:lvl>
    <w:lvl w:ilvl="6" w:tplc="0C0A000F" w:tentative="1">
      <w:start w:val="1"/>
      <w:numFmt w:val="decimal"/>
      <w:lvlText w:val="%7."/>
      <w:lvlJc w:val="left"/>
      <w:pPr>
        <w:tabs>
          <w:tab w:val="num" w:pos="5100"/>
        </w:tabs>
        <w:ind w:left="5100" w:hanging="360"/>
      </w:pPr>
      <w:rPr>
        <w:rFonts w:cs="Times New Roman"/>
      </w:rPr>
    </w:lvl>
    <w:lvl w:ilvl="7" w:tplc="0C0A0019" w:tentative="1">
      <w:start w:val="1"/>
      <w:numFmt w:val="lowerLetter"/>
      <w:lvlText w:val="%8."/>
      <w:lvlJc w:val="left"/>
      <w:pPr>
        <w:tabs>
          <w:tab w:val="num" w:pos="5820"/>
        </w:tabs>
        <w:ind w:left="5820" w:hanging="360"/>
      </w:pPr>
      <w:rPr>
        <w:rFonts w:cs="Times New Roman"/>
      </w:rPr>
    </w:lvl>
    <w:lvl w:ilvl="8" w:tplc="0C0A001B" w:tentative="1">
      <w:start w:val="1"/>
      <w:numFmt w:val="lowerRoman"/>
      <w:lvlText w:val="%9."/>
      <w:lvlJc w:val="right"/>
      <w:pPr>
        <w:tabs>
          <w:tab w:val="num" w:pos="6540"/>
        </w:tabs>
        <w:ind w:left="6540" w:hanging="180"/>
      </w:pPr>
      <w:rPr>
        <w:rFonts w:cs="Times New Roman"/>
      </w:rPr>
    </w:lvl>
  </w:abstractNum>
  <w:abstractNum w:abstractNumId="5">
    <w:nsid w:val="19267040"/>
    <w:multiLevelType w:val="hybridMultilevel"/>
    <w:tmpl w:val="B114DA80"/>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AFA16B3"/>
    <w:multiLevelType w:val="hybridMultilevel"/>
    <w:tmpl w:val="12E08A96"/>
    <w:lvl w:ilvl="0" w:tplc="0C0A0001">
      <w:start w:val="1"/>
      <w:numFmt w:val="bullet"/>
      <w:lvlText w:val=""/>
      <w:lvlJc w:val="left"/>
      <w:pPr>
        <w:tabs>
          <w:tab w:val="num" w:pos="3000"/>
        </w:tabs>
        <w:ind w:left="3000" w:hanging="360"/>
      </w:pPr>
      <w:rPr>
        <w:rFonts w:ascii="Symbol" w:hAnsi="Symbol" w:hint="default"/>
      </w:rPr>
    </w:lvl>
    <w:lvl w:ilvl="1" w:tplc="0C0A0003" w:tentative="1">
      <w:start w:val="1"/>
      <w:numFmt w:val="bullet"/>
      <w:lvlText w:val="o"/>
      <w:lvlJc w:val="left"/>
      <w:pPr>
        <w:tabs>
          <w:tab w:val="num" w:pos="3720"/>
        </w:tabs>
        <w:ind w:left="3720" w:hanging="360"/>
      </w:pPr>
      <w:rPr>
        <w:rFonts w:ascii="Courier New" w:hAnsi="Courier New" w:hint="default"/>
      </w:rPr>
    </w:lvl>
    <w:lvl w:ilvl="2" w:tplc="0C0A0005" w:tentative="1">
      <w:start w:val="1"/>
      <w:numFmt w:val="bullet"/>
      <w:lvlText w:val=""/>
      <w:lvlJc w:val="left"/>
      <w:pPr>
        <w:tabs>
          <w:tab w:val="num" w:pos="4440"/>
        </w:tabs>
        <w:ind w:left="4440" w:hanging="360"/>
      </w:pPr>
      <w:rPr>
        <w:rFonts w:ascii="Wingdings" w:hAnsi="Wingdings" w:hint="default"/>
      </w:rPr>
    </w:lvl>
    <w:lvl w:ilvl="3" w:tplc="0C0A0001" w:tentative="1">
      <w:start w:val="1"/>
      <w:numFmt w:val="bullet"/>
      <w:lvlText w:val=""/>
      <w:lvlJc w:val="left"/>
      <w:pPr>
        <w:tabs>
          <w:tab w:val="num" w:pos="5160"/>
        </w:tabs>
        <w:ind w:left="5160" w:hanging="360"/>
      </w:pPr>
      <w:rPr>
        <w:rFonts w:ascii="Symbol" w:hAnsi="Symbol" w:hint="default"/>
      </w:rPr>
    </w:lvl>
    <w:lvl w:ilvl="4" w:tplc="0C0A0003" w:tentative="1">
      <w:start w:val="1"/>
      <w:numFmt w:val="bullet"/>
      <w:lvlText w:val="o"/>
      <w:lvlJc w:val="left"/>
      <w:pPr>
        <w:tabs>
          <w:tab w:val="num" w:pos="5880"/>
        </w:tabs>
        <w:ind w:left="5880" w:hanging="360"/>
      </w:pPr>
      <w:rPr>
        <w:rFonts w:ascii="Courier New" w:hAnsi="Courier New" w:hint="default"/>
      </w:rPr>
    </w:lvl>
    <w:lvl w:ilvl="5" w:tplc="0C0A0005" w:tentative="1">
      <w:start w:val="1"/>
      <w:numFmt w:val="bullet"/>
      <w:lvlText w:val=""/>
      <w:lvlJc w:val="left"/>
      <w:pPr>
        <w:tabs>
          <w:tab w:val="num" w:pos="6600"/>
        </w:tabs>
        <w:ind w:left="6600" w:hanging="360"/>
      </w:pPr>
      <w:rPr>
        <w:rFonts w:ascii="Wingdings" w:hAnsi="Wingdings" w:hint="default"/>
      </w:rPr>
    </w:lvl>
    <w:lvl w:ilvl="6" w:tplc="0C0A0001" w:tentative="1">
      <w:start w:val="1"/>
      <w:numFmt w:val="bullet"/>
      <w:lvlText w:val=""/>
      <w:lvlJc w:val="left"/>
      <w:pPr>
        <w:tabs>
          <w:tab w:val="num" w:pos="7320"/>
        </w:tabs>
        <w:ind w:left="7320" w:hanging="360"/>
      </w:pPr>
      <w:rPr>
        <w:rFonts w:ascii="Symbol" w:hAnsi="Symbol" w:hint="default"/>
      </w:rPr>
    </w:lvl>
    <w:lvl w:ilvl="7" w:tplc="0C0A0003" w:tentative="1">
      <w:start w:val="1"/>
      <w:numFmt w:val="bullet"/>
      <w:lvlText w:val="o"/>
      <w:lvlJc w:val="left"/>
      <w:pPr>
        <w:tabs>
          <w:tab w:val="num" w:pos="8040"/>
        </w:tabs>
        <w:ind w:left="8040" w:hanging="360"/>
      </w:pPr>
      <w:rPr>
        <w:rFonts w:ascii="Courier New" w:hAnsi="Courier New" w:hint="default"/>
      </w:rPr>
    </w:lvl>
    <w:lvl w:ilvl="8" w:tplc="0C0A0005" w:tentative="1">
      <w:start w:val="1"/>
      <w:numFmt w:val="bullet"/>
      <w:lvlText w:val=""/>
      <w:lvlJc w:val="left"/>
      <w:pPr>
        <w:tabs>
          <w:tab w:val="num" w:pos="8760"/>
        </w:tabs>
        <w:ind w:left="8760" w:hanging="360"/>
      </w:pPr>
      <w:rPr>
        <w:rFonts w:ascii="Wingdings" w:hAnsi="Wingdings" w:hint="default"/>
      </w:rPr>
    </w:lvl>
  </w:abstractNum>
  <w:abstractNum w:abstractNumId="7">
    <w:nsid w:val="1CAF2679"/>
    <w:multiLevelType w:val="hybridMultilevel"/>
    <w:tmpl w:val="63B0B8EA"/>
    <w:lvl w:ilvl="0" w:tplc="0C0A0017">
      <w:start w:val="1"/>
      <w:numFmt w:val="lowerLetter"/>
      <w:lvlText w:val="%1)"/>
      <w:lvlJc w:val="left"/>
      <w:pPr>
        <w:tabs>
          <w:tab w:val="num" w:pos="2658"/>
        </w:tabs>
        <w:ind w:left="2658" w:hanging="360"/>
      </w:pPr>
      <w:rPr>
        <w:rFonts w:cs="Times New Roman"/>
      </w:rPr>
    </w:lvl>
    <w:lvl w:ilvl="1" w:tplc="0C0A0019" w:tentative="1">
      <w:start w:val="1"/>
      <w:numFmt w:val="lowerLetter"/>
      <w:lvlText w:val="%2."/>
      <w:lvlJc w:val="left"/>
      <w:pPr>
        <w:tabs>
          <w:tab w:val="num" w:pos="3378"/>
        </w:tabs>
        <w:ind w:left="3378" w:hanging="360"/>
      </w:pPr>
      <w:rPr>
        <w:rFonts w:cs="Times New Roman"/>
      </w:rPr>
    </w:lvl>
    <w:lvl w:ilvl="2" w:tplc="0C0A001B" w:tentative="1">
      <w:start w:val="1"/>
      <w:numFmt w:val="lowerRoman"/>
      <w:lvlText w:val="%3."/>
      <w:lvlJc w:val="right"/>
      <w:pPr>
        <w:tabs>
          <w:tab w:val="num" w:pos="4098"/>
        </w:tabs>
        <w:ind w:left="4098" w:hanging="180"/>
      </w:pPr>
      <w:rPr>
        <w:rFonts w:cs="Times New Roman"/>
      </w:rPr>
    </w:lvl>
    <w:lvl w:ilvl="3" w:tplc="0C0A000F" w:tentative="1">
      <w:start w:val="1"/>
      <w:numFmt w:val="decimal"/>
      <w:lvlText w:val="%4."/>
      <w:lvlJc w:val="left"/>
      <w:pPr>
        <w:tabs>
          <w:tab w:val="num" w:pos="4818"/>
        </w:tabs>
        <w:ind w:left="4818" w:hanging="360"/>
      </w:pPr>
      <w:rPr>
        <w:rFonts w:cs="Times New Roman"/>
      </w:rPr>
    </w:lvl>
    <w:lvl w:ilvl="4" w:tplc="0C0A0019" w:tentative="1">
      <w:start w:val="1"/>
      <w:numFmt w:val="lowerLetter"/>
      <w:lvlText w:val="%5."/>
      <w:lvlJc w:val="left"/>
      <w:pPr>
        <w:tabs>
          <w:tab w:val="num" w:pos="5538"/>
        </w:tabs>
        <w:ind w:left="5538" w:hanging="360"/>
      </w:pPr>
      <w:rPr>
        <w:rFonts w:cs="Times New Roman"/>
      </w:rPr>
    </w:lvl>
    <w:lvl w:ilvl="5" w:tplc="0C0A001B" w:tentative="1">
      <w:start w:val="1"/>
      <w:numFmt w:val="lowerRoman"/>
      <w:lvlText w:val="%6."/>
      <w:lvlJc w:val="right"/>
      <w:pPr>
        <w:tabs>
          <w:tab w:val="num" w:pos="6258"/>
        </w:tabs>
        <w:ind w:left="6258" w:hanging="180"/>
      </w:pPr>
      <w:rPr>
        <w:rFonts w:cs="Times New Roman"/>
      </w:rPr>
    </w:lvl>
    <w:lvl w:ilvl="6" w:tplc="0C0A000F" w:tentative="1">
      <w:start w:val="1"/>
      <w:numFmt w:val="decimal"/>
      <w:lvlText w:val="%7."/>
      <w:lvlJc w:val="left"/>
      <w:pPr>
        <w:tabs>
          <w:tab w:val="num" w:pos="6978"/>
        </w:tabs>
        <w:ind w:left="6978" w:hanging="360"/>
      </w:pPr>
      <w:rPr>
        <w:rFonts w:cs="Times New Roman"/>
      </w:rPr>
    </w:lvl>
    <w:lvl w:ilvl="7" w:tplc="0C0A0019" w:tentative="1">
      <w:start w:val="1"/>
      <w:numFmt w:val="lowerLetter"/>
      <w:lvlText w:val="%8."/>
      <w:lvlJc w:val="left"/>
      <w:pPr>
        <w:tabs>
          <w:tab w:val="num" w:pos="7698"/>
        </w:tabs>
        <w:ind w:left="7698" w:hanging="360"/>
      </w:pPr>
      <w:rPr>
        <w:rFonts w:cs="Times New Roman"/>
      </w:rPr>
    </w:lvl>
    <w:lvl w:ilvl="8" w:tplc="0C0A001B" w:tentative="1">
      <w:start w:val="1"/>
      <w:numFmt w:val="lowerRoman"/>
      <w:lvlText w:val="%9."/>
      <w:lvlJc w:val="right"/>
      <w:pPr>
        <w:tabs>
          <w:tab w:val="num" w:pos="8418"/>
        </w:tabs>
        <w:ind w:left="8418" w:hanging="180"/>
      </w:pPr>
      <w:rPr>
        <w:rFonts w:cs="Times New Roman"/>
      </w:rPr>
    </w:lvl>
  </w:abstractNum>
  <w:abstractNum w:abstractNumId="8">
    <w:nsid w:val="28893C1A"/>
    <w:multiLevelType w:val="hybridMultilevel"/>
    <w:tmpl w:val="0310DD02"/>
    <w:lvl w:ilvl="0" w:tplc="0C0A0017">
      <w:start w:val="1"/>
      <w:numFmt w:val="lowerLetter"/>
      <w:lvlText w:val="%1)"/>
      <w:lvlJc w:val="left"/>
      <w:pPr>
        <w:tabs>
          <w:tab w:val="num" w:pos="720"/>
        </w:tabs>
        <w:ind w:left="720" w:hanging="360"/>
      </w:pPr>
      <w:rPr>
        <w:rFonts w:cs="Times New Roman"/>
      </w:rPr>
    </w:lvl>
    <w:lvl w:ilvl="1" w:tplc="CC1E4A34">
      <w:start w:val="2"/>
      <w:numFmt w:val="decimal"/>
      <w:lvlText w:val="%2."/>
      <w:lvlJc w:val="left"/>
      <w:pPr>
        <w:tabs>
          <w:tab w:val="num" w:pos="1440"/>
        </w:tabs>
        <w:ind w:left="1440" w:hanging="360"/>
      </w:pPr>
      <w:rPr>
        <w:rFonts w:cs="Times New Roman" w:hint="default"/>
        <w:i/>
      </w:rPr>
    </w:lvl>
    <w:lvl w:ilvl="2" w:tplc="DB7E233A">
      <w:start w:val="1"/>
      <w:numFmt w:val="decimal"/>
      <w:lvlText w:val="%3."/>
      <w:lvlJc w:val="left"/>
      <w:pPr>
        <w:tabs>
          <w:tab w:val="num" w:pos="4575"/>
        </w:tabs>
        <w:ind w:left="4575" w:hanging="2595"/>
      </w:pPr>
      <w:rPr>
        <w:rFonts w:cs="Times New Roman" w:hint="default"/>
        <w:b w:val="0"/>
        <w:i w:val="0"/>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
    <w:nsid w:val="2B2E375F"/>
    <w:multiLevelType w:val="hybridMultilevel"/>
    <w:tmpl w:val="0074DB5E"/>
    <w:lvl w:ilvl="0" w:tplc="0C0A000F">
      <w:start w:val="1"/>
      <w:numFmt w:val="decimal"/>
      <w:lvlText w:val="%1."/>
      <w:lvlJc w:val="left"/>
      <w:pPr>
        <w:tabs>
          <w:tab w:val="num" w:pos="1485"/>
        </w:tabs>
        <w:ind w:left="1485" w:hanging="360"/>
      </w:pPr>
      <w:rPr>
        <w:rFonts w:cs="Times New Roman"/>
      </w:rPr>
    </w:lvl>
    <w:lvl w:ilvl="1" w:tplc="790E786A">
      <w:start w:val="1"/>
      <w:numFmt w:val="decimal"/>
      <w:lvlText w:val="%2."/>
      <w:lvlJc w:val="left"/>
      <w:pPr>
        <w:tabs>
          <w:tab w:val="num" w:pos="4065"/>
        </w:tabs>
        <w:ind w:left="4065" w:hanging="2220"/>
      </w:pPr>
      <w:rPr>
        <w:rFonts w:cs="Times New Roman" w:hint="default"/>
      </w:rPr>
    </w:lvl>
    <w:lvl w:ilvl="2" w:tplc="0C0A0019">
      <w:start w:val="1"/>
      <w:numFmt w:val="lowerLetter"/>
      <w:lvlText w:val="%3."/>
      <w:lvlJc w:val="left"/>
      <w:pPr>
        <w:tabs>
          <w:tab w:val="num" w:pos="3105"/>
        </w:tabs>
        <w:ind w:left="3105" w:hanging="360"/>
      </w:pPr>
      <w:rPr>
        <w:rFonts w:cs="Times New Roman"/>
      </w:rPr>
    </w:lvl>
    <w:lvl w:ilvl="3" w:tplc="0C0A000F" w:tentative="1">
      <w:start w:val="1"/>
      <w:numFmt w:val="decimal"/>
      <w:lvlText w:val="%4."/>
      <w:lvlJc w:val="left"/>
      <w:pPr>
        <w:tabs>
          <w:tab w:val="num" w:pos="3645"/>
        </w:tabs>
        <w:ind w:left="3645" w:hanging="360"/>
      </w:pPr>
      <w:rPr>
        <w:rFonts w:cs="Times New Roman"/>
      </w:rPr>
    </w:lvl>
    <w:lvl w:ilvl="4" w:tplc="0C0A0019" w:tentative="1">
      <w:start w:val="1"/>
      <w:numFmt w:val="lowerLetter"/>
      <w:lvlText w:val="%5."/>
      <w:lvlJc w:val="left"/>
      <w:pPr>
        <w:tabs>
          <w:tab w:val="num" w:pos="4365"/>
        </w:tabs>
        <w:ind w:left="4365" w:hanging="360"/>
      </w:pPr>
      <w:rPr>
        <w:rFonts w:cs="Times New Roman"/>
      </w:rPr>
    </w:lvl>
    <w:lvl w:ilvl="5" w:tplc="0C0A001B" w:tentative="1">
      <w:start w:val="1"/>
      <w:numFmt w:val="lowerRoman"/>
      <w:lvlText w:val="%6."/>
      <w:lvlJc w:val="right"/>
      <w:pPr>
        <w:tabs>
          <w:tab w:val="num" w:pos="5085"/>
        </w:tabs>
        <w:ind w:left="5085" w:hanging="180"/>
      </w:pPr>
      <w:rPr>
        <w:rFonts w:cs="Times New Roman"/>
      </w:rPr>
    </w:lvl>
    <w:lvl w:ilvl="6" w:tplc="0C0A000F" w:tentative="1">
      <w:start w:val="1"/>
      <w:numFmt w:val="decimal"/>
      <w:lvlText w:val="%7."/>
      <w:lvlJc w:val="left"/>
      <w:pPr>
        <w:tabs>
          <w:tab w:val="num" w:pos="5805"/>
        </w:tabs>
        <w:ind w:left="5805" w:hanging="360"/>
      </w:pPr>
      <w:rPr>
        <w:rFonts w:cs="Times New Roman"/>
      </w:rPr>
    </w:lvl>
    <w:lvl w:ilvl="7" w:tplc="0C0A0019" w:tentative="1">
      <w:start w:val="1"/>
      <w:numFmt w:val="lowerLetter"/>
      <w:lvlText w:val="%8."/>
      <w:lvlJc w:val="left"/>
      <w:pPr>
        <w:tabs>
          <w:tab w:val="num" w:pos="6525"/>
        </w:tabs>
        <w:ind w:left="6525" w:hanging="360"/>
      </w:pPr>
      <w:rPr>
        <w:rFonts w:cs="Times New Roman"/>
      </w:rPr>
    </w:lvl>
    <w:lvl w:ilvl="8" w:tplc="0C0A001B" w:tentative="1">
      <w:start w:val="1"/>
      <w:numFmt w:val="lowerRoman"/>
      <w:lvlText w:val="%9."/>
      <w:lvlJc w:val="right"/>
      <w:pPr>
        <w:tabs>
          <w:tab w:val="num" w:pos="7245"/>
        </w:tabs>
        <w:ind w:left="7245" w:hanging="180"/>
      </w:pPr>
      <w:rPr>
        <w:rFonts w:cs="Times New Roman"/>
      </w:rPr>
    </w:lvl>
  </w:abstractNum>
  <w:abstractNum w:abstractNumId="10">
    <w:nsid w:val="376147F5"/>
    <w:multiLevelType w:val="hybridMultilevel"/>
    <w:tmpl w:val="A8B000DA"/>
    <w:lvl w:ilvl="0" w:tplc="0C0A0005">
      <w:start w:val="1"/>
      <w:numFmt w:val="bullet"/>
      <w:lvlText w:val=""/>
      <w:lvlJc w:val="left"/>
      <w:pPr>
        <w:tabs>
          <w:tab w:val="num" w:pos="1800"/>
        </w:tabs>
        <w:ind w:left="1800" w:hanging="360"/>
      </w:pPr>
      <w:rPr>
        <w:rFonts w:ascii="Wingdings" w:hAnsi="Wingdings" w:hint="default"/>
      </w:rPr>
    </w:lvl>
    <w:lvl w:ilvl="1" w:tplc="0C0A0003" w:tentative="1">
      <w:start w:val="1"/>
      <w:numFmt w:val="bullet"/>
      <w:lvlText w:val="o"/>
      <w:lvlJc w:val="left"/>
      <w:pPr>
        <w:tabs>
          <w:tab w:val="num" w:pos="2520"/>
        </w:tabs>
        <w:ind w:left="2520" w:hanging="360"/>
      </w:pPr>
      <w:rPr>
        <w:rFonts w:ascii="Courier New" w:hAnsi="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1">
    <w:nsid w:val="3FF440E3"/>
    <w:multiLevelType w:val="hybridMultilevel"/>
    <w:tmpl w:val="21E84216"/>
    <w:lvl w:ilvl="0" w:tplc="0C0A000D">
      <w:start w:val="1"/>
      <w:numFmt w:val="bullet"/>
      <w:lvlText w:val=""/>
      <w:lvlJc w:val="left"/>
      <w:pPr>
        <w:tabs>
          <w:tab w:val="num" w:pos="3000"/>
        </w:tabs>
        <w:ind w:left="3000" w:hanging="360"/>
      </w:pPr>
      <w:rPr>
        <w:rFonts w:ascii="Wingdings" w:hAnsi="Wingdings" w:hint="default"/>
      </w:rPr>
    </w:lvl>
    <w:lvl w:ilvl="1" w:tplc="0C0A0003" w:tentative="1">
      <w:start w:val="1"/>
      <w:numFmt w:val="bullet"/>
      <w:lvlText w:val="o"/>
      <w:lvlJc w:val="left"/>
      <w:pPr>
        <w:tabs>
          <w:tab w:val="num" w:pos="3720"/>
        </w:tabs>
        <w:ind w:left="3720" w:hanging="360"/>
      </w:pPr>
      <w:rPr>
        <w:rFonts w:ascii="Courier New" w:hAnsi="Courier New" w:hint="default"/>
      </w:rPr>
    </w:lvl>
    <w:lvl w:ilvl="2" w:tplc="0C0A0005" w:tentative="1">
      <w:start w:val="1"/>
      <w:numFmt w:val="bullet"/>
      <w:lvlText w:val=""/>
      <w:lvlJc w:val="left"/>
      <w:pPr>
        <w:tabs>
          <w:tab w:val="num" w:pos="4440"/>
        </w:tabs>
        <w:ind w:left="4440" w:hanging="360"/>
      </w:pPr>
      <w:rPr>
        <w:rFonts w:ascii="Wingdings" w:hAnsi="Wingdings" w:hint="default"/>
      </w:rPr>
    </w:lvl>
    <w:lvl w:ilvl="3" w:tplc="0C0A0001" w:tentative="1">
      <w:start w:val="1"/>
      <w:numFmt w:val="bullet"/>
      <w:lvlText w:val=""/>
      <w:lvlJc w:val="left"/>
      <w:pPr>
        <w:tabs>
          <w:tab w:val="num" w:pos="5160"/>
        </w:tabs>
        <w:ind w:left="5160" w:hanging="360"/>
      </w:pPr>
      <w:rPr>
        <w:rFonts w:ascii="Symbol" w:hAnsi="Symbol" w:hint="default"/>
      </w:rPr>
    </w:lvl>
    <w:lvl w:ilvl="4" w:tplc="0C0A0003" w:tentative="1">
      <w:start w:val="1"/>
      <w:numFmt w:val="bullet"/>
      <w:lvlText w:val="o"/>
      <w:lvlJc w:val="left"/>
      <w:pPr>
        <w:tabs>
          <w:tab w:val="num" w:pos="5880"/>
        </w:tabs>
        <w:ind w:left="5880" w:hanging="360"/>
      </w:pPr>
      <w:rPr>
        <w:rFonts w:ascii="Courier New" w:hAnsi="Courier New" w:hint="default"/>
      </w:rPr>
    </w:lvl>
    <w:lvl w:ilvl="5" w:tplc="0C0A0005" w:tentative="1">
      <w:start w:val="1"/>
      <w:numFmt w:val="bullet"/>
      <w:lvlText w:val=""/>
      <w:lvlJc w:val="left"/>
      <w:pPr>
        <w:tabs>
          <w:tab w:val="num" w:pos="6600"/>
        </w:tabs>
        <w:ind w:left="6600" w:hanging="360"/>
      </w:pPr>
      <w:rPr>
        <w:rFonts w:ascii="Wingdings" w:hAnsi="Wingdings" w:hint="default"/>
      </w:rPr>
    </w:lvl>
    <w:lvl w:ilvl="6" w:tplc="0C0A0001" w:tentative="1">
      <w:start w:val="1"/>
      <w:numFmt w:val="bullet"/>
      <w:lvlText w:val=""/>
      <w:lvlJc w:val="left"/>
      <w:pPr>
        <w:tabs>
          <w:tab w:val="num" w:pos="7320"/>
        </w:tabs>
        <w:ind w:left="7320" w:hanging="360"/>
      </w:pPr>
      <w:rPr>
        <w:rFonts w:ascii="Symbol" w:hAnsi="Symbol" w:hint="default"/>
      </w:rPr>
    </w:lvl>
    <w:lvl w:ilvl="7" w:tplc="0C0A0003" w:tentative="1">
      <w:start w:val="1"/>
      <w:numFmt w:val="bullet"/>
      <w:lvlText w:val="o"/>
      <w:lvlJc w:val="left"/>
      <w:pPr>
        <w:tabs>
          <w:tab w:val="num" w:pos="8040"/>
        </w:tabs>
        <w:ind w:left="8040" w:hanging="360"/>
      </w:pPr>
      <w:rPr>
        <w:rFonts w:ascii="Courier New" w:hAnsi="Courier New" w:hint="default"/>
      </w:rPr>
    </w:lvl>
    <w:lvl w:ilvl="8" w:tplc="0C0A0005" w:tentative="1">
      <w:start w:val="1"/>
      <w:numFmt w:val="bullet"/>
      <w:lvlText w:val=""/>
      <w:lvlJc w:val="left"/>
      <w:pPr>
        <w:tabs>
          <w:tab w:val="num" w:pos="8760"/>
        </w:tabs>
        <w:ind w:left="8760" w:hanging="360"/>
      </w:pPr>
      <w:rPr>
        <w:rFonts w:ascii="Wingdings" w:hAnsi="Wingdings" w:hint="default"/>
      </w:rPr>
    </w:lvl>
  </w:abstractNum>
  <w:abstractNum w:abstractNumId="12">
    <w:nsid w:val="40357358"/>
    <w:multiLevelType w:val="hybridMultilevel"/>
    <w:tmpl w:val="831C4C24"/>
    <w:lvl w:ilvl="0" w:tplc="0C0A0001">
      <w:start w:val="1"/>
      <w:numFmt w:val="bullet"/>
      <w:lvlText w:val=""/>
      <w:lvlJc w:val="left"/>
      <w:pPr>
        <w:tabs>
          <w:tab w:val="num" w:pos="3285"/>
        </w:tabs>
        <w:ind w:left="3285" w:hanging="360"/>
      </w:pPr>
      <w:rPr>
        <w:rFonts w:ascii="Symbol" w:hAnsi="Symbol" w:hint="default"/>
      </w:rPr>
    </w:lvl>
    <w:lvl w:ilvl="1" w:tplc="0C0A0003" w:tentative="1">
      <w:start w:val="1"/>
      <w:numFmt w:val="bullet"/>
      <w:lvlText w:val="o"/>
      <w:lvlJc w:val="left"/>
      <w:pPr>
        <w:tabs>
          <w:tab w:val="num" w:pos="4005"/>
        </w:tabs>
        <w:ind w:left="4005" w:hanging="360"/>
      </w:pPr>
      <w:rPr>
        <w:rFonts w:ascii="Courier New" w:hAnsi="Courier New" w:hint="default"/>
      </w:rPr>
    </w:lvl>
    <w:lvl w:ilvl="2" w:tplc="0C0A0005" w:tentative="1">
      <w:start w:val="1"/>
      <w:numFmt w:val="bullet"/>
      <w:lvlText w:val=""/>
      <w:lvlJc w:val="left"/>
      <w:pPr>
        <w:tabs>
          <w:tab w:val="num" w:pos="4725"/>
        </w:tabs>
        <w:ind w:left="4725" w:hanging="360"/>
      </w:pPr>
      <w:rPr>
        <w:rFonts w:ascii="Wingdings" w:hAnsi="Wingdings" w:hint="default"/>
      </w:rPr>
    </w:lvl>
    <w:lvl w:ilvl="3" w:tplc="0C0A0001" w:tentative="1">
      <w:start w:val="1"/>
      <w:numFmt w:val="bullet"/>
      <w:lvlText w:val=""/>
      <w:lvlJc w:val="left"/>
      <w:pPr>
        <w:tabs>
          <w:tab w:val="num" w:pos="5445"/>
        </w:tabs>
        <w:ind w:left="5445" w:hanging="360"/>
      </w:pPr>
      <w:rPr>
        <w:rFonts w:ascii="Symbol" w:hAnsi="Symbol" w:hint="default"/>
      </w:rPr>
    </w:lvl>
    <w:lvl w:ilvl="4" w:tplc="0C0A0003" w:tentative="1">
      <w:start w:val="1"/>
      <w:numFmt w:val="bullet"/>
      <w:lvlText w:val="o"/>
      <w:lvlJc w:val="left"/>
      <w:pPr>
        <w:tabs>
          <w:tab w:val="num" w:pos="6165"/>
        </w:tabs>
        <w:ind w:left="6165" w:hanging="360"/>
      </w:pPr>
      <w:rPr>
        <w:rFonts w:ascii="Courier New" w:hAnsi="Courier New" w:hint="default"/>
      </w:rPr>
    </w:lvl>
    <w:lvl w:ilvl="5" w:tplc="0C0A0005" w:tentative="1">
      <w:start w:val="1"/>
      <w:numFmt w:val="bullet"/>
      <w:lvlText w:val=""/>
      <w:lvlJc w:val="left"/>
      <w:pPr>
        <w:tabs>
          <w:tab w:val="num" w:pos="6885"/>
        </w:tabs>
        <w:ind w:left="6885" w:hanging="360"/>
      </w:pPr>
      <w:rPr>
        <w:rFonts w:ascii="Wingdings" w:hAnsi="Wingdings" w:hint="default"/>
      </w:rPr>
    </w:lvl>
    <w:lvl w:ilvl="6" w:tplc="0C0A0001" w:tentative="1">
      <w:start w:val="1"/>
      <w:numFmt w:val="bullet"/>
      <w:lvlText w:val=""/>
      <w:lvlJc w:val="left"/>
      <w:pPr>
        <w:tabs>
          <w:tab w:val="num" w:pos="7605"/>
        </w:tabs>
        <w:ind w:left="7605" w:hanging="360"/>
      </w:pPr>
      <w:rPr>
        <w:rFonts w:ascii="Symbol" w:hAnsi="Symbol" w:hint="default"/>
      </w:rPr>
    </w:lvl>
    <w:lvl w:ilvl="7" w:tplc="0C0A0003" w:tentative="1">
      <w:start w:val="1"/>
      <w:numFmt w:val="bullet"/>
      <w:lvlText w:val="o"/>
      <w:lvlJc w:val="left"/>
      <w:pPr>
        <w:tabs>
          <w:tab w:val="num" w:pos="8325"/>
        </w:tabs>
        <w:ind w:left="8325" w:hanging="360"/>
      </w:pPr>
      <w:rPr>
        <w:rFonts w:ascii="Courier New" w:hAnsi="Courier New" w:hint="default"/>
      </w:rPr>
    </w:lvl>
    <w:lvl w:ilvl="8" w:tplc="0C0A0005" w:tentative="1">
      <w:start w:val="1"/>
      <w:numFmt w:val="bullet"/>
      <w:lvlText w:val=""/>
      <w:lvlJc w:val="left"/>
      <w:pPr>
        <w:tabs>
          <w:tab w:val="num" w:pos="9045"/>
        </w:tabs>
        <w:ind w:left="9045" w:hanging="360"/>
      </w:pPr>
      <w:rPr>
        <w:rFonts w:ascii="Wingdings" w:hAnsi="Wingdings" w:hint="default"/>
      </w:rPr>
    </w:lvl>
  </w:abstractNum>
  <w:abstractNum w:abstractNumId="13">
    <w:nsid w:val="606379C2"/>
    <w:multiLevelType w:val="hybridMultilevel"/>
    <w:tmpl w:val="1E0891BE"/>
    <w:lvl w:ilvl="0" w:tplc="F09AD810">
      <w:start w:val="1"/>
      <w:numFmt w:val="decimal"/>
      <w:lvlText w:val="%1."/>
      <w:lvlJc w:val="left"/>
      <w:pPr>
        <w:tabs>
          <w:tab w:val="num" w:pos="759"/>
        </w:tabs>
        <w:ind w:left="759" w:hanging="360"/>
      </w:pPr>
      <w:rPr>
        <w:rFonts w:cs="Times New Roman"/>
        <w:b/>
        <w:i w:val="0"/>
      </w:rPr>
    </w:lvl>
    <w:lvl w:ilvl="1" w:tplc="0C0A000F">
      <w:start w:val="1"/>
      <w:numFmt w:val="decimal"/>
      <w:lvlText w:val="%2."/>
      <w:lvlJc w:val="left"/>
      <w:pPr>
        <w:tabs>
          <w:tab w:val="num" w:pos="759"/>
        </w:tabs>
        <w:ind w:left="759" w:hanging="360"/>
      </w:pPr>
      <w:rPr>
        <w:rFonts w:cs="Times New Roman"/>
        <w:b/>
        <w:i w:val="0"/>
      </w:rPr>
    </w:lvl>
    <w:lvl w:ilvl="2" w:tplc="0C0A001B" w:tentative="1">
      <w:start w:val="1"/>
      <w:numFmt w:val="lowerRoman"/>
      <w:lvlText w:val="%3."/>
      <w:lvlJc w:val="right"/>
      <w:pPr>
        <w:tabs>
          <w:tab w:val="num" w:pos="2199"/>
        </w:tabs>
        <w:ind w:left="2199" w:hanging="180"/>
      </w:pPr>
      <w:rPr>
        <w:rFonts w:cs="Times New Roman"/>
      </w:rPr>
    </w:lvl>
    <w:lvl w:ilvl="3" w:tplc="0C0A000F" w:tentative="1">
      <w:start w:val="1"/>
      <w:numFmt w:val="decimal"/>
      <w:lvlText w:val="%4."/>
      <w:lvlJc w:val="left"/>
      <w:pPr>
        <w:tabs>
          <w:tab w:val="num" w:pos="2919"/>
        </w:tabs>
        <w:ind w:left="2919" w:hanging="360"/>
      </w:pPr>
      <w:rPr>
        <w:rFonts w:cs="Times New Roman"/>
      </w:rPr>
    </w:lvl>
    <w:lvl w:ilvl="4" w:tplc="0C0A0019" w:tentative="1">
      <w:start w:val="1"/>
      <w:numFmt w:val="lowerLetter"/>
      <w:lvlText w:val="%5."/>
      <w:lvlJc w:val="left"/>
      <w:pPr>
        <w:tabs>
          <w:tab w:val="num" w:pos="3639"/>
        </w:tabs>
        <w:ind w:left="3639" w:hanging="360"/>
      </w:pPr>
      <w:rPr>
        <w:rFonts w:cs="Times New Roman"/>
      </w:rPr>
    </w:lvl>
    <w:lvl w:ilvl="5" w:tplc="0C0A001B" w:tentative="1">
      <w:start w:val="1"/>
      <w:numFmt w:val="lowerRoman"/>
      <w:lvlText w:val="%6."/>
      <w:lvlJc w:val="right"/>
      <w:pPr>
        <w:tabs>
          <w:tab w:val="num" w:pos="4359"/>
        </w:tabs>
        <w:ind w:left="4359" w:hanging="180"/>
      </w:pPr>
      <w:rPr>
        <w:rFonts w:cs="Times New Roman"/>
      </w:rPr>
    </w:lvl>
    <w:lvl w:ilvl="6" w:tplc="0C0A000F" w:tentative="1">
      <w:start w:val="1"/>
      <w:numFmt w:val="decimal"/>
      <w:lvlText w:val="%7."/>
      <w:lvlJc w:val="left"/>
      <w:pPr>
        <w:tabs>
          <w:tab w:val="num" w:pos="5079"/>
        </w:tabs>
        <w:ind w:left="5079" w:hanging="360"/>
      </w:pPr>
      <w:rPr>
        <w:rFonts w:cs="Times New Roman"/>
      </w:rPr>
    </w:lvl>
    <w:lvl w:ilvl="7" w:tplc="0C0A0019" w:tentative="1">
      <w:start w:val="1"/>
      <w:numFmt w:val="lowerLetter"/>
      <w:lvlText w:val="%8."/>
      <w:lvlJc w:val="left"/>
      <w:pPr>
        <w:tabs>
          <w:tab w:val="num" w:pos="5799"/>
        </w:tabs>
        <w:ind w:left="5799" w:hanging="360"/>
      </w:pPr>
      <w:rPr>
        <w:rFonts w:cs="Times New Roman"/>
      </w:rPr>
    </w:lvl>
    <w:lvl w:ilvl="8" w:tplc="0C0A001B" w:tentative="1">
      <w:start w:val="1"/>
      <w:numFmt w:val="lowerRoman"/>
      <w:lvlText w:val="%9."/>
      <w:lvlJc w:val="right"/>
      <w:pPr>
        <w:tabs>
          <w:tab w:val="num" w:pos="6519"/>
        </w:tabs>
        <w:ind w:left="6519" w:hanging="180"/>
      </w:pPr>
      <w:rPr>
        <w:rFonts w:cs="Times New Roman"/>
      </w:rPr>
    </w:lvl>
  </w:abstractNum>
  <w:abstractNum w:abstractNumId="14">
    <w:nsid w:val="6B1B3925"/>
    <w:multiLevelType w:val="hybridMultilevel"/>
    <w:tmpl w:val="02A24F6A"/>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6B253C30"/>
    <w:multiLevelType w:val="hybridMultilevel"/>
    <w:tmpl w:val="C590E07A"/>
    <w:lvl w:ilvl="0" w:tplc="9C087324">
      <w:start w:val="1"/>
      <w:numFmt w:val="lowerLetter"/>
      <w:lvlText w:val="%1)"/>
      <w:lvlJc w:val="left"/>
      <w:pPr>
        <w:tabs>
          <w:tab w:val="num" w:pos="1485"/>
        </w:tabs>
        <w:ind w:left="1485" w:hanging="360"/>
      </w:pPr>
      <w:rPr>
        <w:rFonts w:cs="Times New Roman" w:hint="default"/>
        <w:b/>
        <w:i/>
      </w:rPr>
    </w:lvl>
    <w:lvl w:ilvl="1" w:tplc="0C0A0019" w:tentative="1">
      <w:start w:val="1"/>
      <w:numFmt w:val="lowerLetter"/>
      <w:lvlText w:val="%2."/>
      <w:lvlJc w:val="left"/>
      <w:pPr>
        <w:tabs>
          <w:tab w:val="num" w:pos="2205"/>
        </w:tabs>
        <w:ind w:left="2205" w:hanging="360"/>
      </w:pPr>
      <w:rPr>
        <w:rFonts w:cs="Times New Roman"/>
      </w:rPr>
    </w:lvl>
    <w:lvl w:ilvl="2" w:tplc="0C0A001B" w:tentative="1">
      <w:start w:val="1"/>
      <w:numFmt w:val="lowerRoman"/>
      <w:lvlText w:val="%3."/>
      <w:lvlJc w:val="right"/>
      <w:pPr>
        <w:tabs>
          <w:tab w:val="num" w:pos="2925"/>
        </w:tabs>
        <w:ind w:left="2925" w:hanging="180"/>
      </w:pPr>
      <w:rPr>
        <w:rFonts w:cs="Times New Roman"/>
      </w:rPr>
    </w:lvl>
    <w:lvl w:ilvl="3" w:tplc="0C0A000F" w:tentative="1">
      <w:start w:val="1"/>
      <w:numFmt w:val="decimal"/>
      <w:lvlText w:val="%4."/>
      <w:lvlJc w:val="left"/>
      <w:pPr>
        <w:tabs>
          <w:tab w:val="num" w:pos="3645"/>
        </w:tabs>
        <w:ind w:left="3645" w:hanging="360"/>
      </w:pPr>
      <w:rPr>
        <w:rFonts w:cs="Times New Roman"/>
      </w:rPr>
    </w:lvl>
    <w:lvl w:ilvl="4" w:tplc="0C0A0019" w:tentative="1">
      <w:start w:val="1"/>
      <w:numFmt w:val="lowerLetter"/>
      <w:lvlText w:val="%5."/>
      <w:lvlJc w:val="left"/>
      <w:pPr>
        <w:tabs>
          <w:tab w:val="num" w:pos="4365"/>
        </w:tabs>
        <w:ind w:left="4365" w:hanging="360"/>
      </w:pPr>
      <w:rPr>
        <w:rFonts w:cs="Times New Roman"/>
      </w:rPr>
    </w:lvl>
    <w:lvl w:ilvl="5" w:tplc="0C0A001B" w:tentative="1">
      <w:start w:val="1"/>
      <w:numFmt w:val="lowerRoman"/>
      <w:lvlText w:val="%6."/>
      <w:lvlJc w:val="right"/>
      <w:pPr>
        <w:tabs>
          <w:tab w:val="num" w:pos="5085"/>
        </w:tabs>
        <w:ind w:left="5085" w:hanging="180"/>
      </w:pPr>
      <w:rPr>
        <w:rFonts w:cs="Times New Roman"/>
      </w:rPr>
    </w:lvl>
    <w:lvl w:ilvl="6" w:tplc="0C0A000F" w:tentative="1">
      <w:start w:val="1"/>
      <w:numFmt w:val="decimal"/>
      <w:lvlText w:val="%7."/>
      <w:lvlJc w:val="left"/>
      <w:pPr>
        <w:tabs>
          <w:tab w:val="num" w:pos="5805"/>
        </w:tabs>
        <w:ind w:left="5805" w:hanging="360"/>
      </w:pPr>
      <w:rPr>
        <w:rFonts w:cs="Times New Roman"/>
      </w:rPr>
    </w:lvl>
    <w:lvl w:ilvl="7" w:tplc="0C0A0019" w:tentative="1">
      <w:start w:val="1"/>
      <w:numFmt w:val="lowerLetter"/>
      <w:lvlText w:val="%8."/>
      <w:lvlJc w:val="left"/>
      <w:pPr>
        <w:tabs>
          <w:tab w:val="num" w:pos="6525"/>
        </w:tabs>
        <w:ind w:left="6525" w:hanging="360"/>
      </w:pPr>
      <w:rPr>
        <w:rFonts w:cs="Times New Roman"/>
      </w:rPr>
    </w:lvl>
    <w:lvl w:ilvl="8" w:tplc="0C0A001B" w:tentative="1">
      <w:start w:val="1"/>
      <w:numFmt w:val="lowerRoman"/>
      <w:lvlText w:val="%9."/>
      <w:lvlJc w:val="right"/>
      <w:pPr>
        <w:tabs>
          <w:tab w:val="num" w:pos="7245"/>
        </w:tabs>
        <w:ind w:left="7245" w:hanging="180"/>
      </w:pPr>
      <w:rPr>
        <w:rFonts w:cs="Times New Roman"/>
      </w:rPr>
    </w:lvl>
  </w:abstractNum>
  <w:abstractNum w:abstractNumId="16">
    <w:nsid w:val="6C7F18B3"/>
    <w:multiLevelType w:val="hybridMultilevel"/>
    <w:tmpl w:val="66A432D6"/>
    <w:lvl w:ilvl="0" w:tplc="0C0A0019">
      <w:start w:val="1"/>
      <w:numFmt w:val="lowerLetter"/>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7">
    <w:nsid w:val="6FA7375C"/>
    <w:multiLevelType w:val="hybridMultilevel"/>
    <w:tmpl w:val="8E107BB4"/>
    <w:lvl w:ilvl="0" w:tplc="0C0A000D">
      <w:start w:val="1"/>
      <w:numFmt w:val="bullet"/>
      <w:lvlText w:val=""/>
      <w:lvlJc w:val="left"/>
      <w:pPr>
        <w:tabs>
          <w:tab w:val="num" w:pos="2943"/>
        </w:tabs>
        <w:ind w:left="2943" w:hanging="360"/>
      </w:pPr>
      <w:rPr>
        <w:rFonts w:ascii="Wingdings" w:hAnsi="Wingdings" w:hint="default"/>
      </w:rPr>
    </w:lvl>
    <w:lvl w:ilvl="1" w:tplc="0C0A0003" w:tentative="1">
      <w:start w:val="1"/>
      <w:numFmt w:val="bullet"/>
      <w:lvlText w:val="o"/>
      <w:lvlJc w:val="left"/>
      <w:pPr>
        <w:tabs>
          <w:tab w:val="num" w:pos="3663"/>
        </w:tabs>
        <w:ind w:left="3663" w:hanging="360"/>
      </w:pPr>
      <w:rPr>
        <w:rFonts w:ascii="Courier New" w:hAnsi="Courier New" w:hint="default"/>
      </w:rPr>
    </w:lvl>
    <w:lvl w:ilvl="2" w:tplc="0C0A0005" w:tentative="1">
      <w:start w:val="1"/>
      <w:numFmt w:val="bullet"/>
      <w:lvlText w:val=""/>
      <w:lvlJc w:val="left"/>
      <w:pPr>
        <w:tabs>
          <w:tab w:val="num" w:pos="4383"/>
        </w:tabs>
        <w:ind w:left="4383" w:hanging="360"/>
      </w:pPr>
      <w:rPr>
        <w:rFonts w:ascii="Wingdings" w:hAnsi="Wingdings" w:hint="default"/>
      </w:rPr>
    </w:lvl>
    <w:lvl w:ilvl="3" w:tplc="0C0A0001" w:tentative="1">
      <w:start w:val="1"/>
      <w:numFmt w:val="bullet"/>
      <w:lvlText w:val=""/>
      <w:lvlJc w:val="left"/>
      <w:pPr>
        <w:tabs>
          <w:tab w:val="num" w:pos="5103"/>
        </w:tabs>
        <w:ind w:left="5103" w:hanging="360"/>
      </w:pPr>
      <w:rPr>
        <w:rFonts w:ascii="Symbol" w:hAnsi="Symbol" w:hint="default"/>
      </w:rPr>
    </w:lvl>
    <w:lvl w:ilvl="4" w:tplc="0C0A0003" w:tentative="1">
      <w:start w:val="1"/>
      <w:numFmt w:val="bullet"/>
      <w:lvlText w:val="o"/>
      <w:lvlJc w:val="left"/>
      <w:pPr>
        <w:tabs>
          <w:tab w:val="num" w:pos="5823"/>
        </w:tabs>
        <w:ind w:left="5823" w:hanging="360"/>
      </w:pPr>
      <w:rPr>
        <w:rFonts w:ascii="Courier New" w:hAnsi="Courier New" w:hint="default"/>
      </w:rPr>
    </w:lvl>
    <w:lvl w:ilvl="5" w:tplc="0C0A0005" w:tentative="1">
      <w:start w:val="1"/>
      <w:numFmt w:val="bullet"/>
      <w:lvlText w:val=""/>
      <w:lvlJc w:val="left"/>
      <w:pPr>
        <w:tabs>
          <w:tab w:val="num" w:pos="6543"/>
        </w:tabs>
        <w:ind w:left="6543" w:hanging="360"/>
      </w:pPr>
      <w:rPr>
        <w:rFonts w:ascii="Wingdings" w:hAnsi="Wingdings" w:hint="default"/>
      </w:rPr>
    </w:lvl>
    <w:lvl w:ilvl="6" w:tplc="0C0A0001" w:tentative="1">
      <w:start w:val="1"/>
      <w:numFmt w:val="bullet"/>
      <w:lvlText w:val=""/>
      <w:lvlJc w:val="left"/>
      <w:pPr>
        <w:tabs>
          <w:tab w:val="num" w:pos="7263"/>
        </w:tabs>
        <w:ind w:left="7263" w:hanging="360"/>
      </w:pPr>
      <w:rPr>
        <w:rFonts w:ascii="Symbol" w:hAnsi="Symbol" w:hint="default"/>
      </w:rPr>
    </w:lvl>
    <w:lvl w:ilvl="7" w:tplc="0C0A0003" w:tentative="1">
      <w:start w:val="1"/>
      <w:numFmt w:val="bullet"/>
      <w:lvlText w:val="o"/>
      <w:lvlJc w:val="left"/>
      <w:pPr>
        <w:tabs>
          <w:tab w:val="num" w:pos="7983"/>
        </w:tabs>
        <w:ind w:left="7983" w:hanging="360"/>
      </w:pPr>
      <w:rPr>
        <w:rFonts w:ascii="Courier New" w:hAnsi="Courier New" w:hint="default"/>
      </w:rPr>
    </w:lvl>
    <w:lvl w:ilvl="8" w:tplc="0C0A0005" w:tentative="1">
      <w:start w:val="1"/>
      <w:numFmt w:val="bullet"/>
      <w:lvlText w:val=""/>
      <w:lvlJc w:val="left"/>
      <w:pPr>
        <w:tabs>
          <w:tab w:val="num" w:pos="8703"/>
        </w:tabs>
        <w:ind w:left="8703" w:hanging="360"/>
      </w:pPr>
      <w:rPr>
        <w:rFonts w:ascii="Wingdings" w:hAnsi="Wingdings" w:hint="default"/>
      </w:rPr>
    </w:lvl>
  </w:abstractNum>
  <w:abstractNum w:abstractNumId="18">
    <w:nsid w:val="7663757E"/>
    <w:multiLevelType w:val="hybridMultilevel"/>
    <w:tmpl w:val="0E124AA8"/>
    <w:lvl w:ilvl="0" w:tplc="79B6DFC0">
      <w:start w:val="1"/>
      <w:numFmt w:val="decimal"/>
      <w:lvlText w:val="%1)"/>
      <w:lvlJc w:val="left"/>
      <w:pPr>
        <w:tabs>
          <w:tab w:val="num" w:pos="720"/>
        </w:tabs>
        <w:ind w:left="720" w:hanging="360"/>
      </w:pPr>
      <w:rPr>
        <w:rFonts w:cs="Times New Roman"/>
        <w:b/>
      </w:rPr>
    </w:lvl>
    <w:lvl w:ilvl="1" w:tplc="64DEF260">
      <w:start w:val="1"/>
      <w:numFmt w:val="lowerLetter"/>
      <w:lvlText w:val="%2)"/>
      <w:lvlJc w:val="left"/>
      <w:pPr>
        <w:tabs>
          <w:tab w:val="num" w:pos="1440"/>
        </w:tabs>
        <w:ind w:left="1440" w:hanging="360"/>
      </w:pPr>
      <w:rPr>
        <w:rFonts w:cs="Times New Roman"/>
        <w:b/>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9">
    <w:nsid w:val="791567AA"/>
    <w:multiLevelType w:val="hybridMultilevel"/>
    <w:tmpl w:val="3D044206"/>
    <w:lvl w:ilvl="0" w:tplc="5958FA46">
      <w:start w:val="1"/>
      <w:numFmt w:val="decimal"/>
      <w:lvlText w:val="%1."/>
      <w:lvlJc w:val="left"/>
      <w:pPr>
        <w:tabs>
          <w:tab w:val="num" w:pos="1428"/>
        </w:tabs>
        <w:ind w:left="1428" w:hanging="360"/>
      </w:pPr>
      <w:rPr>
        <w:rFonts w:cs="Times New Roman"/>
        <w:b/>
      </w:rPr>
    </w:lvl>
    <w:lvl w:ilvl="1" w:tplc="0C0A000F">
      <w:start w:val="1"/>
      <w:numFmt w:val="decimal"/>
      <w:lvlText w:val="%2."/>
      <w:lvlJc w:val="left"/>
      <w:pPr>
        <w:tabs>
          <w:tab w:val="num" w:pos="2148"/>
        </w:tabs>
        <w:ind w:left="2148" w:hanging="360"/>
      </w:pPr>
      <w:rPr>
        <w:rFonts w:cs="Times New Roman"/>
        <w:b/>
      </w:rPr>
    </w:lvl>
    <w:lvl w:ilvl="2" w:tplc="0C0A0017">
      <w:start w:val="1"/>
      <w:numFmt w:val="lowerLetter"/>
      <w:lvlText w:val="%3)"/>
      <w:lvlJc w:val="left"/>
      <w:pPr>
        <w:tabs>
          <w:tab w:val="num" w:pos="3048"/>
        </w:tabs>
        <w:ind w:left="3048" w:hanging="360"/>
      </w:pPr>
      <w:rPr>
        <w:rFonts w:cs="Times New Roman"/>
        <w:b/>
      </w:rPr>
    </w:lvl>
    <w:lvl w:ilvl="3" w:tplc="0C0A000F" w:tentative="1">
      <w:start w:val="1"/>
      <w:numFmt w:val="decimal"/>
      <w:lvlText w:val="%4."/>
      <w:lvlJc w:val="left"/>
      <w:pPr>
        <w:tabs>
          <w:tab w:val="num" w:pos="3588"/>
        </w:tabs>
        <w:ind w:left="3588" w:hanging="360"/>
      </w:pPr>
      <w:rPr>
        <w:rFonts w:cs="Times New Roman"/>
      </w:rPr>
    </w:lvl>
    <w:lvl w:ilvl="4" w:tplc="0C0A0019" w:tentative="1">
      <w:start w:val="1"/>
      <w:numFmt w:val="lowerLetter"/>
      <w:lvlText w:val="%5."/>
      <w:lvlJc w:val="left"/>
      <w:pPr>
        <w:tabs>
          <w:tab w:val="num" w:pos="4308"/>
        </w:tabs>
        <w:ind w:left="4308" w:hanging="360"/>
      </w:pPr>
      <w:rPr>
        <w:rFonts w:cs="Times New Roman"/>
      </w:rPr>
    </w:lvl>
    <w:lvl w:ilvl="5" w:tplc="0C0A001B" w:tentative="1">
      <w:start w:val="1"/>
      <w:numFmt w:val="lowerRoman"/>
      <w:lvlText w:val="%6."/>
      <w:lvlJc w:val="right"/>
      <w:pPr>
        <w:tabs>
          <w:tab w:val="num" w:pos="5028"/>
        </w:tabs>
        <w:ind w:left="5028" w:hanging="180"/>
      </w:pPr>
      <w:rPr>
        <w:rFonts w:cs="Times New Roman"/>
      </w:rPr>
    </w:lvl>
    <w:lvl w:ilvl="6" w:tplc="0C0A000F" w:tentative="1">
      <w:start w:val="1"/>
      <w:numFmt w:val="decimal"/>
      <w:lvlText w:val="%7."/>
      <w:lvlJc w:val="left"/>
      <w:pPr>
        <w:tabs>
          <w:tab w:val="num" w:pos="5748"/>
        </w:tabs>
        <w:ind w:left="5748" w:hanging="360"/>
      </w:pPr>
      <w:rPr>
        <w:rFonts w:cs="Times New Roman"/>
      </w:rPr>
    </w:lvl>
    <w:lvl w:ilvl="7" w:tplc="0C0A0019" w:tentative="1">
      <w:start w:val="1"/>
      <w:numFmt w:val="lowerLetter"/>
      <w:lvlText w:val="%8."/>
      <w:lvlJc w:val="left"/>
      <w:pPr>
        <w:tabs>
          <w:tab w:val="num" w:pos="6468"/>
        </w:tabs>
        <w:ind w:left="6468" w:hanging="360"/>
      </w:pPr>
      <w:rPr>
        <w:rFonts w:cs="Times New Roman"/>
      </w:rPr>
    </w:lvl>
    <w:lvl w:ilvl="8" w:tplc="0C0A001B" w:tentative="1">
      <w:start w:val="1"/>
      <w:numFmt w:val="lowerRoman"/>
      <w:lvlText w:val="%9."/>
      <w:lvlJc w:val="right"/>
      <w:pPr>
        <w:tabs>
          <w:tab w:val="num" w:pos="7188"/>
        </w:tabs>
        <w:ind w:left="7188" w:hanging="180"/>
      </w:pPr>
      <w:rPr>
        <w:rFonts w:cs="Times New Roman"/>
      </w:rPr>
    </w:lvl>
  </w:abstractNum>
  <w:num w:numId="1">
    <w:abstractNumId w:val="13"/>
  </w:num>
  <w:num w:numId="2">
    <w:abstractNumId w:val="1"/>
  </w:num>
  <w:num w:numId="3">
    <w:abstractNumId w:val="4"/>
  </w:num>
  <w:num w:numId="4">
    <w:abstractNumId w:val="19"/>
  </w:num>
  <w:num w:numId="5">
    <w:abstractNumId w:val="9"/>
  </w:num>
  <w:num w:numId="6">
    <w:abstractNumId w:val="8"/>
  </w:num>
  <w:num w:numId="7">
    <w:abstractNumId w:val="18"/>
  </w:num>
  <w:num w:numId="8">
    <w:abstractNumId w:val="16"/>
  </w:num>
  <w:num w:numId="9">
    <w:abstractNumId w:val="7"/>
  </w:num>
  <w:num w:numId="10">
    <w:abstractNumId w:val="5"/>
  </w:num>
  <w:num w:numId="11">
    <w:abstractNumId w:val="14"/>
  </w:num>
  <w:num w:numId="12">
    <w:abstractNumId w:val="2"/>
  </w:num>
  <w:num w:numId="13">
    <w:abstractNumId w:val="15"/>
  </w:num>
  <w:num w:numId="14">
    <w:abstractNumId w:val="3"/>
  </w:num>
  <w:num w:numId="15">
    <w:abstractNumId w:val="11"/>
  </w:num>
  <w:num w:numId="16">
    <w:abstractNumId w:val="0"/>
  </w:num>
  <w:num w:numId="17">
    <w:abstractNumId w:val="6"/>
  </w:num>
  <w:num w:numId="18">
    <w:abstractNumId w:val="10"/>
  </w:num>
  <w:num w:numId="19">
    <w:abstractNumId w:val="17"/>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4A0D"/>
    <w:rsid w:val="00002864"/>
    <w:rsid w:val="000063AD"/>
    <w:rsid w:val="000409DA"/>
    <w:rsid w:val="00047B30"/>
    <w:rsid w:val="0007374E"/>
    <w:rsid w:val="00073FBF"/>
    <w:rsid w:val="00084F2E"/>
    <w:rsid w:val="00086A69"/>
    <w:rsid w:val="000A00B3"/>
    <w:rsid w:val="000A126C"/>
    <w:rsid w:val="000A57EC"/>
    <w:rsid w:val="000A5AA5"/>
    <w:rsid w:val="000B0785"/>
    <w:rsid w:val="000B0B29"/>
    <w:rsid w:val="000B3DE8"/>
    <w:rsid w:val="000C31C9"/>
    <w:rsid w:val="000D0210"/>
    <w:rsid w:val="000D34D9"/>
    <w:rsid w:val="000D3FB5"/>
    <w:rsid w:val="000D7199"/>
    <w:rsid w:val="000E25C0"/>
    <w:rsid w:val="000F2DAB"/>
    <w:rsid w:val="000F40A2"/>
    <w:rsid w:val="00100F21"/>
    <w:rsid w:val="00107C19"/>
    <w:rsid w:val="00141631"/>
    <w:rsid w:val="00147E51"/>
    <w:rsid w:val="00151807"/>
    <w:rsid w:val="00153614"/>
    <w:rsid w:val="001548F1"/>
    <w:rsid w:val="001627A9"/>
    <w:rsid w:val="001744D0"/>
    <w:rsid w:val="001836E7"/>
    <w:rsid w:val="001B77E6"/>
    <w:rsid w:val="001C39AB"/>
    <w:rsid w:val="001C59CD"/>
    <w:rsid w:val="001D4122"/>
    <w:rsid w:val="001D7A4A"/>
    <w:rsid w:val="001E2AA3"/>
    <w:rsid w:val="001E4ED8"/>
    <w:rsid w:val="00205B0C"/>
    <w:rsid w:val="00206490"/>
    <w:rsid w:val="00206D8E"/>
    <w:rsid w:val="00211373"/>
    <w:rsid w:val="00242EEF"/>
    <w:rsid w:val="002451DF"/>
    <w:rsid w:val="00246CCE"/>
    <w:rsid w:val="002656B3"/>
    <w:rsid w:val="00275F80"/>
    <w:rsid w:val="00281711"/>
    <w:rsid w:val="00281811"/>
    <w:rsid w:val="00287BEC"/>
    <w:rsid w:val="00293F23"/>
    <w:rsid w:val="002A0BE3"/>
    <w:rsid w:val="002B0D33"/>
    <w:rsid w:val="002C1FA3"/>
    <w:rsid w:val="002C4A6C"/>
    <w:rsid w:val="002E1788"/>
    <w:rsid w:val="002E44FB"/>
    <w:rsid w:val="002E6805"/>
    <w:rsid w:val="002F2B43"/>
    <w:rsid w:val="002F7CC1"/>
    <w:rsid w:val="003042B4"/>
    <w:rsid w:val="00304B87"/>
    <w:rsid w:val="00305772"/>
    <w:rsid w:val="003077DF"/>
    <w:rsid w:val="00310D42"/>
    <w:rsid w:val="00315249"/>
    <w:rsid w:val="003254F4"/>
    <w:rsid w:val="00325D08"/>
    <w:rsid w:val="00325E6F"/>
    <w:rsid w:val="00333CC8"/>
    <w:rsid w:val="003374C7"/>
    <w:rsid w:val="00353F61"/>
    <w:rsid w:val="00356A4A"/>
    <w:rsid w:val="00372989"/>
    <w:rsid w:val="00373015"/>
    <w:rsid w:val="00380F7B"/>
    <w:rsid w:val="0038464D"/>
    <w:rsid w:val="00384B72"/>
    <w:rsid w:val="00394423"/>
    <w:rsid w:val="00396F8C"/>
    <w:rsid w:val="003A0F8F"/>
    <w:rsid w:val="003A2112"/>
    <w:rsid w:val="003C54A4"/>
    <w:rsid w:val="003C5D94"/>
    <w:rsid w:val="003C63A3"/>
    <w:rsid w:val="003C6B49"/>
    <w:rsid w:val="003D0823"/>
    <w:rsid w:val="003F0577"/>
    <w:rsid w:val="003F5416"/>
    <w:rsid w:val="004006C4"/>
    <w:rsid w:val="00401890"/>
    <w:rsid w:val="0040208B"/>
    <w:rsid w:val="0041745C"/>
    <w:rsid w:val="004208A3"/>
    <w:rsid w:val="00420DD9"/>
    <w:rsid w:val="004235A7"/>
    <w:rsid w:val="004400E5"/>
    <w:rsid w:val="00440C1E"/>
    <w:rsid w:val="00465723"/>
    <w:rsid w:val="0049001B"/>
    <w:rsid w:val="00490E81"/>
    <w:rsid w:val="004939B3"/>
    <w:rsid w:val="004947F7"/>
    <w:rsid w:val="004A3192"/>
    <w:rsid w:val="004A3212"/>
    <w:rsid w:val="004B0DF3"/>
    <w:rsid w:val="004B1BA5"/>
    <w:rsid w:val="004B31D1"/>
    <w:rsid w:val="004C28F1"/>
    <w:rsid w:val="004D7AC9"/>
    <w:rsid w:val="004E04EA"/>
    <w:rsid w:val="004E4F74"/>
    <w:rsid w:val="004E5686"/>
    <w:rsid w:val="004E7E79"/>
    <w:rsid w:val="004F2160"/>
    <w:rsid w:val="004F6FAC"/>
    <w:rsid w:val="005047AD"/>
    <w:rsid w:val="00511C0B"/>
    <w:rsid w:val="00512D43"/>
    <w:rsid w:val="0054103D"/>
    <w:rsid w:val="0054193F"/>
    <w:rsid w:val="00544A07"/>
    <w:rsid w:val="00550061"/>
    <w:rsid w:val="005511FF"/>
    <w:rsid w:val="0056216D"/>
    <w:rsid w:val="005660AE"/>
    <w:rsid w:val="00571D48"/>
    <w:rsid w:val="00573D0B"/>
    <w:rsid w:val="00585398"/>
    <w:rsid w:val="00591292"/>
    <w:rsid w:val="005C02F8"/>
    <w:rsid w:val="005C517E"/>
    <w:rsid w:val="005D2057"/>
    <w:rsid w:val="005E5A0D"/>
    <w:rsid w:val="005E7DF2"/>
    <w:rsid w:val="005F43C4"/>
    <w:rsid w:val="00604C2A"/>
    <w:rsid w:val="00604E5F"/>
    <w:rsid w:val="00625003"/>
    <w:rsid w:val="006333CE"/>
    <w:rsid w:val="006503E9"/>
    <w:rsid w:val="006712BD"/>
    <w:rsid w:val="0068642B"/>
    <w:rsid w:val="00692506"/>
    <w:rsid w:val="00696BA2"/>
    <w:rsid w:val="006A22B9"/>
    <w:rsid w:val="006A2657"/>
    <w:rsid w:val="006A5CE9"/>
    <w:rsid w:val="006B1401"/>
    <w:rsid w:val="006D61B7"/>
    <w:rsid w:val="006E2B86"/>
    <w:rsid w:val="006E7580"/>
    <w:rsid w:val="006F0081"/>
    <w:rsid w:val="006F0B54"/>
    <w:rsid w:val="00704348"/>
    <w:rsid w:val="007050D2"/>
    <w:rsid w:val="00715B89"/>
    <w:rsid w:val="007223CC"/>
    <w:rsid w:val="0072363E"/>
    <w:rsid w:val="00730294"/>
    <w:rsid w:val="00765EB6"/>
    <w:rsid w:val="007801D1"/>
    <w:rsid w:val="00782D89"/>
    <w:rsid w:val="00785FC1"/>
    <w:rsid w:val="00794277"/>
    <w:rsid w:val="00797373"/>
    <w:rsid w:val="007A358D"/>
    <w:rsid w:val="007A7B06"/>
    <w:rsid w:val="007B4DD1"/>
    <w:rsid w:val="007C21A1"/>
    <w:rsid w:val="007C4782"/>
    <w:rsid w:val="007C63E1"/>
    <w:rsid w:val="007C6DD7"/>
    <w:rsid w:val="007D54E2"/>
    <w:rsid w:val="007F237B"/>
    <w:rsid w:val="007F46DF"/>
    <w:rsid w:val="008039DD"/>
    <w:rsid w:val="00803E18"/>
    <w:rsid w:val="0080788E"/>
    <w:rsid w:val="00810DFD"/>
    <w:rsid w:val="00842681"/>
    <w:rsid w:val="0084636E"/>
    <w:rsid w:val="00846DA2"/>
    <w:rsid w:val="00847D4E"/>
    <w:rsid w:val="0085292D"/>
    <w:rsid w:val="00855F3C"/>
    <w:rsid w:val="00856E9E"/>
    <w:rsid w:val="0086382B"/>
    <w:rsid w:val="00877ED0"/>
    <w:rsid w:val="008877E0"/>
    <w:rsid w:val="00892D14"/>
    <w:rsid w:val="008955A6"/>
    <w:rsid w:val="008A2E3B"/>
    <w:rsid w:val="008B0E68"/>
    <w:rsid w:val="008B3EAF"/>
    <w:rsid w:val="008D0333"/>
    <w:rsid w:val="008D0F38"/>
    <w:rsid w:val="008D24AF"/>
    <w:rsid w:val="008D3AA7"/>
    <w:rsid w:val="008D77A7"/>
    <w:rsid w:val="008E2045"/>
    <w:rsid w:val="008F29F4"/>
    <w:rsid w:val="008F522D"/>
    <w:rsid w:val="008F7C12"/>
    <w:rsid w:val="00900239"/>
    <w:rsid w:val="009064E9"/>
    <w:rsid w:val="0093220A"/>
    <w:rsid w:val="009374DA"/>
    <w:rsid w:val="00962702"/>
    <w:rsid w:val="009B71E4"/>
    <w:rsid w:val="009C0899"/>
    <w:rsid w:val="009D4247"/>
    <w:rsid w:val="009D5BEE"/>
    <w:rsid w:val="009D6593"/>
    <w:rsid w:val="009E68A4"/>
    <w:rsid w:val="009F2BBE"/>
    <w:rsid w:val="00A10161"/>
    <w:rsid w:val="00A32FFC"/>
    <w:rsid w:val="00A36CA9"/>
    <w:rsid w:val="00A45797"/>
    <w:rsid w:val="00A55A6E"/>
    <w:rsid w:val="00A61C4F"/>
    <w:rsid w:val="00A62029"/>
    <w:rsid w:val="00A70320"/>
    <w:rsid w:val="00A75D78"/>
    <w:rsid w:val="00A81BA4"/>
    <w:rsid w:val="00A83001"/>
    <w:rsid w:val="00A83064"/>
    <w:rsid w:val="00A85364"/>
    <w:rsid w:val="00A94A0D"/>
    <w:rsid w:val="00AA15E3"/>
    <w:rsid w:val="00AB638A"/>
    <w:rsid w:val="00AB7655"/>
    <w:rsid w:val="00AD0CD9"/>
    <w:rsid w:val="00AD3DA9"/>
    <w:rsid w:val="00AE276B"/>
    <w:rsid w:val="00AF4117"/>
    <w:rsid w:val="00B06B5F"/>
    <w:rsid w:val="00B1649E"/>
    <w:rsid w:val="00B23C57"/>
    <w:rsid w:val="00B32DD6"/>
    <w:rsid w:val="00B34F49"/>
    <w:rsid w:val="00B35574"/>
    <w:rsid w:val="00B37276"/>
    <w:rsid w:val="00B63B82"/>
    <w:rsid w:val="00B8006D"/>
    <w:rsid w:val="00B83523"/>
    <w:rsid w:val="00B91C27"/>
    <w:rsid w:val="00B92AFC"/>
    <w:rsid w:val="00BA314B"/>
    <w:rsid w:val="00BB2064"/>
    <w:rsid w:val="00BB26BF"/>
    <w:rsid w:val="00BB5041"/>
    <w:rsid w:val="00BE20F9"/>
    <w:rsid w:val="00BE25A9"/>
    <w:rsid w:val="00BE3AC8"/>
    <w:rsid w:val="00BE6CC6"/>
    <w:rsid w:val="00BF1C37"/>
    <w:rsid w:val="00C100DF"/>
    <w:rsid w:val="00C106FB"/>
    <w:rsid w:val="00C20AF9"/>
    <w:rsid w:val="00C37F03"/>
    <w:rsid w:val="00C4124C"/>
    <w:rsid w:val="00C434A7"/>
    <w:rsid w:val="00C46533"/>
    <w:rsid w:val="00C47978"/>
    <w:rsid w:val="00C648B4"/>
    <w:rsid w:val="00CB5904"/>
    <w:rsid w:val="00CC1E6A"/>
    <w:rsid w:val="00CD285D"/>
    <w:rsid w:val="00CD72CE"/>
    <w:rsid w:val="00CD783D"/>
    <w:rsid w:val="00CE21D9"/>
    <w:rsid w:val="00CE3411"/>
    <w:rsid w:val="00CE388A"/>
    <w:rsid w:val="00CF3C7C"/>
    <w:rsid w:val="00D131B8"/>
    <w:rsid w:val="00D22027"/>
    <w:rsid w:val="00D26D13"/>
    <w:rsid w:val="00D424E1"/>
    <w:rsid w:val="00D4498F"/>
    <w:rsid w:val="00D458A0"/>
    <w:rsid w:val="00D52D6A"/>
    <w:rsid w:val="00D53EB5"/>
    <w:rsid w:val="00D57224"/>
    <w:rsid w:val="00D57771"/>
    <w:rsid w:val="00D73C61"/>
    <w:rsid w:val="00D83D18"/>
    <w:rsid w:val="00D95A55"/>
    <w:rsid w:val="00D96A39"/>
    <w:rsid w:val="00D97488"/>
    <w:rsid w:val="00DA1ECE"/>
    <w:rsid w:val="00DA4770"/>
    <w:rsid w:val="00DA4D2D"/>
    <w:rsid w:val="00DA51EE"/>
    <w:rsid w:val="00DB654E"/>
    <w:rsid w:val="00DC0CEF"/>
    <w:rsid w:val="00DC305C"/>
    <w:rsid w:val="00DC69E4"/>
    <w:rsid w:val="00DE051C"/>
    <w:rsid w:val="00DF06CC"/>
    <w:rsid w:val="00E01385"/>
    <w:rsid w:val="00E0194E"/>
    <w:rsid w:val="00E02027"/>
    <w:rsid w:val="00E0608C"/>
    <w:rsid w:val="00E1166A"/>
    <w:rsid w:val="00E32A85"/>
    <w:rsid w:val="00E36AA5"/>
    <w:rsid w:val="00E37918"/>
    <w:rsid w:val="00E521A1"/>
    <w:rsid w:val="00E52500"/>
    <w:rsid w:val="00E53811"/>
    <w:rsid w:val="00E538D2"/>
    <w:rsid w:val="00E610AE"/>
    <w:rsid w:val="00E640F5"/>
    <w:rsid w:val="00E81456"/>
    <w:rsid w:val="00EA001E"/>
    <w:rsid w:val="00EA1E85"/>
    <w:rsid w:val="00EB3E74"/>
    <w:rsid w:val="00EC311B"/>
    <w:rsid w:val="00EE26DD"/>
    <w:rsid w:val="00EE7249"/>
    <w:rsid w:val="00EF788C"/>
    <w:rsid w:val="00F1465D"/>
    <w:rsid w:val="00F201F5"/>
    <w:rsid w:val="00F41398"/>
    <w:rsid w:val="00F43B14"/>
    <w:rsid w:val="00F46F03"/>
    <w:rsid w:val="00F75166"/>
    <w:rsid w:val="00F825ED"/>
    <w:rsid w:val="00F832A7"/>
    <w:rsid w:val="00F91945"/>
    <w:rsid w:val="00FA157C"/>
    <w:rsid w:val="00FD0C47"/>
    <w:rsid w:val="00FD3FFD"/>
    <w:rsid w:val="00FD799A"/>
    <w:rsid w:val="00FF35EA"/>
  </w:rsids>
  <m:mathPr>
    <m:mathFont m:val="Cambria Math"/>
    <m:brkBin m:val="before"/>
    <m:brkBinSub m:val="--"/>
    <m:smallFrac m:val="off"/>
    <m:dispDef/>
    <m:lMargin m:val="0"/>
    <m:rMargin m:val="0"/>
    <m:defJc m:val="centerGroup"/>
    <m:wrapIndent m:val="1440"/>
    <m:intLim m:val="subSup"/>
    <m:naryLim m:val="undOvr"/>
  </m:mathPr>
  <w:uiCompat97To2003/>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AR" w:eastAsia="es-A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A0D"/>
    <w:rPr>
      <w:rFonts w:ascii="Times New Roman" w:eastAsia="Times New Roman" w:hAnsi="Times New Roman"/>
      <w:sz w:val="24"/>
      <w:szCs w:val="24"/>
      <w:lang w:val="es-ES" w:eastAsia="es-E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94A0D"/>
    <w:pPr>
      <w:spacing w:before="100" w:beforeAutospacing="1" w:after="100" w:afterAutospacing="1"/>
    </w:pPr>
  </w:style>
  <w:style w:type="paragraph" w:styleId="FootnoteText">
    <w:name w:val="footnote text"/>
    <w:basedOn w:val="Normal"/>
    <w:link w:val="FootnoteTextChar"/>
    <w:uiPriority w:val="99"/>
    <w:semiHidden/>
    <w:rsid w:val="00A94A0D"/>
    <w:rPr>
      <w:sz w:val="20"/>
      <w:szCs w:val="20"/>
    </w:rPr>
  </w:style>
  <w:style w:type="character" w:customStyle="1" w:styleId="FootnoteTextChar">
    <w:name w:val="Footnote Text Char"/>
    <w:basedOn w:val="DefaultParagraphFont"/>
    <w:link w:val="FootnoteText"/>
    <w:uiPriority w:val="99"/>
    <w:semiHidden/>
    <w:locked/>
    <w:rsid w:val="00A94A0D"/>
    <w:rPr>
      <w:rFonts w:ascii="Times New Roman" w:hAnsi="Times New Roman" w:cs="Times New Roman"/>
      <w:sz w:val="20"/>
      <w:szCs w:val="20"/>
      <w:lang w:val="es-ES" w:eastAsia="es-ES"/>
    </w:rPr>
  </w:style>
  <w:style w:type="character" w:styleId="FootnoteReference">
    <w:name w:val="footnote reference"/>
    <w:basedOn w:val="DefaultParagraphFont"/>
    <w:uiPriority w:val="99"/>
    <w:semiHidden/>
    <w:rsid w:val="00A94A0D"/>
    <w:rPr>
      <w:rFonts w:cs="Times New Roman"/>
      <w:vertAlign w:val="superscript"/>
    </w:rPr>
  </w:style>
  <w:style w:type="paragraph" w:styleId="Footer">
    <w:name w:val="footer"/>
    <w:basedOn w:val="Normal"/>
    <w:link w:val="FooterChar"/>
    <w:uiPriority w:val="99"/>
    <w:rsid w:val="00A94A0D"/>
    <w:pPr>
      <w:tabs>
        <w:tab w:val="center" w:pos="4252"/>
        <w:tab w:val="right" w:pos="8504"/>
      </w:tabs>
    </w:pPr>
  </w:style>
  <w:style w:type="character" w:customStyle="1" w:styleId="FooterChar">
    <w:name w:val="Footer Char"/>
    <w:basedOn w:val="DefaultParagraphFont"/>
    <w:link w:val="Footer"/>
    <w:uiPriority w:val="99"/>
    <w:locked/>
    <w:rsid w:val="00A94A0D"/>
    <w:rPr>
      <w:rFonts w:ascii="Times New Roman" w:hAnsi="Times New Roman" w:cs="Times New Roman"/>
      <w:sz w:val="24"/>
      <w:szCs w:val="24"/>
      <w:lang w:val="es-ES" w:eastAsia="es-ES"/>
    </w:rPr>
  </w:style>
  <w:style w:type="character" w:styleId="PageNumber">
    <w:name w:val="page number"/>
    <w:basedOn w:val="DefaultParagraphFont"/>
    <w:uiPriority w:val="99"/>
    <w:rsid w:val="00A94A0D"/>
    <w:rPr>
      <w:rFonts w:cs="Times New Roman"/>
    </w:rPr>
  </w:style>
  <w:style w:type="paragraph" w:styleId="EndnoteText">
    <w:name w:val="endnote text"/>
    <w:basedOn w:val="Normal"/>
    <w:link w:val="EndnoteTextChar"/>
    <w:uiPriority w:val="99"/>
    <w:semiHidden/>
    <w:rsid w:val="0080788E"/>
    <w:rPr>
      <w:sz w:val="20"/>
      <w:szCs w:val="20"/>
    </w:rPr>
  </w:style>
  <w:style w:type="character" w:customStyle="1" w:styleId="EndnoteTextChar">
    <w:name w:val="Endnote Text Char"/>
    <w:basedOn w:val="DefaultParagraphFont"/>
    <w:link w:val="EndnoteText"/>
    <w:uiPriority w:val="99"/>
    <w:semiHidden/>
    <w:locked/>
    <w:rsid w:val="0080788E"/>
    <w:rPr>
      <w:rFonts w:ascii="Times New Roman" w:hAnsi="Times New Roman" w:cs="Times New Roman"/>
      <w:sz w:val="20"/>
      <w:szCs w:val="20"/>
      <w:lang w:val="es-ES" w:eastAsia="es-ES"/>
    </w:rPr>
  </w:style>
  <w:style w:type="character" w:styleId="EndnoteReference">
    <w:name w:val="endnote reference"/>
    <w:basedOn w:val="DefaultParagraphFont"/>
    <w:uiPriority w:val="99"/>
    <w:semiHidden/>
    <w:rsid w:val="0080788E"/>
    <w:rPr>
      <w:rFonts w:cs="Times New Roman"/>
      <w:vertAlign w:val="superscript"/>
    </w:rPr>
  </w:style>
  <w:style w:type="paragraph" w:styleId="Header">
    <w:name w:val="header"/>
    <w:basedOn w:val="Normal"/>
    <w:link w:val="HeaderChar"/>
    <w:uiPriority w:val="99"/>
    <w:semiHidden/>
    <w:rsid w:val="00797373"/>
    <w:pPr>
      <w:tabs>
        <w:tab w:val="center" w:pos="4419"/>
        <w:tab w:val="right" w:pos="8838"/>
      </w:tabs>
    </w:pPr>
  </w:style>
  <w:style w:type="character" w:customStyle="1" w:styleId="HeaderChar">
    <w:name w:val="Header Char"/>
    <w:basedOn w:val="DefaultParagraphFont"/>
    <w:link w:val="Header"/>
    <w:uiPriority w:val="99"/>
    <w:semiHidden/>
    <w:locked/>
    <w:rsid w:val="00797373"/>
    <w:rPr>
      <w:rFonts w:ascii="Times New Roman" w:hAnsi="Times New Roman" w:cs="Times New Roman"/>
      <w:sz w:val="24"/>
      <w:szCs w:val="24"/>
      <w:lang w:val="es-ES" w:eastAsia="es-ES"/>
    </w:rPr>
  </w:style>
  <w:style w:type="paragraph" w:styleId="Title">
    <w:name w:val="Title"/>
    <w:basedOn w:val="Normal"/>
    <w:link w:val="TitleChar"/>
    <w:uiPriority w:val="99"/>
    <w:qFormat/>
    <w:locked/>
    <w:rsid w:val="00373015"/>
    <w:pPr>
      <w:tabs>
        <w:tab w:val="left" w:pos="70"/>
        <w:tab w:val="left" w:pos="9284"/>
      </w:tabs>
      <w:jc w:val="center"/>
    </w:pPr>
    <w:rPr>
      <w:rFonts w:eastAsia="Calibri"/>
      <w:b/>
      <w:shadow/>
      <w:color w:val="000080"/>
      <w:sz w:val="44"/>
    </w:rPr>
  </w:style>
  <w:style w:type="character" w:customStyle="1" w:styleId="TitleChar">
    <w:name w:val="Title Char"/>
    <w:basedOn w:val="DefaultParagraphFont"/>
    <w:link w:val="Title"/>
    <w:uiPriority w:val="10"/>
    <w:rsid w:val="003E7058"/>
    <w:rPr>
      <w:rFonts w:asciiTheme="majorHAnsi" w:eastAsiaTheme="majorEastAsia" w:hAnsiTheme="majorHAnsi" w:cstheme="majorBidi"/>
      <w:b/>
      <w:bCs/>
      <w:kern w:val="28"/>
      <w:sz w:val="32"/>
      <w:szCs w:val="32"/>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30</Pages>
  <Words>8341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LEGITIMACIÓN: DETERMINACIÓN CONCEPTUAL</dc:title>
  <dc:subject/>
  <dc:creator>efrainquevedo</dc:creator>
  <cp:keywords/>
  <dc:description/>
  <cp:lastModifiedBy>julio</cp:lastModifiedBy>
  <cp:revision>3</cp:revision>
  <dcterms:created xsi:type="dcterms:W3CDTF">2012-10-26T21:33:00Z</dcterms:created>
  <dcterms:modified xsi:type="dcterms:W3CDTF">2012-10-26T21:34:00Z</dcterms:modified>
</cp:coreProperties>
</file>