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204B0" w14:textId="77777777" w:rsidR="0097175B" w:rsidRPr="0097175B" w:rsidRDefault="0097175B" w:rsidP="0097175B">
      <w:pPr>
        <w:pStyle w:val="NormalWeb"/>
        <w:shd w:val="clear" w:color="auto" w:fill="FCFCFC"/>
        <w:spacing w:before="0" w:beforeAutospacing="0" w:after="375" w:afterAutospacing="0" w:line="360" w:lineRule="auto"/>
        <w:rPr>
          <w:b/>
          <w:bCs/>
          <w:color w:val="000000" w:themeColor="text1"/>
          <w:shd w:val="clear" w:color="auto" w:fill="FCFCFC"/>
        </w:rPr>
      </w:pPr>
      <w:r w:rsidRPr="0097175B">
        <w:rPr>
          <w:b/>
          <w:bCs/>
          <w:color w:val="000000" w:themeColor="text1"/>
          <w:shd w:val="clear" w:color="auto" w:fill="FCFCFC"/>
        </w:rPr>
        <w:t>"La prueba anticipada. Naturaleza. Modos eficaces de su regulación. Una mirada desde el Código Modelo del Instituto Panamericano de Derecho Procesal".</w:t>
      </w:r>
    </w:p>
    <w:p w14:paraId="5F4AB5A4" w14:textId="77777777" w:rsidR="0097175B" w:rsidRPr="0097175B" w:rsidRDefault="0097175B" w:rsidP="0097175B">
      <w:pPr>
        <w:spacing w:line="360" w:lineRule="auto"/>
        <w:jc w:val="both"/>
        <w:rPr>
          <w:rFonts w:ascii="Times New Roman" w:hAnsi="Times New Roman" w:cs="Times New Roman"/>
          <w:b/>
          <w:bCs/>
          <w:color w:val="000000" w:themeColor="text1"/>
          <w:sz w:val="24"/>
          <w:szCs w:val="24"/>
        </w:rPr>
      </w:pPr>
      <w:r w:rsidRPr="0097175B">
        <w:rPr>
          <w:rFonts w:ascii="Times New Roman" w:hAnsi="Times New Roman" w:cs="Times New Roman"/>
          <w:b/>
          <w:bCs/>
          <w:color w:val="000000" w:themeColor="text1"/>
          <w:sz w:val="24"/>
          <w:szCs w:val="24"/>
        </w:rPr>
        <w:t xml:space="preserve"> </w:t>
      </w:r>
      <w:r w:rsidRPr="0097175B">
        <w:rPr>
          <w:rFonts w:ascii="Times New Roman" w:hAnsi="Times New Roman" w:cs="Times New Roman"/>
          <w:b/>
          <w:bCs/>
          <w:color w:val="000000" w:themeColor="text1"/>
          <w:sz w:val="24"/>
          <w:szCs w:val="24"/>
        </w:rPr>
        <w:tab/>
        <w:t xml:space="preserve"> I.- Presentación del tema:  </w:t>
      </w:r>
    </w:p>
    <w:p w14:paraId="50274F63" w14:textId="77777777" w:rsidR="0097175B" w:rsidRPr="0097175B" w:rsidRDefault="0097175B" w:rsidP="0097175B">
      <w:pPr>
        <w:spacing w:line="360" w:lineRule="auto"/>
        <w:jc w:val="both"/>
        <w:rPr>
          <w:rFonts w:ascii="Times New Roman" w:hAnsi="Times New Roman" w:cs="Times New Roman"/>
          <w:color w:val="000000" w:themeColor="text1"/>
          <w:sz w:val="24"/>
          <w:szCs w:val="24"/>
        </w:rPr>
      </w:pPr>
      <w:r w:rsidRPr="0097175B">
        <w:rPr>
          <w:rFonts w:ascii="Times New Roman" w:hAnsi="Times New Roman" w:cs="Times New Roman"/>
          <w:color w:val="000000" w:themeColor="text1"/>
          <w:sz w:val="24"/>
          <w:szCs w:val="24"/>
        </w:rPr>
        <w:tab/>
      </w:r>
      <w:r w:rsidRPr="0097175B">
        <w:rPr>
          <w:rFonts w:ascii="Times New Roman" w:hAnsi="Times New Roman" w:cs="Times New Roman"/>
          <w:b/>
          <w:bCs/>
          <w:color w:val="000000" w:themeColor="text1"/>
          <w:sz w:val="24"/>
          <w:szCs w:val="24"/>
        </w:rPr>
        <w:t xml:space="preserve"> </w:t>
      </w:r>
      <w:proofErr w:type="spellStart"/>
      <w:r w:rsidRPr="0097175B">
        <w:rPr>
          <w:rFonts w:ascii="Times New Roman" w:hAnsi="Times New Roman" w:cs="Times New Roman"/>
          <w:b/>
          <w:bCs/>
          <w:color w:val="000000" w:themeColor="text1"/>
          <w:sz w:val="24"/>
          <w:szCs w:val="24"/>
          <w:shd w:val="clear" w:color="auto" w:fill="FCFCFC"/>
        </w:rPr>
        <w:t>I.a</w:t>
      </w:r>
      <w:proofErr w:type="spellEnd"/>
      <w:r w:rsidRPr="0097175B">
        <w:rPr>
          <w:rFonts w:ascii="Times New Roman" w:hAnsi="Times New Roman" w:cs="Times New Roman"/>
          <w:b/>
          <w:bCs/>
          <w:color w:val="000000" w:themeColor="text1"/>
          <w:sz w:val="24"/>
          <w:szCs w:val="24"/>
          <w:shd w:val="clear" w:color="auto" w:fill="FCFCFC"/>
        </w:rPr>
        <w:t>.- Introducción:</w:t>
      </w:r>
      <w:r w:rsidRPr="0097175B">
        <w:rPr>
          <w:rFonts w:ascii="Times New Roman" w:hAnsi="Times New Roman" w:cs="Times New Roman"/>
          <w:b/>
          <w:bCs/>
          <w:color w:val="000000" w:themeColor="text1"/>
          <w:sz w:val="24"/>
          <w:szCs w:val="24"/>
        </w:rPr>
        <w:t xml:space="preserve"> </w:t>
      </w:r>
      <w:r w:rsidRPr="0097175B">
        <w:rPr>
          <w:rFonts w:ascii="Times New Roman" w:hAnsi="Times New Roman" w:cs="Times New Roman"/>
          <w:color w:val="000000" w:themeColor="text1"/>
          <w:sz w:val="24"/>
          <w:szCs w:val="24"/>
        </w:rPr>
        <w:t xml:space="preserve">  </w:t>
      </w:r>
      <w:r w:rsidRPr="0097175B">
        <w:rPr>
          <w:rFonts w:ascii="Times New Roman" w:hAnsi="Times New Roman" w:cs="Times New Roman"/>
          <w:b/>
          <w:bCs/>
          <w:color w:val="000000" w:themeColor="text1"/>
          <w:sz w:val="24"/>
          <w:szCs w:val="24"/>
        </w:rPr>
        <w:t xml:space="preserve"> </w:t>
      </w:r>
    </w:p>
    <w:p w14:paraId="0F1D57A5" w14:textId="77777777" w:rsidR="0097175B" w:rsidRPr="0097175B" w:rsidRDefault="0097175B" w:rsidP="0097175B">
      <w:pPr>
        <w:spacing w:line="360" w:lineRule="auto"/>
        <w:jc w:val="both"/>
        <w:rPr>
          <w:rFonts w:ascii="Times New Roman" w:hAnsi="Times New Roman" w:cs="Times New Roman"/>
          <w:b/>
          <w:bCs/>
          <w:color w:val="000000" w:themeColor="text1"/>
          <w:sz w:val="24"/>
          <w:szCs w:val="24"/>
        </w:rPr>
      </w:pPr>
      <w:r w:rsidRPr="0097175B">
        <w:rPr>
          <w:rFonts w:ascii="Times New Roman" w:hAnsi="Times New Roman" w:cs="Times New Roman"/>
          <w:color w:val="000000" w:themeColor="text1"/>
          <w:sz w:val="24"/>
          <w:szCs w:val="24"/>
        </w:rPr>
        <w:t xml:space="preserve"> </w:t>
      </w:r>
      <w:r w:rsidRPr="0097175B">
        <w:rPr>
          <w:rFonts w:ascii="Times New Roman" w:hAnsi="Times New Roman" w:cs="Times New Roman"/>
          <w:color w:val="000000" w:themeColor="text1"/>
          <w:sz w:val="24"/>
          <w:szCs w:val="24"/>
        </w:rPr>
        <w:tab/>
        <w:t>El análisis que se propone refiere a la prueba anticipada y tiene por finalidad identificar las posibles contingencias o los eventuales problemas que pueden presentarse en oportunidad de promover su solicitud, pero esencialmente en relación al debido proceso legal.</w:t>
      </w:r>
      <w:r w:rsidRPr="0097175B">
        <w:rPr>
          <w:rFonts w:ascii="Times New Roman" w:hAnsi="Times New Roman" w:cs="Times New Roman"/>
          <w:b/>
          <w:bCs/>
          <w:color w:val="000000" w:themeColor="text1"/>
          <w:sz w:val="24"/>
          <w:szCs w:val="24"/>
        </w:rPr>
        <w:t xml:space="preserve"> </w:t>
      </w:r>
    </w:p>
    <w:p w14:paraId="73B7FDC6" w14:textId="77777777" w:rsidR="0097175B" w:rsidRPr="0097175B" w:rsidRDefault="0097175B" w:rsidP="0097175B">
      <w:pPr>
        <w:spacing w:line="360" w:lineRule="auto"/>
        <w:jc w:val="both"/>
        <w:rPr>
          <w:rFonts w:ascii="Times New Roman" w:hAnsi="Times New Roman" w:cs="Times New Roman"/>
          <w:color w:val="000000" w:themeColor="text1"/>
          <w:sz w:val="24"/>
          <w:szCs w:val="24"/>
        </w:rPr>
      </w:pPr>
      <w:r w:rsidRPr="0097175B">
        <w:rPr>
          <w:rFonts w:ascii="Times New Roman" w:hAnsi="Times New Roman" w:cs="Times New Roman"/>
          <w:color w:val="000000" w:themeColor="text1"/>
          <w:sz w:val="24"/>
          <w:szCs w:val="24"/>
        </w:rPr>
        <w:t xml:space="preserve"> </w:t>
      </w:r>
      <w:r w:rsidRPr="0097175B">
        <w:rPr>
          <w:rFonts w:ascii="Times New Roman" w:hAnsi="Times New Roman" w:cs="Times New Roman"/>
          <w:color w:val="000000" w:themeColor="text1"/>
          <w:sz w:val="24"/>
          <w:szCs w:val="24"/>
        </w:rPr>
        <w:tab/>
        <w:t xml:space="preserve">Ahora bien, en forma previa a su tratamiento frontal, corresponde formular las siguientes preguntas: ¿Es posible producir prueba en una etapa procesal diferente al periodo de confirmación procesal?; ¿Es posible probar o confirmar hechos o afirmaciones antes de la promoción de la demanda en sede judicial? </w:t>
      </w:r>
    </w:p>
    <w:p w14:paraId="748F94E8" w14:textId="77777777" w:rsidR="0097175B" w:rsidRPr="0097175B" w:rsidRDefault="0097175B" w:rsidP="0097175B">
      <w:pPr>
        <w:spacing w:line="360" w:lineRule="auto"/>
        <w:jc w:val="both"/>
        <w:rPr>
          <w:rFonts w:ascii="Times New Roman" w:hAnsi="Times New Roman" w:cs="Times New Roman"/>
          <w:color w:val="000000" w:themeColor="text1"/>
          <w:sz w:val="24"/>
          <w:szCs w:val="24"/>
        </w:rPr>
      </w:pPr>
      <w:r w:rsidRPr="0097175B">
        <w:rPr>
          <w:rFonts w:ascii="Times New Roman" w:hAnsi="Times New Roman" w:cs="Times New Roman"/>
          <w:color w:val="000000" w:themeColor="text1"/>
          <w:sz w:val="24"/>
          <w:szCs w:val="24"/>
        </w:rPr>
        <w:t xml:space="preserve"> </w:t>
      </w:r>
      <w:r w:rsidRPr="0097175B">
        <w:rPr>
          <w:rFonts w:ascii="Times New Roman" w:hAnsi="Times New Roman" w:cs="Times New Roman"/>
          <w:color w:val="000000" w:themeColor="text1"/>
          <w:sz w:val="24"/>
          <w:szCs w:val="24"/>
        </w:rPr>
        <w:tab/>
      </w:r>
      <w:r w:rsidRPr="0097175B">
        <w:rPr>
          <w:rFonts w:ascii="Times New Roman" w:hAnsi="Times New Roman" w:cs="Times New Roman"/>
          <w:b/>
          <w:bCs/>
          <w:color w:val="000000" w:themeColor="text1"/>
          <w:sz w:val="24"/>
          <w:szCs w:val="24"/>
        </w:rPr>
        <w:t xml:space="preserve">II.- Compatibilidad </w:t>
      </w:r>
      <w:r w:rsidRPr="0097175B">
        <w:rPr>
          <w:rFonts w:ascii="Times New Roman" w:hAnsi="Times New Roman" w:cs="Times New Roman"/>
          <w:color w:val="000000" w:themeColor="text1"/>
          <w:sz w:val="24"/>
          <w:szCs w:val="24"/>
        </w:rPr>
        <w:t xml:space="preserve"> </w:t>
      </w:r>
    </w:p>
    <w:p w14:paraId="43506B69" w14:textId="77777777" w:rsidR="0097175B" w:rsidRPr="0097175B" w:rsidRDefault="0097175B" w:rsidP="0097175B">
      <w:pPr>
        <w:spacing w:line="360" w:lineRule="auto"/>
        <w:jc w:val="both"/>
        <w:rPr>
          <w:rFonts w:ascii="Times New Roman" w:hAnsi="Times New Roman" w:cs="Times New Roman"/>
          <w:color w:val="000000" w:themeColor="text1"/>
          <w:sz w:val="24"/>
          <w:szCs w:val="24"/>
        </w:rPr>
      </w:pPr>
      <w:r w:rsidRPr="0097175B">
        <w:rPr>
          <w:rFonts w:ascii="Times New Roman" w:hAnsi="Times New Roman" w:cs="Times New Roman"/>
          <w:color w:val="000000" w:themeColor="text1"/>
          <w:sz w:val="24"/>
          <w:szCs w:val="24"/>
        </w:rPr>
        <w:t xml:space="preserve"> </w:t>
      </w:r>
      <w:r w:rsidRPr="0097175B">
        <w:rPr>
          <w:rFonts w:ascii="Times New Roman" w:hAnsi="Times New Roman" w:cs="Times New Roman"/>
          <w:color w:val="000000" w:themeColor="text1"/>
          <w:sz w:val="24"/>
          <w:szCs w:val="24"/>
        </w:rPr>
        <w:tab/>
        <w:t>Si las preguntas planteadas son posibles, ¿Cómo se compatibiliza entonces el derecho a probar o a confirmar en una etapa procesal que no es propia del proceso, con el derecho de defensa de la parte contraria a controlar la producción y el resultado de ese medio de prueba o medio de confirmación procesal?</w:t>
      </w:r>
    </w:p>
    <w:p w14:paraId="7F3580F8" w14:textId="77777777" w:rsidR="0097175B" w:rsidRPr="0097175B" w:rsidRDefault="0097175B" w:rsidP="0097175B">
      <w:pPr>
        <w:spacing w:line="360" w:lineRule="auto"/>
        <w:jc w:val="both"/>
        <w:rPr>
          <w:rFonts w:ascii="Times New Roman" w:hAnsi="Times New Roman" w:cs="Times New Roman"/>
          <w:color w:val="000000" w:themeColor="text1"/>
          <w:sz w:val="24"/>
          <w:szCs w:val="24"/>
        </w:rPr>
      </w:pPr>
      <w:r w:rsidRPr="0097175B">
        <w:rPr>
          <w:rFonts w:ascii="Times New Roman" w:hAnsi="Times New Roman" w:cs="Times New Roman"/>
          <w:color w:val="000000" w:themeColor="text1"/>
          <w:sz w:val="24"/>
          <w:szCs w:val="24"/>
        </w:rPr>
        <w:t xml:space="preserve"> </w:t>
      </w:r>
      <w:r w:rsidRPr="0097175B">
        <w:rPr>
          <w:rFonts w:ascii="Times New Roman" w:hAnsi="Times New Roman" w:cs="Times New Roman"/>
          <w:color w:val="000000" w:themeColor="text1"/>
          <w:sz w:val="24"/>
          <w:szCs w:val="24"/>
        </w:rPr>
        <w:tab/>
        <w:t xml:space="preserve">De todos estos interrogantes se ocupa el instituto de la prueba anticipada.   </w:t>
      </w:r>
    </w:p>
    <w:p w14:paraId="42A1A487" w14:textId="77777777" w:rsidR="0097175B" w:rsidRPr="0097175B" w:rsidRDefault="0097175B" w:rsidP="0097175B">
      <w:pPr>
        <w:spacing w:line="360" w:lineRule="auto"/>
        <w:jc w:val="both"/>
        <w:rPr>
          <w:rFonts w:ascii="Times New Roman" w:hAnsi="Times New Roman" w:cs="Times New Roman"/>
          <w:color w:val="000000" w:themeColor="text1"/>
          <w:sz w:val="24"/>
          <w:szCs w:val="24"/>
        </w:rPr>
      </w:pPr>
      <w:r w:rsidRPr="0097175B">
        <w:rPr>
          <w:rFonts w:ascii="Times New Roman" w:hAnsi="Times New Roman" w:cs="Times New Roman"/>
          <w:color w:val="000000" w:themeColor="text1"/>
          <w:sz w:val="24"/>
          <w:szCs w:val="24"/>
        </w:rPr>
        <w:t xml:space="preserve"> </w:t>
      </w:r>
      <w:r w:rsidRPr="0097175B">
        <w:rPr>
          <w:rFonts w:ascii="Times New Roman" w:hAnsi="Times New Roman" w:cs="Times New Roman"/>
          <w:color w:val="000000" w:themeColor="text1"/>
          <w:sz w:val="24"/>
          <w:szCs w:val="24"/>
        </w:rPr>
        <w:tab/>
      </w:r>
      <w:r w:rsidRPr="0097175B">
        <w:rPr>
          <w:rFonts w:ascii="Times New Roman" w:hAnsi="Times New Roman" w:cs="Times New Roman"/>
          <w:b/>
          <w:bCs/>
          <w:color w:val="000000" w:themeColor="text1"/>
          <w:sz w:val="24"/>
          <w:szCs w:val="24"/>
        </w:rPr>
        <w:t>III.- Concepto. Características:</w:t>
      </w:r>
    </w:p>
    <w:p w14:paraId="4E31A163" w14:textId="77777777" w:rsidR="0097175B" w:rsidRPr="0097175B" w:rsidRDefault="0097175B" w:rsidP="0097175B">
      <w:pPr>
        <w:spacing w:line="360" w:lineRule="auto"/>
        <w:jc w:val="both"/>
        <w:rPr>
          <w:rFonts w:ascii="Times New Roman" w:hAnsi="Times New Roman" w:cs="Times New Roman"/>
          <w:color w:val="000000" w:themeColor="text1"/>
          <w:sz w:val="24"/>
          <w:szCs w:val="24"/>
        </w:rPr>
      </w:pPr>
      <w:r w:rsidRPr="0097175B">
        <w:rPr>
          <w:rFonts w:ascii="Times New Roman" w:hAnsi="Times New Roman" w:cs="Times New Roman"/>
          <w:color w:val="000000" w:themeColor="text1"/>
          <w:sz w:val="24"/>
          <w:szCs w:val="24"/>
        </w:rPr>
        <w:t xml:space="preserve"> </w:t>
      </w:r>
      <w:r w:rsidRPr="0097175B">
        <w:rPr>
          <w:rFonts w:ascii="Times New Roman" w:hAnsi="Times New Roman" w:cs="Times New Roman"/>
          <w:color w:val="000000" w:themeColor="text1"/>
          <w:sz w:val="24"/>
          <w:szCs w:val="24"/>
        </w:rPr>
        <w:tab/>
        <w:t>Si formulamos una lectura del Código Procesal Modelo del Instituto Panamericano de Derecho Procesal, encontraremos que la prueba anticipada – regulada bajo el acápite de las cautelas que protegen la oportuna producción de prueba- supone un adelantamiento temporal en la realización de un medio de confirmación procesal, cuando alguien – quien pretenda demandar o quien con fundamento prevea que será demandado, corre el riesgo de que se pierdan por el paso del tiempo, volviéndose así de difícil o imposible producción en etapa procesal oportuna.</w:t>
      </w:r>
    </w:p>
    <w:p w14:paraId="610944B4" w14:textId="77777777" w:rsidR="0097175B" w:rsidRPr="0097175B" w:rsidRDefault="0097175B" w:rsidP="0097175B">
      <w:pPr>
        <w:spacing w:line="360" w:lineRule="auto"/>
        <w:jc w:val="both"/>
        <w:rPr>
          <w:rFonts w:ascii="Times New Roman" w:hAnsi="Times New Roman" w:cs="Times New Roman"/>
          <w:color w:val="FF0000"/>
          <w:sz w:val="24"/>
          <w:szCs w:val="24"/>
        </w:rPr>
      </w:pPr>
      <w:r w:rsidRPr="0097175B">
        <w:rPr>
          <w:rFonts w:ascii="Times New Roman" w:hAnsi="Times New Roman" w:cs="Times New Roman"/>
          <w:color w:val="000000" w:themeColor="text1"/>
          <w:sz w:val="24"/>
          <w:szCs w:val="24"/>
        </w:rPr>
        <w:t xml:space="preserve"> </w:t>
      </w:r>
      <w:r w:rsidRPr="0097175B">
        <w:rPr>
          <w:rFonts w:ascii="Times New Roman" w:hAnsi="Times New Roman" w:cs="Times New Roman"/>
          <w:color w:val="000000" w:themeColor="text1"/>
          <w:sz w:val="24"/>
          <w:szCs w:val="24"/>
        </w:rPr>
        <w:tab/>
        <w:t>Frente a estos supuestos, los códigos procesales en sus diversas variantes, prevén la posibilidad de que esos medios de confirmación se produzcan anticipadamente.</w:t>
      </w:r>
    </w:p>
    <w:p w14:paraId="3B9DA341" w14:textId="77777777" w:rsidR="0097175B" w:rsidRPr="0097175B" w:rsidRDefault="0097175B" w:rsidP="0097175B">
      <w:pPr>
        <w:spacing w:line="360" w:lineRule="auto"/>
        <w:jc w:val="both"/>
        <w:rPr>
          <w:rFonts w:ascii="Times New Roman" w:hAnsi="Times New Roman" w:cs="Times New Roman"/>
          <w:b/>
          <w:bCs/>
          <w:color w:val="1F3864" w:themeColor="accent1" w:themeShade="80"/>
          <w:sz w:val="24"/>
          <w:szCs w:val="24"/>
        </w:rPr>
      </w:pPr>
      <w:r w:rsidRPr="0097175B">
        <w:rPr>
          <w:rFonts w:ascii="Times New Roman" w:hAnsi="Times New Roman" w:cs="Times New Roman"/>
          <w:color w:val="000000" w:themeColor="text1"/>
          <w:sz w:val="24"/>
          <w:szCs w:val="24"/>
        </w:rPr>
        <w:lastRenderedPageBreak/>
        <w:t xml:space="preserve">   </w:t>
      </w:r>
      <w:r w:rsidRPr="0097175B">
        <w:rPr>
          <w:rFonts w:ascii="Times New Roman" w:hAnsi="Times New Roman" w:cs="Times New Roman"/>
          <w:color w:val="000000" w:themeColor="text1"/>
          <w:sz w:val="24"/>
          <w:szCs w:val="24"/>
        </w:rPr>
        <w:tab/>
        <w:t xml:space="preserve">Por lo tanto, lo que le confiere el carácter anticipatorio o ese adelantamiento temporal es su práctica antes de la oportunidad procesal oportuna -ya sea antes de la promoción de la demanda o una vez iniciada, antes de la etapa confirmatoria o periodo de prueba.   </w:t>
      </w:r>
      <w:r w:rsidRPr="0097175B">
        <w:rPr>
          <w:rFonts w:ascii="Times New Roman" w:hAnsi="Times New Roman" w:cs="Times New Roman"/>
          <w:b/>
          <w:bCs/>
          <w:color w:val="1F3864" w:themeColor="accent1" w:themeShade="80"/>
          <w:sz w:val="24"/>
          <w:szCs w:val="24"/>
        </w:rPr>
        <w:t xml:space="preserve"> </w:t>
      </w:r>
    </w:p>
    <w:p w14:paraId="298CC3BD" w14:textId="77777777" w:rsidR="0097175B" w:rsidRPr="0097175B" w:rsidRDefault="0097175B" w:rsidP="0097175B">
      <w:pPr>
        <w:spacing w:line="360" w:lineRule="auto"/>
        <w:jc w:val="both"/>
        <w:rPr>
          <w:rFonts w:ascii="Times New Roman" w:hAnsi="Times New Roman" w:cs="Times New Roman"/>
          <w:sz w:val="24"/>
          <w:szCs w:val="24"/>
        </w:rPr>
      </w:pPr>
      <w:r w:rsidRPr="0097175B">
        <w:rPr>
          <w:rFonts w:ascii="Times New Roman" w:hAnsi="Times New Roman" w:cs="Times New Roman"/>
          <w:b/>
          <w:bCs/>
          <w:color w:val="1F3864" w:themeColor="accent1" w:themeShade="80"/>
          <w:sz w:val="24"/>
          <w:szCs w:val="24"/>
        </w:rPr>
        <w:t xml:space="preserve"> </w:t>
      </w:r>
      <w:r w:rsidRPr="0097175B">
        <w:rPr>
          <w:rFonts w:ascii="Times New Roman" w:hAnsi="Times New Roman" w:cs="Times New Roman"/>
          <w:b/>
          <w:bCs/>
          <w:color w:val="1F3864" w:themeColor="accent1" w:themeShade="80"/>
          <w:sz w:val="24"/>
          <w:szCs w:val="24"/>
        </w:rPr>
        <w:tab/>
      </w:r>
      <w:r w:rsidRPr="0097175B">
        <w:rPr>
          <w:rFonts w:ascii="Times New Roman" w:hAnsi="Times New Roman" w:cs="Times New Roman"/>
          <w:color w:val="000000" w:themeColor="text1"/>
          <w:sz w:val="24"/>
          <w:szCs w:val="24"/>
        </w:rPr>
        <w:t>La doctrina sostiene que</w:t>
      </w:r>
      <w:r w:rsidRPr="0097175B">
        <w:rPr>
          <w:rFonts w:ascii="Times New Roman" w:hAnsi="Times New Roman" w:cs="Times New Roman"/>
          <w:b/>
          <w:bCs/>
          <w:color w:val="1F3864" w:themeColor="accent1" w:themeShade="80"/>
          <w:sz w:val="24"/>
          <w:szCs w:val="24"/>
        </w:rPr>
        <w:t xml:space="preserve"> </w:t>
      </w:r>
      <w:r w:rsidRPr="0097175B">
        <w:rPr>
          <w:rFonts w:ascii="Times New Roman" w:hAnsi="Times New Roman" w:cs="Times New Roman"/>
          <w:sz w:val="24"/>
          <w:szCs w:val="24"/>
        </w:rPr>
        <w:t>la producción probatoria anticipada es una situación excepcional que puede ser solicitada por quien ocupe o vaya a ocupar el papel de parte procesal, no exenta de algunos requisitos impuestos legalmente, y que acepta dos alternativas. Así, bajo estas condiciones se pueden ofrecer, admitir y producir determinados medios de confirmación una vez iniciada la demanda o, incluso, antes de deducirla</w:t>
      </w:r>
      <w:r w:rsidRPr="0097175B">
        <w:rPr>
          <w:rStyle w:val="Refdenotaalpie"/>
          <w:rFonts w:ascii="Times New Roman" w:hAnsi="Times New Roman" w:cs="Times New Roman"/>
          <w:sz w:val="24"/>
          <w:szCs w:val="24"/>
        </w:rPr>
        <w:footnoteReference w:id="1"/>
      </w:r>
      <w:r w:rsidRPr="0097175B">
        <w:rPr>
          <w:rFonts w:ascii="Times New Roman" w:hAnsi="Times New Roman" w:cs="Times New Roman"/>
          <w:sz w:val="24"/>
          <w:szCs w:val="24"/>
        </w:rPr>
        <w:t>.</w:t>
      </w:r>
    </w:p>
    <w:p w14:paraId="183DFC4F" w14:textId="77777777" w:rsidR="0097175B" w:rsidRPr="0097175B" w:rsidRDefault="0097175B" w:rsidP="0097175B">
      <w:pPr>
        <w:spacing w:line="360" w:lineRule="auto"/>
        <w:jc w:val="both"/>
        <w:rPr>
          <w:rFonts w:ascii="Times New Roman" w:hAnsi="Times New Roman" w:cs="Times New Roman"/>
          <w:color w:val="000000" w:themeColor="text1"/>
          <w:sz w:val="24"/>
          <w:szCs w:val="24"/>
        </w:rPr>
      </w:pPr>
      <w:r w:rsidRPr="0097175B">
        <w:rPr>
          <w:rFonts w:ascii="Times New Roman" w:hAnsi="Times New Roman" w:cs="Times New Roman"/>
          <w:color w:val="000000" w:themeColor="text1"/>
          <w:sz w:val="24"/>
          <w:szCs w:val="24"/>
        </w:rPr>
        <w:tab/>
      </w:r>
      <w:r w:rsidRPr="0097175B">
        <w:rPr>
          <w:rFonts w:ascii="Times New Roman" w:hAnsi="Times New Roman" w:cs="Times New Roman"/>
          <w:b/>
          <w:bCs/>
          <w:color w:val="000000" w:themeColor="text1"/>
          <w:sz w:val="24"/>
          <w:szCs w:val="24"/>
        </w:rPr>
        <w:t xml:space="preserve">IV.- Naturaleza jurídica: </w:t>
      </w:r>
      <w:r w:rsidRPr="0097175B">
        <w:rPr>
          <w:rFonts w:ascii="Times New Roman" w:hAnsi="Times New Roman" w:cs="Times New Roman"/>
          <w:color w:val="000000" w:themeColor="text1"/>
          <w:sz w:val="24"/>
          <w:szCs w:val="24"/>
        </w:rPr>
        <w:t xml:space="preserve"> </w:t>
      </w:r>
    </w:p>
    <w:p w14:paraId="1D052397" w14:textId="77777777" w:rsidR="0097175B" w:rsidRPr="0097175B" w:rsidRDefault="0097175B" w:rsidP="0097175B">
      <w:pPr>
        <w:spacing w:line="360" w:lineRule="auto"/>
        <w:jc w:val="both"/>
        <w:rPr>
          <w:rFonts w:ascii="Times New Roman" w:hAnsi="Times New Roman" w:cs="Times New Roman"/>
          <w:color w:val="000000" w:themeColor="text1"/>
          <w:sz w:val="24"/>
          <w:szCs w:val="24"/>
        </w:rPr>
      </w:pPr>
      <w:r w:rsidRPr="0097175B">
        <w:rPr>
          <w:rFonts w:ascii="Times New Roman" w:hAnsi="Times New Roman" w:cs="Times New Roman"/>
          <w:color w:val="000000" w:themeColor="text1"/>
          <w:sz w:val="24"/>
          <w:szCs w:val="24"/>
        </w:rPr>
        <w:t xml:space="preserve"> </w:t>
      </w:r>
      <w:r w:rsidRPr="0097175B">
        <w:rPr>
          <w:rFonts w:ascii="Times New Roman" w:hAnsi="Times New Roman" w:cs="Times New Roman"/>
          <w:color w:val="000000" w:themeColor="text1"/>
          <w:sz w:val="24"/>
          <w:szCs w:val="24"/>
        </w:rPr>
        <w:tab/>
        <w:t xml:space="preserve">Existen al menos dos posiciones claramente opuestas.  </w:t>
      </w:r>
    </w:p>
    <w:p w14:paraId="693316DE" w14:textId="77777777" w:rsidR="0097175B" w:rsidRPr="0097175B" w:rsidRDefault="0097175B" w:rsidP="0097175B">
      <w:pPr>
        <w:spacing w:line="360" w:lineRule="auto"/>
        <w:jc w:val="both"/>
        <w:rPr>
          <w:rFonts w:ascii="Times New Roman" w:hAnsi="Times New Roman" w:cs="Times New Roman"/>
          <w:b/>
          <w:bCs/>
          <w:color w:val="000000" w:themeColor="text1"/>
          <w:sz w:val="24"/>
          <w:szCs w:val="24"/>
        </w:rPr>
      </w:pPr>
      <w:r w:rsidRPr="0097175B">
        <w:rPr>
          <w:rFonts w:ascii="Times New Roman" w:hAnsi="Times New Roman" w:cs="Times New Roman"/>
          <w:color w:val="000000" w:themeColor="text1"/>
          <w:sz w:val="24"/>
          <w:szCs w:val="24"/>
        </w:rPr>
        <w:t xml:space="preserve"> </w:t>
      </w:r>
      <w:r w:rsidRPr="0097175B">
        <w:rPr>
          <w:rFonts w:ascii="Times New Roman" w:hAnsi="Times New Roman" w:cs="Times New Roman"/>
          <w:color w:val="000000" w:themeColor="text1"/>
          <w:sz w:val="24"/>
          <w:szCs w:val="24"/>
        </w:rPr>
        <w:tab/>
        <w:t xml:space="preserve">1.- La primera refiere que la prueba anticipada es de </w:t>
      </w:r>
      <w:r w:rsidRPr="0097175B">
        <w:rPr>
          <w:rFonts w:ascii="Times New Roman" w:hAnsi="Times New Roman" w:cs="Times New Roman"/>
          <w:i/>
          <w:iCs/>
          <w:color w:val="000000" w:themeColor="text1"/>
          <w:sz w:val="24"/>
          <w:szCs w:val="24"/>
        </w:rPr>
        <w:t>carácter conservatorio</w:t>
      </w:r>
      <w:r w:rsidRPr="0097175B">
        <w:rPr>
          <w:rFonts w:ascii="Times New Roman" w:hAnsi="Times New Roman" w:cs="Times New Roman"/>
          <w:color w:val="000000" w:themeColor="text1"/>
          <w:sz w:val="24"/>
          <w:szCs w:val="24"/>
        </w:rPr>
        <w:t xml:space="preserve"> y no indica algo diferente a su realización antes de tiempo, concluyendo </w:t>
      </w:r>
      <w:proofErr w:type="gramStart"/>
      <w:r w:rsidRPr="0097175B">
        <w:rPr>
          <w:rFonts w:ascii="Times New Roman" w:hAnsi="Times New Roman" w:cs="Times New Roman"/>
          <w:color w:val="000000" w:themeColor="text1"/>
          <w:sz w:val="24"/>
          <w:szCs w:val="24"/>
        </w:rPr>
        <w:t>que</w:t>
      </w:r>
      <w:proofErr w:type="gramEnd"/>
      <w:r w:rsidRPr="0097175B">
        <w:rPr>
          <w:rFonts w:ascii="Times New Roman" w:hAnsi="Times New Roman" w:cs="Times New Roman"/>
          <w:color w:val="000000" w:themeColor="text1"/>
          <w:sz w:val="24"/>
          <w:szCs w:val="24"/>
        </w:rPr>
        <w:t xml:space="preserve"> si bien tienen una semejanza con las medidas cautelares, no pueden ser consideradas como una especie dentro de las mismas</w:t>
      </w:r>
      <w:r w:rsidRPr="0097175B">
        <w:rPr>
          <w:rStyle w:val="Refdenotaalpie"/>
          <w:rFonts w:ascii="Times New Roman" w:hAnsi="Times New Roman" w:cs="Times New Roman"/>
          <w:color w:val="000000" w:themeColor="text1"/>
          <w:sz w:val="24"/>
          <w:szCs w:val="24"/>
        </w:rPr>
        <w:footnoteReference w:id="2"/>
      </w:r>
      <w:r w:rsidRPr="0097175B">
        <w:rPr>
          <w:rFonts w:ascii="Times New Roman" w:hAnsi="Times New Roman" w:cs="Times New Roman"/>
          <w:color w:val="000000" w:themeColor="text1"/>
          <w:sz w:val="24"/>
          <w:szCs w:val="24"/>
        </w:rPr>
        <w:t xml:space="preserve">. </w:t>
      </w:r>
      <w:r w:rsidRPr="0097175B">
        <w:rPr>
          <w:rFonts w:ascii="Times New Roman" w:hAnsi="Times New Roman" w:cs="Times New Roman"/>
          <w:b/>
          <w:bCs/>
          <w:color w:val="000000" w:themeColor="text1"/>
          <w:sz w:val="24"/>
          <w:szCs w:val="24"/>
        </w:rPr>
        <w:t xml:space="preserve"> </w:t>
      </w:r>
    </w:p>
    <w:p w14:paraId="680139A2" w14:textId="77777777" w:rsidR="0097175B" w:rsidRPr="0097175B" w:rsidRDefault="0097175B" w:rsidP="0097175B">
      <w:pPr>
        <w:spacing w:line="360" w:lineRule="auto"/>
        <w:jc w:val="both"/>
        <w:rPr>
          <w:rFonts w:ascii="Times New Roman" w:hAnsi="Times New Roman" w:cs="Times New Roman"/>
          <w:b/>
          <w:bCs/>
          <w:color w:val="000000" w:themeColor="text1"/>
          <w:sz w:val="24"/>
          <w:szCs w:val="24"/>
        </w:rPr>
      </w:pPr>
      <w:r w:rsidRPr="0097175B">
        <w:rPr>
          <w:rFonts w:ascii="Times New Roman" w:hAnsi="Times New Roman" w:cs="Times New Roman"/>
          <w:b/>
          <w:bCs/>
          <w:color w:val="000000" w:themeColor="text1"/>
          <w:sz w:val="24"/>
          <w:szCs w:val="24"/>
        </w:rPr>
        <w:t xml:space="preserve"> </w:t>
      </w:r>
      <w:r w:rsidRPr="0097175B">
        <w:rPr>
          <w:rFonts w:ascii="Times New Roman" w:hAnsi="Times New Roman" w:cs="Times New Roman"/>
          <w:b/>
          <w:bCs/>
          <w:color w:val="000000" w:themeColor="text1"/>
          <w:sz w:val="24"/>
          <w:szCs w:val="24"/>
        </w:rPr>
        <w:tab/>
      </w:r>
      <w:r w:rsidRPr="0097175B">
        <w:rPr>
          <w:rFonts w:ascii="Times New Roman" w:hAnsi="Times New Roman" w:cs="Times New Roman"/>
          <w:color w:val="000000" w:themeColor="text1"/>
          <w:sz w:val="24"/>
          <w:szCs w:val="24"/>
        </w:rPr>
        <w:t xml:space="preserve">2.- La otra postura ubica a la prueba anticipada dentro de las peticiones cautelares, es decir, </w:t>
      </w:r>
      <w:r w:rsidRPr="0097175B">
        <w:rPr>
          <w:rFonts w:ascii="Times New Roman" w:hAnsi="Times New Roman" w:cs="Times New Roman"/>
          <w:color w:val="171717" w:themeColor="background2" w:themeShade="1A"/>
          <w:sz w:val="24"/>
          <w:szCs w:val="24"/>
        </w:rPr>
        <w:t xml:space="preserve">sostiene que la prueba anticipada tiene naturaleza jurídica cautelar. </w:t>
      </w:r>
    </w:p>
    <w:p w14:paraId="120CE6C7" w14:textId="77777777" w:rsidR="0097175B" w:rsidRPr="0097175B" w:rsidRDefault="0097175B" w:rsidP="0097175B">
      <w:pPr>
        <w:pStyle w:val="NormalWeb"/>
        <w:shd w:val="clear" w:color="auto" w:fill="FFFFFF"/>
        <w:spacing w:before="0" w:beforeAutospacing="0" w:after="410" w:afterAutospacing="0" w:line="360" w:lineRule="auto"/>
        <w:jc w:val="both"/>
        <w:rPr>
          <w:b/>
          <w:bCs/>
        </w:rPr>
      </w:pPr>
      <w:r w:rsidRPr="0097175B">
        <w:rPr>
          <w:b/>
          <w:bCs/>
          <w:color w:val="000000" w:themeColor="text1"/>
        </w:rPr>
        <w:t xml:space="preserve">  </w:t>
      </w:r>
      <w:r w:rsidRPr="0097175B">
        <w:rPr>
          <w:b/>
          <w:bCs/>
          <w:color w:val="000000" w:themeColor="text1"/>
        </w:rPr>
        <w:tab/>
      </w:r>
      <w:r w:rsidRPr="0097175B">
        <w:rPr>
          <w:color w:val="000000" w:themeColor="text1"/>
        </w:rPr>
        <w:t xml:space="preserve">Se adhiere a la segunda postura considerando que, </w:t>
      </w:r>
      <w:r w:rsidRPr="0097175B">
        <w:rPr>
          <w:bCs/>
          <w:color w:val="000000" w:themeColor="text1"/>
        </w:rPr>
        <w:t>si analizamos la prueba anticipada de manera detenida, se advierte que posee más elementos identificados a la materia cautelar de prueba (peligro en la demora de perder un medio de confirmación procesal) que de estadio probatorio previo.</w:t>
      </w:r>
      <w:r w:rsidRPr="0097175B">
        <w:rPr>
          <w:b/>
          <w:bCs/>
        </w:rPr>
        <w:t xml:space="preserve"> </w:t>
      </w:r>
    </w:p>
    <w:p w14:paraId="13FE1B7D" w14:textId="77777777" w:rsidR="0097175B" w:rsidRPr="0097175B" w:rsidRDefault="0097175B" w:rsidP="0097175B">
      <w:pPr>
        <w:pStyle w:val="NormalWeb"/>
        <w:shd w:val="clear" w:color="auto" w:fill="FFFFFF"/>
        <w:spacing w:before="0" w:beforeAutospacing="0" w:after="410" w:afterAutospacing="0" w:line="360" w:lineRule="auto"/>
        <w:jc w:val="both"/>
        <w:rPr>
          <w:b/>
          <w:bCs/>
        </w:rPr>
      </w:pPr>
      <w:r w:rsidRPr="0097175B">
        <w:rPr>
          <w:b/>
          <w:bCs/>
        </w:rPr>
        <w:t xml:space="preserve"> </w:t>
      </w:r>
      <w:r w:rsidRPr="0097175B">
        <w:rPr>
          <w:b/>
          <w:bCs/>
        </w:rPr>
        <w:tab/>
      </w:r>
      <w:r w:rsidRPr="0097175B">
        <w:t xml:space="preserve">El maestro Adolfo </w:t>
      </w:r>
      <w:r w:rsidRPr="0097175B">
        <w:rPr>
          <w:bCs/>
          <w:color w:val="000000" w:themeColor="text1"/>
        </w:rPr>
        <w:t xml:space="preserve">Alvarado Velloso cuando trata las peticiones cautelares, ubica a la prueba anticipada dentro de las cautelas que protegen la producción anticipada de </w:t>
      </w:r>
      <w:r w:rsidRPr="0097175B">
        <w:rPr>
          <w:bCs/>
          <w:color w:val="000000" w:themeColor="text1"/>
        </w:rPr>
        <w:lastRenderedPageBreak/>
        <w:t xml:space="preserve">ciertos medios de confirmación procesal y esta es la regulación seguida por el Código Procesal Modelo del Instituto Panamericano de Derecho Procesal. </w:t>
      </w:r>
    </w:p>
    <w:p w14:paraId="167150EC" w14:textId="77777777" w:rsidR="0097175B" w:rsidRPr="0097175B" w:rsidRDefault="0097175B" w:rsidP="0097175B">
      <w:pPr>
        <w:spacing w:line="360" w:lineRule="auto"/>
        <w:jc w:val="both"/>
        <w:rPr>
          <w:rFonts w:ascii="Times New Roman" w:hAnsi="Times New Roman" w:cs="Times New Roman"/>
          <w:color w:val="000000" w:themeColor="text1"/>
          <w:sz w:val="24"/>
          <w:szCs w:val="24"/>
          <w:shd w:val="clear" w:color="auto" w:fill="FCFCFC"/>
        </w:rPr>
      </w:pPr>
      <w:r w:rsidRPr="0097175B">
        <w:rPr>
          <w:rFonts w:ascii="Times New Roman" w:hAnsi="Times New Roman" w:cs="Times New Roman"/>
          <w:bCs/>
          <w:color w:val="000000" w:themeColor="text1"/>
          <w:sz w:val="24"/>
          <w:szCs w:val="24"/>
        </w:rPr>
        <w:t xml:space="preserve"> </w:t>
      </w:r>
      <w:r w:rsidRPr="0097175B">
        <w:rPr>
          <w:rFonts w:ascii="Times New Roman" w:hAnsi="Times New Roman" w:cs="Times New Roman"/>
          <w:bCs/>
          <w:color w:val="000000" w:themeColor="text1"/>
          <w:sz w:val="24"/>
          <w:szCs w:val="24"/>
        </w:rPr>
        <w:tab/>
        <w:t xml:space="preserve"> Sostiene así, que es un tipo de cautela </w:t>
      </w:r>
      <w:r w:rsidRPr="0097175B">
        <w:rPr>
          <w:rFonts w:ascii="Times New Roman" w:hAnsi="Times New Roman" w:cs="Times New Roman"/>
          <w:color w:val="000000" w:themeColor="text1"/>
          <w:sz w:val="24"/>
          <w:szCs w:val="24"/>
          <w:shd w:val="clear" w:color="auto" w:fill="FCFCFC"/>
        </w:rPr>
        <w:t xml:space="preserve">que tiene por finalidad la producción anticipada de ciertos medios de confirmación procesal, que el </w:t>
      </w:r>
      <w:proofErr w:type="spellStart"/>
      <w:r w:rsidRPr="0097175B">
        <w:rPr>
          <w:rFonts w:ascii="Times New Roman" w:hAnsi="Times New Roman" w:cs="Times New Roman"/>
          <w:color w:val="000000" w:themeColor="text1"/>
          <w:sz w:val="24"/>
          <w:szCs w:val="24"/>
          <w:shd w:val="clear" w:color="auto" w:fill="FCFCFC"/>
        </w:rPr>
        <w:t>cautelante</w:t>
      </w:r>
      <w:proofErr w:type="spellEnd"/>
      <w:r w:rsidRPr="0097175B">
        <w:rPr>
          <w:rFonts w:ascii="Times New Roman" w:hAnsi="Times New Roman" w:cs="Times New Roman"/>
          <w:color w:val="000000" w:themeColor="text1"/>
          <w:sz w:val="24"/>
          <w:szCs w:val="24"/>
          <w:shd w:val="clear" w:color="auto" w:fill="FCFCFC"/>
        </w:rPr>
        <w:t xml:space="preserve"> requiere realizar de inmediato, a veces aún antes de demandar pues podrían perderse con el paso del tiempo, volviéndose así de difícil o de imposible producción cuando se abra el estadio procedimental respectivo (por ejemplo, art. 486).</w:t>
      </w:r>
      <w:r w:rsidRPr="0097175B">
        <w:rPr>
          <w:rStyle w:val="Refdenotaalpie"/>
          <w:rFonts w:ascii="Times New Roman" w:hAnsi="Times New Roman" w:cs="Times New Roman"/>
          <w:color w:val="000000" w:themeColor="text1"/>
          <w:sz w:val="24"/>
          <w:szCs w:val="24"/>
          <w:shd w:val="clear" w:color="auto" w:fill="FCFCFC"/>
        </w:rPr>
        <w:footnoteReference w:id="3"/>
      </w:r>
      <w:r w:rsidRPr="0097175B">
        <w:rPr>
          <w:rFonts w:ascii="Times New Roman" w:hAnsi="Times New Roman" w:cs="Times New Roman"/>
          <w:color w:val="000000" w:themeColor="text1"/>
          <w:sz w:val="24"/>
          <w:szCs w:val="24"/>
          <w:shd w:val="clear" w:color="auto" w:fill="FCFCFC"/>
        </w:rPr>
        <w:t xml:space="preserve"> </w:t>
      </w:r>
      <w:r w:rsidRPr="0097175B">
        <w:rPr>
          <w:rFonts w:ascii="Times New Roman" w:hAnsi="Times New Roman" w:cs="Times New Roman"/>
          <w:b/>
          <w:bCs/>
          <w:color w:val="000000" w:themeColor="text1"/>
          <w:sz w:val="24"/>
          <w:szCs w:val="24"/>
          <w:shd w:val="clear" w:color="auto" w:fill="FFFFFF"/>
        </w:rPr>
        <w:t xml:space="preserve"> </w:t>
      </w:r>
    </w:p>
    <w:p w14:paraId="143A1E4A" w14:textId="77777777" w:rsidR="0097175B" w:rsidRPr="0097175B" w:rsidRDefault="0097175B" w:rsidP="0097175B">
      <w:pPr>
        <w:pStyle w:val="NormalWeb"/>
        <w:shd w:val="clear" w:color="auto" w:fill="FFFFFF"/>
        <w:spacing w:before="0" w:beforeAutospacing="0" w:after="410" w:afterAutospacing="0" w:line="360" w:lineRule="auto"/>
        <w:ind w:firstLine="708"/>
        <w:jc w:val="both"/>
        <w:rPr>
          <w:color w:val="000000" w:themeColor="text1"/>
          <w:shd w:val="clear" w:color="auto" w:fill="FFFFFF"/>
        </w:rPr>
      </w:pPr>
      <w:r w:rsidRPr="0097175B">
        <w:rPr>
          <w:color w:val="000000" w:themeColor="text1"/>
          <w:shd w:val="clear" w:color="auto" w:fill="FFFFFF"/>
        </w:rPr>
        <w:t>En esa inmediatez subyace un temor del interesado que recae en que pueden desaparecer por el transcurso del tiempo (testigo gravemente enfermo) o por la acción de la parte contraria o futura parte contraria que enterado de la demanda o de las intenciones de demandar puede destruir un documento, o alterar el estado de ciertas cosas.</w:t>
      </w:r>
    </w:p>
    <w:p w14:paraId="14A8CB56" w14:textId="77777777" w:rsidR="0097175B" w:rsidRPr="0097175B" w:rsidRDefault="0097175B" w:rsidP="0097175B">
      <w:pPr>
        <w:pStyle w:val="NormalWeb"/>
        <w:shd w:val="clear" w:color="auto" w:fill="FFFFFF"/>
        <w:spacing w:before="0" w:beforeAutospacing="0" w:after="410" w:afterAutospacing="0" w:line="360" w:lineRule="auto"/>
        <w:ind w:firstLine="708"/>
        <w:jc w:val="both"/>
        <w:rPr>
          <w:color w:val="000000" w:themeColor="text1"/>
          <w:shd w:val="clear" w:color="auto" w:fill="FFFFFF"/>
        </w:rPr>
      </w:pPr>
      <w:r w:rsidRPr="0097175B">
        <w:rPr>
          <w:color w:val="000000" w:themeColor="text1"/>
          <w:shd w:val="clear" w:color="auto" w:fill="FFFFFF"/>
        </w:rPr>
        <w:t xml:space="preserve"> El ejemplo paradigmático lo constituye el secuestro de la historia clínica en los casos de mala praxis médica, a los fines de evitar la destrucción o alteración de la misma. </w:t>
      </w:r>
    </w:p>
    <w:p w14:paraId="2A8D5C8A" w14:textId="77777777" w:rsidR="0097175B" w:rsidRPr="0097175B" w:rsidRDefault="0097175B" w:rsidP="0097175B">
      <w:pPr>
        <w:pStyle w:val="NormalWeb"/>
        <w:shd w:val="clear" w:color="auto" w:fill="FFFFFF"/>
        <w:spacing w:before="0" w:beforeAutospacing="0" w:after="410" w:afterAutospacing="0" w:line="360" w:lineRule="auto"/>
        <w:jc w:val="both"/>
        <w:rPr>
          <w:i/>
          <w:iCs/>
          <w:color w:val="000000" w:themeColor="text1"/>
          <w:shd w:val="clear" w:color="auto" w:fill="FCFCFC"/>
        </w:rPr>
      </w:pPr>
      <w:r w:rsidRPr="0097175B">
        <w:rPr>
          <w:i/>
          <w:iCs/>
          <w:color w:val="000000" w:themeColor="text1"/>
          <w:shd w:val="clear" w:color="auto" w:fill="FFFFFF"/>
        </w:rPr>
        <w:tab/>
      </w:r>
      <w:r w:rsidRPr="0097175B">
        <w:rPr>
          <w:b/>
          <w:bCs/>
          <w:color w:val="000000" w:themeColor="text1"/>
          <w:shd w:val="clear" w:color="auto" w:fill="FFFFFF"/>
        </w:rPr>
        <w:t>V.-</w:t>
      </w:r>
      <w:r w:rsidRPr="0097175B">
        <w:rPr>
          <w:i/>
          <w:iCs/>
          <w:color w:val="000000" w:themeColor="text1"/>
          <w:shd w:val="clear" w:color="auto" w:fill="FCFCFC"/>
        </w:rPr>
        <w:t xml:space="preserve"> </w:t>
      </w:r>
      <w:r w:rsidRPr="0097175B">
        <w:rPr>
          <w:b/>
          <w:bCs/>
          <w:color w:val="000000" w:themeColor="text1"/>
          <w:u w:val="single"/>
          <w:shd w:val="clear" w:color="auto" w:fill="FCFCFC"/>
        </w:rPr>
        <w:t>Supuesto precedente y consecuente</w:t>
      </w:r>
      <w:r w:rsidRPr="0097175B">
        <w:rPr>
          <w:b/>
          <w:bCs/>
          <w:color w:val="000000" w:themeColor="text1"/>
          <w:shd w:val="clear" w:color="auto" w:fill="FCFCFC"/>
        </w:rPr>
        <w:t xml:space="preserve">: </w:t>
      </w:r>
    </w:p>
    <w:p w14:paraId="0C23D9C0" w14:textId="77777777" w:rsidR="0097175B" w:rsidRPr="0097175B" w:rsidRDefault="0097175B" w:rsidP="0097175B">
      <w:pPr>
        <w:pStyle w:val="NormalWeb"/>
        <w:shd w:val="clear" w:color="auto" w:fill="FFFFFF"/>
        <w:spacing w:before="0" w:beforeAutospacing="0" w:after="410" w:afterAutospacing="0" w:line="360" w:lineRule="auto"/>
        <w:jc w:val="both"/>
        <w:rPr>
          <w:b/>
          <w:bCs/>
          <w:color w:val="000000" w:themeColor="text1"/>
          <w:shd w:val="clear" w:color="auto" w:fill="FCFCFC"/>
        </w:rPr>
      </w:pPr>
      <w:r w:rsidRPr="0097175B">
        <w:rPr>
          <w:color w:val="000000" w:themeColor="text1"/>
          <w:shd w:val="clear" w:color="auto" w:fill="FCFCFC"/>
        </w:rPr>
        <w:t xml:space="preserve"> </w:t>
      </w:r>
      <w:r w:rsidRPr="0097175B">
        <w:rPr>
          <w:color w:val="000000" w:themeColor="text1"/>
          <w:shd w:val="clear" w:color="auto" w:fill="FCFCFC"/>
        </w:rPr>
        <w:tab/>
      </w:r>
      <w:r w:rsidRPr="0097175B">
        <w:rPr>
          <w:b/>
          <w:bCs/>
          <w:color w:val="000000" w:themeColor="text1"/>
          <w:u w:val="single"/>
          <w:shd w:val="clear" w:color="auto" w:fill="FCFCFC"/>
        </w:rPr>
        <w:t>El supuesto precedente</w:t>
      </w:r>
      <w:r w:rsidRPr="0097175B">
        <w:rPr>
          <w:color w:val="000000" w:themeColor="text1"/>
          <w:shd w:val="clear" w:color="auto" w:fill="FCFCFC"/>
        </w:rPr>
        <w:t xml:space="preserve"> de esta cautela, se relaciona con los requisitos generales previstos en el Código Procesal Modelo del IPDP.</w:t>
      </w:r>
      <w:r w:rsidRPr="0097175B">
        <w:rPr>
          <w:b/>
          <w:bCs/>
          <w:color w:val="000000" w:themeColor="text1"/>
          <w:shd w:val="clear" w:color="auto" w:fill="FCFCFC"/>
        </w:rPr>
        <w:t xml:space="preserve"> </w:t>
      </w:r>
    </w:p>
    <w:p w14:paraId="56655664" w14:textId="77777777" w:rsidR="0097175B" w:rsidRPr="0097175B" w:rsidRDefault="0097175B" w:rsidP="0097175B">
      <w:pPr>
        <w:pStyle w:val="NormalWeb"/>
        <w:shd w:val="clear" w:color="auto" w:fill="FFFFFF"/>
        <w:spacing w:before="0" w:beforeAutospacing="0" w:after="410" w:afterAutospacing="0" w:line="360" w:lineRule="auto"/>
        <w:jc w:val="both"/>
        <w:rPr>
          <w:color w:val="000000" w:themeColor="text1"/>
          <w:shd w:val="clear" w:color="auto" w:fill="FCFCFC"/>
        </w:rPr>
      </w:pPr>
      <w:r w:rsidRPr="0097175B">
        <w:rPr>
          <w:color w:val="000000" w:themeColor="text1"/>
          <w:shd w:val="clear" w:color="auto" w:fill="FCFCFC"/>
        </w:rPr>
        <w:t xml:space="preserve"> </w:t>
      </w:r>
      <w:r w:rsidRPr="0097175B">
        <w:rPr>
          <w:color w:val="000000" w:themeColor="text1"/>
          <w:shd w:val="clear" w:color="auto" w:fill="FCFCFC"/>
        </w:rPr>
        <w:tab/>
        <w:t xml:space="preserve">1.- Temer quien es parte o quien vaya a ser parte en un proceso que un medio de confirmación puede resultar difícil o de imposible producción en etapa procesal oportuna. </w:t>
      </w:r>
    </w:p>
    <w:p w14:paraId="08B02AA6" w14:textId="77777777" w:rsidR="0097175B" w:rsidRPr="0097175B" w:rsidRDefault="0097175B" w:rsidP="0097175B">
      <w:pPr>
        <w:pStyle w:val="NormalWeb"/>
        <w:shd w:val="clear" w:color="auto" w:fill="FFFFFF"/>
        <w:spacing w:before="0" w:beforeAutospacing="0" w:after="410" w:afterAutospacing="0" w:line="360" w:lineRule="auto"/>
        <w:jc w:val="both"/>
        <w:rPr>
          <w:color w:val="000000" w:themeColor="text1"/>
          <w:shd w:val="clear" w:color="auto" w:fill="FCFCFC"/>
        </w:rPr>
      </w:pPr>
      <w:r w:rsidRPr="0097175B">
        <w:rPr>
          <w:color w:val="000000" w:themeColor="text1"/>
          <w:shd w:val="clear" w:color="auto" w:fill="FCFCFC"/>
        </w:rPr>
        <w:t xml:space="preserve"> </w:t>
      </w:r>
      <w:r w:rsidRPr="0097175B">
        <w:rPr>
          <w:color w:val="000000" w:themeColor="text1"/>
          <w:shd w:val="clear" w:color="auto" w:fill="FCFCFC"/>
        </w:rPr>
        <w:tab/>
        <w:t xml:space="preserve">2.- Tratarse de prueba testimonial, comprobación judicial o dictamen pericial.  </w:t>
      </w:r>
    </w:p>
    <w:p w14:paraId="6960E07E" w14:textId="77777777" w:rsidR="0097175B" w:rsidRPr="0097175B" w:rsidRDefault="0097175B" w:rsidP="0097175B">
      <w:pPr>
        <w:pStyle w:val="NormalWeb"/>
        <w:shd w:val="clear" w:color="auto" w:fill="FFFFFF"/>
        <w:spacing w:before="0" w:beforeAutospacing="0" w:after="410" w:afterAutospacing="0" w:line="360" w:lineRule="auto"/>
        <w:jc w:val="both"/>
        <w:rPr>
          <w:color w:val="000000" w:themeColor="text1"/>
          <w:shd w:val="clear" w:color="auto" w:fill="FCFCFC"/>
        </w:rPr>
      </w:pPr>
      <w:r w:rsidRPr="0097175B">
        <w:rPr>
          <w:color w:val="000000" w:themeColor="text1"/>
          <w:shd w:val="clear" w:color="auto" w:fill="FCFCFC"/>
        </w:rPr>
        <w:lastRenderedPageBreak/>
        <w:t xml:space="preserve"> </w:t>
      </w:r>
      <w:r w:rsidRPr="0097175B">
        <w:rPr>
          <w:color w:val="000000" w:themeColor="text1"/>
          <w:shd w:val="clear" w:color="auto" w:fill="FCFCFC"/>
        </w:rPr>
        <w:tab/>
        <w:t>3.- Peligro en la demora, es decir, debe existir un serio peligro objetivo de perder un medio de confirmación procesal. (Se debe justificar el elemento de riesgo en que se incurre y los peligros de su no producción).</w:t>
      </w:r>
    </w:p>
    <w:p w14:paraId="449138D6" w14:textId="77777777" w:rsidR="0097175B" w:rsidRPr="0097175B" w:rsidRDefault="0097175B" w:rsidP="0097175B">
      <w:pPr>
        <w:pStyle w:val="NormalWeb"/>
        <w:shd w:val="clear" w:color="auto" w:fill="FFFFFF"/>
        <w:spacing w:before="0" w:beforeAutospacing="0" w:after="410" w:afterAutospacing="0" w:line="360" w:lineRule="auto"/>
        <w:jc w:val="both"/>
        <w:rPr>
          <w:color w:val="000000" w:themeColor="text1"/>
          <w:shd w:val="clear" w:color="auto" w:fill="FCFCFC"/>
        </w:rPr>
      </w:pPr>
      <w:r w:rsidRPr="0097175B">
        <w:rPr>
          <w:color w:val="000000" w:themeColor="text1"/>
          <w:shd w:val="clear" w:color="auto" w:fill="FCFCFC"/>
        </w:rPr>
        <w:t xml:space="preserve"> </w:t>
      </w:r>
      <w:r w:rsidRPr="0097175B">
        <w:rPr>
          <w:color w:val="000000" w:themeColor="text1"/>
          <w:shd w:val="clear" w:color="auto" w:fill="FCFCFC"/>
        </w:rPr>
        <w:tab/>
        <w:t xml:space="preserve">4.- Perfecta bilateralización de la instancia confirmatoria. </w:t>
      </w:r>
    </w:p>
    <w:p w14:paraId="123E3546" w14:textId="77777777" w:rsidR="0097175B" w:rsidRPr="0097175B" w:rsidRDefault="0097175B" w:rsidP="0097175B">
      <w:pPr>
        <w:pStyle w:val="NormalWeb"/>
        <w:shd w:val="clear" w:color="auto" w:fill="FFFFFF"/>
        <w:spacing w:before="0" w:beforeAutospacing="0" w:after="410" w:afterAutospacing="0" w:line="360" w:lineRule="auto"/>
        <w:jc w:val="both"/>
        <w:rPr>
          <w:color w:val="000000" w:themeColor="text1"/>
          <w:shd w:val="clear" w:color="auto" w:fill="FCFCFC"/>
        </w:rPr>
      </w:pPr>
      <w:r w:rsidRPr="0097175B">
        <w:rPr>
          <w:color w:val="000000" w:themeColor="text1"/>
          <w:shd w:val="clear" w:color="auto" w:fill="FCFCFC"/>
        </w:rPr>
        <w:t xml:space="preserve"> </w:t>
      </w:r>
      <w:r w:rsidRPr="0097175B">
        <w:rPr>
          <w:color w:val="000000" w:themeColor="text1"/>
          <w:shd w:val="clear" w:color="auto" w:fill="FCFCFC"/>
        </w:rPr>
        <w:tab/>
      </w:r>
      <w:r w:rsidRPr="0097175B">
        <w:rPr>
          <w:b/>
          <w:bCs/>
          <w:color w:val="000000" w:themeColor="text1"/>
          <w:u w:val="single"/>
          <w:shd w:val="clear" w:color="auto" w:fill="FCFCFC"/>
        </w:rPr>
        <w:t>Supuesto consecuente</w:t>
      </w:r>
      <w:r w:rsidRPr="0097175B">
        <w:rPr>
          <w:b/>
          <w:bCs/>
          <w:color w:val="000000" w:themeColor="text1"/>
          <w:shd w:val="clear" w:color="auto" w:fill="FCFCFC"/>
        </w:rPr>
        <w:t>:</w:t>
      </w:r>
      <w:r w:rsidRPr="0097175B">
        <w:rPr>
          <w:color w:val="000000" w:themeColor="text1"/>
          <w:shd w:val="clear" w:color="auto" w:fill="FCFCFC"/>
        </w:rPr>
        <w:t xml:space="preserve"> Se despacha la prueba y en tanto hubiere sido con perfecta bilateralización, puede ser valorada asertivamente en la sentencia. </w:t>
      </w:r>
    </w:p>
    <w:p w14:paraId="778E7580" w14:textId="77777777" w:rsidR="0097175B" w:rsidRPr="0097175B" w:rsidRDefault="0097175B" w:rsidP="0097175B">
      <w:pPr>
        <w:pStyle w:val="NormalWeb"/>
        <w:shd w:val="clear" w:color="auto" w:fill="FFFFFF"/>
        <w:spacing w:before="0" w:beforeAutospacing="0" w:after="410" w:afterAutospacing="0" w:line="360" w:lineRule="auto"/>
        <w:jc w:val="both"/>
        <w:rPr>
          <w:color w:val="000000" w:themeColor="text1"/>
        </w:rPr>
      </w:pPr>
      <w:r w:rsidRPr="0097175B">
        <w:rPr>
          <w:color w:val="000000" w:themeColor="text1"/>
        </w:rPr>
        <w:t xml:space="preserve"> </w:t>
      </w:r>
      <w:r w:rsidRPr="0097175B">
        <w:rPr>
          <w:color w:val="000000" w:themeColor="text1"/>
        </w:rPr>
        <w:tab/>
        <w:t xml:space="preserve">No son requisitos en el caso los relativos a la verosimilitud del derecho y a la </w:t>
      </w:r>
      <w:proofErr w:type="spellStart"/>
      <w:r w:rsidRPr="0097175B">
        <w:rPr>
          <w:color w:val="000000" w:themeColor="text1"/>
        </w:rPr>
        <w:t>contracautela</w:t>
      </w:r>
      <w:proofErr w:type="spellEnd"/>
      <w:r w:rsidRPr="0097175B">
        <w:rPr>
          <w:rStyle w:val="Refdenotaalpie"/>
          <w:color w:val="000000" w:themeColor="text1"/>
        </w:rPr>
        <w:footnoteReference w:id="4"/>
      </w:r>
      <w:r w:rsidRPr="0097175B">
        <w:rPr>
          <w:color w:val="000000" w:themeColor="text1"/>
        </w:rPr>
        <w:t>.</w:t>
      </w:r>
    </w:p>
    <w:p w14:paraId="2F3E9CBF" w14:textId="77777777" w:rsidR="0097175B" w:rsidRPr="0097175B" w:rsidRDefault="0097175B" w:rsidP="0097175B">
      <w:pPr>
        <w:pStyle w:val="NormalWeb"/>
        <w:shd w:val="clear" w:color="auto" w:fill="FFFFFF"/>
        <w:spacing w:before="0" w:beforeAutospacing="0" w:after="410" w:afterAutospacing="0" w:line="360" w:lineRule="auto"/>
        <w:jc w:val="both"/>
        <w:rPr>
          <w:b/>
          <w:bCs/>
          <w:color w:val="4472C4" w:themeColor="accent1"/>
        </w:rPr>
      </w:pPr>
      <w:r w:rsidRPr="0097175B">
        <w:rPr>
          <w:b/>
          <w:bCs/>
          <w:color w:val="4472C4" w:themeColor="accent1"/>
        </w:rPr>
        <w:t xml:space="preserve"> </w:t>
      </w:r>
      <w:r w:rsidRPr="0097175B">
        <w:rPr>
          <w:b/>
          <w:bCs/>
          <w:color w:val="4472C4" w:themeColor="accent1"/>
        </w:rPr>
        <w:tab/>
      </w:r>
      <w:r w:rsidRPr="0097175B">
        <w:rPr>
          <w:b/>
          <w:bCs/>
          <w:color w:val="000000" w:themeColor="text1"/>
        </w:rPr>
        <w:t xml:space="preserve">VI.- </w:t>
      </w:r>
      <w:r w:rsidRPr="0097175B">
        <w:rPr>
          <w:b/>
          <w:bCs/>
          <w:color w:val="000000" w:themeColor="text1"/>
          <w:u w:val="single"/>
        </w:rPr>
        <w:t>Necesaria bilateralización y excepción:</w:t>
      </w:r>
    </w:p>
    <w:p w14:paraId="10101EEF" w14:textId="77777777" w:rsidR="0097175B" w:rsidRPr="0097175B" w:rsidRDefault="0097175B" w:rsidP="0097175B">
      <w:pPr>
        <w:pStyle w:val="NormalWeb"/>
        <w:shd w:val="clear" w:color="auto" w:fill="FFFFFF"/>
        <w:spacing w:before="0" w:beforeAutospacing="0" w:after="410" w:afterAutospacing="0" w:line="360" w:lineRule="auto"/>
        <w:jc w:val="both"/>
        <w:rPr>
          <w:color w:val="000000" w:themeColor="text1"/>
          <w:shd w:val="clear" w:color="auto" w:fill="FCFCFC"/>
        </w:rPr>
      </w:pPr>
      <w:r w:rsidRPr="0097175B">
        <w:rPr>
          <w:color w:val="000000" w:themeColor="text1"/>
          <w:shd w:val="clear" w:color="auto" w:fill="FCFCFC"/>
        </w:rPr>
        <w:t xml:space="preserve"> </w:t>
      </w:r>
      <w:r w:rsidRPr="0097175B">
        <w:rPr>
          <w:color w:val="000000" w:themeColor="text1"/>
          <w:shd w:val="clear" w:color="auto" w:fill="FCFCFC"/>
        </w:rPr>
        <w:tab/>
        <w:t xml:space="preserve">Ahora bien, el proceso es una serie lógica y consecuencial de instancias bilaterales conectadas entre sí por la autoridad. </w:t>
      </w:r>
    </w:p>
    <w:p w14:paraId="557F7E9B" w14:textId="77777777" w:rsidR="0097175B" w:rsidRPr="0097175B" w:rsidRDefault="0097175B" w:rsidP="0097175B">
      <w:pPr>
        <w:spacing w:line="360" w:lineRule="auto"/>
        <w:jc w:val="both"/>
        <w:rPr>
          <w:rFonts w:ascii="Times New Roman" w:hAnsi="Times New Roman" w:cs="Times New Roman"/>
          <w:color w:val="000000" w:themeColor="text1"/>
          <w:sz w:val="24"/>
          <w:szCs w:val="24"/>
          <w:shd w:val="clear" w:color="auto" w:fill="FCFCFC"/>
        </w:rPr>
      </w:pPr>
      <w:r w:rsidRPr="0097175B">
        <w:rPr>
          <w:rFonts w:ascii="Times New Roman" w:hAnsi="Times New Roman" w:cs="Times New Roman"/>
          <w:b/>
          <w:bCs/>
          <w:color w:val="000000" w:themeColor="text1"/>
          <w:sz w:val="24"/>
          <w:szCs w:val="24"/>
          <w:shd w:val="clear" w:color="auto" w:fill="FCFCFC"/>
        </w:rPr>
        <w:t xml:space="preserve"> </w:t>
      </w:r>
      <w:r w:rsidRPr="0097175B">
        <w:rPr>
          <w:rFonts w:ascii="Times New Roman" w:hAnsi="Times New Roman" w:cs="Times New Roman"/>
          <w:b/>
          <w:bCs/>
          <w:color w:val="000000" w:themeColor="text1"/>
          <w:sz w:val="24"/>
          <w:szCs w:val="24"/>
          <w:shd w:val="clear" w:color="auto" w:fill="FCFCFC"/>
        </w:rPr>
        <w:tab/>
      </w:r>
      <w:r w:rsidRPr="0097175B">
        <w:rPr>
          <w:rFonts w:ascii="Times New Roman" w:hAnsi="Times New Roman" w:cs="Times New Roman"/>
          <w:color w:val="000000" w:themeColor="text1"/>
          <w:sz w:val="24"/>
          <w:szCs w:val="24"/>
          <w:shd w:val="clear" w:color="auto" w:fill="FCFCFC"/>
        </w:rPr>
        <w:t xml:space="preserve">Esa autoridad, debe respetar el principio de igualdad como presupuesto del debido proceso legal, garantizando la bilateralidad de la instancia confirmatoria, respecto de todos los interesados en ella.  </w:t>
      </w:r>
      <w:r w:rsidRPr="0097175B">
        <w:rPr>
          <w:rFonts w:ascii="Times New Roman" w:hAnsi="Times New Roman" w:cs="Times New Roman"/>
          <w:b/>
          <w:bCs/>
          <w:color w:val="000000" w:themeColor="text1"/>
          <w:sz w:val="24"/>
          <w:szCs w:val="24"/>
          <w:shd w:val="clear" w:color="auto" w:fill="FCFCFC"/>
        </w:rPr>
        <w:t>No solo el beneficiario del resultado confirmatorio, sino muy ESPECIALMENTE quien pueda sufrir los efectos contrarios de él.</w:t>
      </w:r>
      <w:r w:rsidRPr="0097175B">
        <w:rPr>
          <w:rFonts w:ascii="Times New Roman" w:hAnsi="Times New Roman" w:cs="Times New Roman"/>
          <w:color w:val="000000" w:themeColor="text1"/>
          <w:sz w:val="24"/>
          <w:szCs w:val="24"/>
          <w:shd w:val="clear" w:color="auto" w:fill="FCFCFC"/>
        </w:rPr>
        <w:t xml:space="preserve"> </w:t>
      </w:r>
      <w:r w:rsidRPr="0097175B">
        <w:rPr>
          <w:rStyle w:val="Refdenotaalpie"/>
          <w:rFonts w:ascii="Times New Roman" w:hAnsi="Times New Roman" w:cs="Times New Roman"/>
          <w:color w:val="000000" w:themeColor="text1"/>
          <w:sz w:val="24"/>
          <w:szCs w:val="24"/>
          <w:shd w:val="clear" w:color="auto" w:fill="FCFCFC"/>
        </w:rPr>
        <w:footnoteReference w:id="5"/>
      </w:r>
    </w:p>
    <w:p w14:paraId="1728DA9A" w14:textId="77777777" w:rsidR="0097175B" w:rsidRPr="0097175B" w:rsidRDefault="0097175B" w:rsidP="0097175B">
      <w:pPr>
        <w:spacing w:line="360" w:lineRule="auto"/>
        <w:jc w:val="both"/>
        <w:rPr>
          <w:rFonts w:ascii="Times New Roman" w:hAnsi="Times New Roman" w:cs="Times New Roman"/>
          <w:color w:val="000000" w:themeColor="text1"/>
          <w:sz w:val="24"/>
          <w:szCs w:val="24"/>
          <w:shd w:val="clear" w:color="auto" w:fill="FCFCFC"/>
        </w:rPr>
      </w:pPr>
      <w:r w:rsidRPr="0097175B">
        <w:rPr>
          <w:rFonts w:ascii="Times New Roman" w:hAnsi="Times New Roman" w:cs="Times New Roman"/>
          <w:color w:val="000000" w:themeColor="text1"/>
          <w:sz w:val="24"/>
          <w:szCs w:val="24"/>
          <w:shd w:val="clear" w:color="auto" w:fill="FCFCFC"/>
        </w:rPr>
        <w:t xml:space="preserve"> </w:t>
      </w:r>
      <w:r w:rsidRPr="0097175B">
        <w:rPr>
          <w:rFonts w:ascii="Times New Roman" w:hAnsi="Times New Roman" w:cs="Times New Roman"/>
          <w:color w:val="000000" w:themeColor="text1"/>
          <w:sz w:val="24"/>
          <w:szCs w:val="24"/>
          <w:shd w:val="clear" w:color="auto" w:fill="FCFCFC"/>
        </w:rPr>
        <w:tab/>
        <w:t xml:space="preserve">Solo así, el resultado del respectivo medio de confirmación, tendrá eficacia probatoria al momento de la sentencia.  </w:t>
      </w:r>
    </w:p>
    <w:p w14:paraId="1556F4B4" w14:textId="77777777" w:rsidR="0097175B" w:rsidRPr="0097175B" w:rsidRDefault="0097175B" w:rsidP="0097175B">
      <w:pPr>
        <w:spacing w:line="360" w:lineRule="auto"/>
        <w:jc w:val="both"/>
        <w:rPr>
          <w:rFonts w:ascii="Times New Roman" w:hAnsi="Times New Roman" w:cs="Times New Roman"/>
          <w:b/>
          <w:bCs/>
          <w:color w:val="000000" w:themeColor="text1"/>
          <w:sz w:val="24"/>
          <w:szCs w:val="24"/>
          <w:shd w:val="clear" w:color="auto" w:fill="FCFCFC"/>
        </w:rPr>
      </w:pPr>
      <w:r w:rsidRPr="0097175B">
        <w:rPr>
          <w:rFonts w:ascii="Times New Roman" w:hAnsi="Times New Roman" w:cs="Times New Roman"/>
          <w:color w:val="000000" w:themeColor="text1"/>
          <w:sz w:val="24"/>
          <w:szCs w:val="24"/>
          <w:shd w:val="clear" w:color="auto" w:fill="FCFCFC"/>
        </w:rPr>
        <w:t xml:space="preserve"> </w:t>
      </w:r>
      <w:r w:rsidRPr="0097175B">
        <w:rPr>
          <w:rFonts w:ascii="Times New Roman" w:hAnsi="Times New Roman" w:cs="Times New Roman"/>
          <w:color w:val="000000" w:themeColor="text1"/>
          <w:sz w:val="24"/>
          <w:szCs w:val="24"/>
          <w:shd w:val="clear" w:color="auto" w:fill="FCFCFC"/>
        </w:rPr>
        <w:tab/>
      </w:r>
      <w:r w:rsidRPr="0097175B">
        <w:rPr>
          <w:rFonts w:ascii="Times New Roman" w:hAnsi="Times New Roman" w:cs="Times New Roman"/>
          <w:b/>
          <w:bCs/>
          <w:color w:val="000000" w:themeColor="text1"/>
          <w:sz w:val="24"/>
          <w:szCs w:val="24"/>
          <w:shd w:val="clear" w:color="auto" w:fill="FCFCFC"/>
        </w:rPr>
        <w:t>EXCEPCION:</w:t>
      </w:r>
    </w:p>
    <w:p w14:paraId="43F65E0E" w14:textId="77777777" w:rsidR="0097175B" w:rsidRPr="0097175B" w:rsidRDefault="0097175B" w:rsidP="0097175B">
      <w:pPr>
        <w:spacing w:line="360" w:lineRule="auto"/>
        <w:jc w:val="both"/>
        <w:rPr>
          <w:rFonts w:ascii="Times New Roman" w:hAnsi="Times New Roman" w:cs="Times New Roman"/>
          <w:color w:val="000000" w:themeColor="text1"/>
          <w:sz w:val="24"/>
          <w:szCs w:val="24"/>
          <w:shd w:val="clear" w:color="auto" w:fill="FCFCFC"/>
        </w:rPr>
      </w:pPr>
      <w:r w:rsidRPr="0097175B">
        <w:rPr>
          <w:rFonts w:ascii="Times New Roman" w:hAnsi="Times New Roman" w:cs="Times New Roman"/>
          <w:color w:val="000000" w:themeColor="text1"/>
          <w:sz w:val="24"/>
          <w:szCs w:val="24"/>
          <w:shd w:val="clear" w:color="auto" w:fill="FCFCFC"/>
        </w:rPr>
        <w:t xml:space="preserve"> </w:t>
      </w:r>
      <w:r w:rsidRPr="0097175B">
        <w:rPr>
          <w:rFonts w:ascii="Times New Roman" w:hAnsi="Times New Roman" w:cs="Times New Roman"/>
          <w:color w:val="000000" w:themeColor="text1"/>
          <w:sz w:val="24"/>
          <w:szCs w:val="24"/>
          <w:shd w:val="clear" w:color="auto" w:fill="FCFCFC"/>
        </w:rPr>
        <w:tab/>
        <w:t xml:space="preserve">Sin embargo, existen situaciones de excepción caracterizados por la urgencia, que permiten prescindir la bilateralización, es decir, hacer las citaciones del caso. </w:t>
      </w:r>
    </w:p>
    <w:p w14:paraId="5D830F8F" w14:textId="77777777" w:rsidR="0097175B" w:rsidRPr="0097175B" w:rsidRDefault="0097175B" w:rsidP="0097175B">
      <w:pPr>
        <w:spacing w:line="360" w:lineRule="auto"/>
        <w:jc w:val="both"/>
        <w:rPr>
          <w:rFonts w:ascii="Times New Roman" w:hAnsi="Times New Roman" w:cs="Times New Roman"/>
          <w:b/>
          <w:bCs/>
          <w:color w:val="000000" w:themeColor="text1"/>
          <w:sz w:val="24"/>
          <w:szCs w:val="24"/>
          <w:shd w:val="clear" w:color="auto" w:fill="FCFCFC"/>
        </w:rPr>
      </w:pPr>
      <w:r w:rsidRPr="0097175B">
        <w:rPr>
          <w:rFonts w:ascii="Times New Roman" w:hAnsi="Times New Roman" w:cs="Times New Roman"/>
          <w:b/>
          <w:bCs/>
          <w:color w:val="000000" w:themeColor="text1"/>
          <w:sz w:val="24"/>
          <w:szCs w:val="24"/>
          <w:shd w:val="clear" w:color="auto" w:fill="FCFCFC"/>
        </w:rPr>
        <w:lastRenderedPageBreak/>
        <w:t xml:space="preserve"> </w:t>
      </w:r>
      <w:r w:rsidRPr="0097175B">
        <w:rPr>
          <w:rFonts w:ascii="Times New Roman" w:hAnsi="Times New Roman" w:cs="Times New Roman"/>
          <w:b/>
          <w:bCs/>
          <w:color w:val="000000" w:themeColor="text1"/>
          <w:sz w:val="24"/>
          <w:szCs w:val="24"/>
          <w:shd w:val="clear" w:color="auto" w:fill="FCFCFC"/>
        </w:rPr>
        <w:tab/>
        <w:t xml:space="preserve">Ejemplo: Debe tratarse de una urgencia tal que impida demorar el lapso de tiempo que implica una notificación. </w:t>
      </w:r>
    </w:p>
    <w:p w14:paraId="07F8BDF0" w14:textId="77777777" w:rsidR="0097175B" w:rsidRPr="0097175B" w:rsidRDefault="0097175B" w:rsidP="0097175B">
      <w:pPr>
        <w:spacing w:line="360" w:lineRule="auto"/>
        <w:jc w:val="both"/>
        <w:rPr>
          <w:rFonts w:ascii="Times New Roman" w:hAnsi="Times New Roman" w:cs="Times New Roman"/>
          <w:color w:val="000000" w:themeColor="text1"/>
          <w:sz w:val="24"/>
          <w:szCs w:val="24"/>
          <w:shd w:val="clear" w:color="auto" w:fill="FCFCFC"/>
        </w:rPr>
      </w:pPr>
      <w:r w:rsidRPr="0097175B">
        <w:rPr>
          <w:rFonts w:ascii="Times New Roman" w:hAnsi="Times New Roman" w:cs="Times New Roman"/>
          <w:color w:val="000000" w:themeColor="text1"/>
          <w:sz w:val="24"/>
          <w:szCs w:val="24"/>
          <w:shd w:val="clear" w:color="auto" w:fill="FCFCFC"/>
        </w:rPr>
        <w:t>a.- Domicilio real de la contraria o futura parte contraria se encuentre fuera del radio del tribunal o;</w:t>
      </w:r>
    </w:p>
    <w:p w14:paraId="6C9B639F" w14:textId="77777777" w:rsidR="0097175B" w:rsidRPr="0097175B" w:rsidRDefault="0097175B" w:rsidP="0097175B">
      <w:pPr>
        <w:spacing w:line="360" w:lineRule="auto"/>
        <w:jc w:val="both"/>
        <w:rPr>
          <w:rFonts w:ascii="Times New Roman" w:hAnsi="Times New Roman" w:cs="Times New Roman"/>
          <w:color w:val="000000" w:themeColor="text1"/>
          <w:sz w:val="24"/>
          <w:szCs w:val="24"/>
          <w:shd w:val="clear" w:color="auto" w:fill="FCFCFC"/>
        </w:rPr>
      </w:pPr>
      <w:r w:rsidRPr="0097175B">
        <w:rPr>
          <w:rFonts w:ascii="Times New Roman" w:hAnsi="Times New Roman" w:cs="Times New Roman"/>
          <w:color w:val="000000" w:themeColor="text1"/>
          <w:sz w:val="24"/>
          <w:szCs w:val="24"/>
          <w:shd w:val="clear" w:color="auto" w:fill="FCFCFC"/>
        </w:rPr>
        <w:t xml:space="preserve">b.- Cuando se desconozca el domicilio o existan dificultades para practicar allí la notificación. </w:t>
      </w:r>
    </w:p>
    <w:p w14:paraId="2049B6E3" w14:textId="77777777" w:rsidR="0097175B" w:rsidRPr="0097175B" w:rsidRDefault="0097175B" w:rsidP="0097175B">
      <w:pPr>
        <w:spacing w:line="360" w:lineRule="auto"/>
        <w:jc w:val="both"/>
        <w:rPr>
          <w:rFonts w:ascii="Times New Roman" w:hAnsi="Times New Roman" w:cs="Times New Roman"/>
          <w:color w:val="000000" w:themeColor="text1"/>
          <w:sz w:val="24"/>
          <w:szCs w:val="24"/>
          <w:shd w:val="clear" w:color="auto" w:fill="FCFCFC"/>
        </w:rPr>
      </w:pPr>
      <w:r w:rsidRPr="0097175B">
        <w:rPr>
          <w:rFonts w:ascii="Times New Roman" w:hAnsi="Times New Roman" w:cs="Times New Roman"/>
          <w:color w:val="000000" w:themeColor="text1"/>
          <w:sz w:val="24"/>
          <w:szCs w:val="24"/>
          <w:shd w:val="clear" w:color="auto" w:fill="FCFCFC"/>
        </w:rPr>
        <w:t xml:space="preserve">c.- Otras veces, por ejemplo, </w:t>
      </w:r>
      <w:r w:rsidRPr="0097175B">
        <w:rPr>
          <w:rFonts w:ascii="Times New Roman" w:hAnsi="Times New Roman" w:cs="Times New Roman"/>
          <w:color w:val="000000" w:themeColor="text1"/>
          <w:sz w:val="24"/>
          <w:szCs w:val="24"/>
          <w:u w:val="single"/>
          <w:shd w:val="clear" w:color="auto" w:fill="FCFCFC"/>
        </w:rPr>
        <w:t>el actor puede tener fundados motivos para sostener que, quien va a sufrir los efectos contrarios, hará todo lo posible para evitar su realización. (Destrucción</w:t>
      </w:r>
      <w:r w:rsidRPr="0097175B">
        <w:rPr>
          <w:rFonts w:ascii="Times New Roman" w:hAnsi="Times New Roman" w:cs="Times New Roman"/>
          <w:color w:val="000000" w:themeColor="text1"/>
          <w:sz w:val="24"/>
          <w:szCs w:val="24"/>
          <w:shd w:val="clear" w:color="auto" w:fill="FCFCFC"/>
        </w:rPr>
        <w:t xml:space="preserve"> de un documento). </w:t>
      </w:r>
    </w:p>
    <w:p w14:paraId="46F9DA23" w14:textId="77777777" w:rsidR="0097175B" w:rsidRPr="0097175B" w:rsidRDefault="0097175B" w:rsidP="0097175B">
      <w:pPr>
        <w:spacing w:line="360" w:lineRule="auto"/>
        <w:jc w:val="both"/>
        <w:rPr>
          <w:rFonts w:ascii="Times New Roman" w:hAnsi="Times New Roman" w:cs="Times New Roman"/>
          <w:color w:val="000000" w:themeColor="text1"/>
          <w:sz w:val="24"/>
          <w:szCs w:val="24"/>
          <w:shd w:val="clear" w:color="auto" w:fill="FCFCFC"/>
        </w:rPr>
      </w:pPr>
      <w:r w:rsidRPr="0097175B">
        <w:rPr>
          <w:rFonts w:ascii="Times New Roman" w:hAnsi="Times New Roman" w:cs="Times New Roman"/>
          <w:b/>
          <w:bCs/>
          <w:color w:val="000000" w:themeColor="text1"/>
          <w:sz w:val="24"/>
          <w:szCs w:val="24"/>
          <w:shd w:val="clear" w:color="auto" w:fill="FCFCFC"/>
        </w:rPr>
        <w:tab/>
      </w:r>
      <w:r w:rsidRPr="0097175B">
        <w:rPr>
          <w:rFonts w:ascii="Times New Roman" w:hAnsi="Times New Roman" w:cs="Times New Roman"/>
          <w:color w:val="000000" w:themeColor="text1"/>
          <w:sz w:val="24"/>
          <w:szCs w:val="24"/>
          <w:shd w:val="clear" w:color="auto" w:fill="FCFCFC"/>
        </w:rPr>
        <w:t xml:space="preserve">Previendo tales situaciones, los códigos permiten el despacho inmediato de la medida confirmatoria </w:t>
      </w:r>
      <w:r w:rsidRPr="0097175B">
        <w:rPr>
          <w:rFonts w:ascii="Times New Roman" w:hAnsi="Times New Roman" w:cs="Times New Roman"/>
          <w:b/>
          <w:bCs/>
          <w:color w:val="000000" w:themeColor="text1"/>
          <w:sz w:val="24"/>
          <w:szCs w:val="24"/>
          <w:shd w:val="clear" w:color="auto" w:fill="FCFCFC"/>
        </w:rPr>
        <w:t>sin la previa o contemporánea audiencia del que resultará afectado por ella</w:t>
      </w:r>
      <w:r w:rsidRPr="0097175B">
        <w:rPr>
          <w:rFonts w:ascii="Times New Roman" w:hAnsi="Times New Roman" w:cs="Times New Roman"/>
          <w:color w:val="000000" w:themeColor="text1"/>
          <w:sz w:val="24"/>
          <w:szCs w:val="24"/>
          <w:shd w:val="clear" w:color="auto" w:fill="FCFCFC"/>
        </w:rPr>
        <w:t xml:space="preserve"> y en su lugar, prevén en este tipo de supuestos, la intervención del ministerio público fiscal, o del defensor oficial. </w:t>
      </w:r>
    </w:p>
    <w:p w14:paraId="7A3248FA" w14:textId="77777777" w:rsidR="0097175B" w:rsidRPr="0097175B" w:rsidRDefault="0097175B" w:rsidP="0097175B">
      <w:pPr>
        <w:spacing w:line="360" w:lineRule="auto"/>
        <w:jc w:val="both"/>
        <w:rPr>
          <w:rFonts w:ascii="Times New Roman" w:hAnsi="Times New Roman" w:cs="Times New Roman"/>
          <w:color w:val="000000" w:themeColor="text1"/>
          <w:sz w:val="24"/>
          <w:szCs w:val="24"/>
          <w:shd w:val="clear" w:color="auto" w:fill="FCFCFC"/>
        </w:rPr>
      </w:pPr>
      <w:r w:rsidRPr="0097175B">
        <w:rPr>
          <w:rFonts w:ascii="Times New Roman" w:hAnsi="Times New Roman" w:cs="Times New Roman"/>
          <w:color w:val="000000" w:themeColor="text1"/>
          <w:sz w:val="24"/>
          <w:szCs w:val="24"/>
          <w:shd w:val="clear" w:color="auto" w:fill="FCFCFC"/>
        </w:rPr>
        <w:tab/>
        <w:t>Pero esto es de verdadera excepción.</w:t>
      </w:r>
    </w:p>
    <w:p w14:paraId="76269DF8" w14:textId="77777777" w:rsidR="0097175B" w:rsidRPr="0097175B" w:rsidRDefault="0097175B" w:rsidP="0097175B">
      <w:pPr>
        <w:spacing w:line="360" w:lineRule="auto"/>
        <w:jc w:val="both"/>
        <w:rPr>
          <w:rFonts w:ascii="Times New Roman" w:hAnsi="Times New Roman" w:cs="Times New Roman"/>
          <w:color w:val="000000" w:themeColor="text1"/>
          <w:sz w:val="24"/>
          <w:szCs w:val="24"/>
          <w:shd w:val="clear" w:color="auto" w:fill="FCFCFC"/>
        </w:rPr>
      </w:pPr>
      <w:r w:rsidRPr="0097175B">
        <w:rPr>
          <w:rFonts w:ascii="Times New Roman" w:hAnsi="Times New Roman" w:cs="Times New Roman"/>
          <w:color w:val="000000" w:themeColor="text1"/>
          <w:sz w:val="24"/>
          <w:szCs w:val="24"/>
          <w:shd w:val="clear" w:color="auto" w:fill="FCFCFC"/>
        </w:rPr>
        <w:t xml:space="preserve"> </w:t>
      </w:r>
      <w:r w:rsidRPr="0097175B">
        <w:rPr>
          <w:rFonts w:ascii="Times New Roman" w:hAnsi="Times New Roman" w:cs="Times New Roman"/>
          <w:color w:val="000000" w:themeColor="text1"/>
          <w:sz w:val="24"/>
          <w:szCs w:val="24"/>
          <w:shd w:val="clear" w:color="auto" w:fill="FCFCFC"/>
        </w:rPr>
        <w:tab/>
        <w:t xml:space="preserve">Solo procede en los casos de carencia de tiempo o para evitar la destrucción de prueba y no en otra ocasión. </w:t>
      </w:r>
    </w:p>
    <w:p w14:paraId="42873CBD" w14:textId="77777777" w:rsidR="0097175B" w:rsidRPr="0097175B" w:rsidRDefault="0097175B" w:rsidP="0097175B">
      <w:pPr>
        <w:spacing w:line="360" w:lineRule="auto"/>
        <w:jc w:val="both"/>
        <w:rPr>
          <w:rFonts w:ascii="Times New Roman" w:hAnsi="Times New Roman" w:cs="Times New Roman"/>
          <w:b/>
          <w:bCs/>
          <w:color w:val="FF0000"/>
          <w:sz w:val="24"/>
          <w:szCs w:val="24"/>
        </w:rPr>
      </w:pPr>
      <w:r w:rsidRPr="0097175B">
        <w:rPr>
          <w:rFonts w:ascii="Times New Roman" w:hAnsi="Times New Roman" w:cs="Times New Roman"/>
          <w:b/>
          <w:bCs/>
          <w:color w:val="000000" w:themeColor="text1"/>
          <w:sz w:val="24"/>
          <w:szCs w:val="24"/>
          <w:shd w:val="clear" w:color="auto" w:fill="FCFCFC"/>
        </w:rPr>
        <w:t xml:space="preserve"> </w:t>
      </w:r>
      <w:r w:rsidRPr="0097175B">
        <w:rPr>
          <w:rFonts w:ascii="Times New Roman" w:hAnsi="Times New Roman" w:cs="Times New Roman"/>
          <w:b/>
          <w:bCs/>
          <w:color w:val="000000" w:themeColor="text1"/>
          <w:sz w:val="24"/>
          <w:szCs w:val="24"/>
          <w:shd w:val="clear" w:color="auto" w:fill="FCFCFC"/>
        </w:rPr>
        <w:tab/>
        <w:t>VII.-Jurisprudencia sobre el asunto:</w:t>
      </w:r>
    </w:p>
    <w:p w14:paraId="5931EC0F" w14:textId="77777777" w:rsidR="0097175B" w:rsidRPr="0097175B" w:rsidRDefault="0097175B" w:rsidP="0097175B">
      <w:pPr>
        <w:spacing w:line="360" w:lineRule="auto"/>
        <w:jc w:val="both"/>
        <w:rPr>
          <w:rFonts w:ascii="Times New Roman" w:hAnsi="Times New Roman" w:cs="Times New Roman"/>
          <w:sz w:val="24"/>
          <w:szCs w:val="24"/>
        </w:rPr>
      </w:pPr>
      <w:r w:rsidRPr="0097175B">
        <w:rPr>
          <w:rFonts w:ascii="Times New Roman" w:hAnsi="Times New Roman" w:cs="Times New Roman"/>
          <w:sz w:val="24"/>
          <w:szCs w:val="24"/>
        </w:rPr>
        <w:t xml:space="preserve"> </w:t>
      </w:r>
      <w:r w:rsidRPr="0097175B">
        <w:rPr>
          <w:rFonts w:ascii="Times New Roman" w:hAnsi="Times New Roman" w:cs="Times New Roman"/>
          <w:sz w:val="24"/>
          <w:szCs w:val="24"/>
        </w:rPr>
        <w:tab/>
        <w:t xml:space="preserve">La Cámara Nacional de Apelaciones en lo Comercial, se pronunció en autos ZAIDI JORGE RICARDO C TRAVEL GROUP. </w:t>
      </w:r>
    </w:p>
    <w:p w14:paraId="6B39EDA3" w14:textId="77777777" w:rsidR="0097175B" w:rsidRPr="0097175B" w:rsidRDefault="0097175B" w:rsidP="0097175B">
      <w:pPr>
        <w:spacing w:line="360" w:lineRule="auto"/>
        <w:jc w:val="both"/>
        <w:rPr>
          <w:rFonts w:ascii="Times New Roman" w:hAnsi="Times New Roman" w:cs="Times New Roman"/>
          <w:sz w:val="24"/>
          <w:szCs w:val="24"/>
        </w:rPr>
      </w:pPr>
      <w:r w:rsidRPr="0097175B">
        <w:rPr>
          <w:rFonts w:ascii="Times New Roman" w:hAnsi="Times New Roman" w:cs="Times New Roman"/>
          <w:sz w:val="24"/>
          <w:szCs w:val="24"/>
        </w:rPr>
        <w:t xml:space="preserve"> </w:t>
      </w:r>
      <w:r w:rsidRPr="0097175B">
        <w:rPr>
          <w:rFonts w:ascii="Times New Roman" w:hAnsi="Times New Roman" w:cs="Times New Roman"/>
          <w:sz w:val="24"/>
          <w:szCs w:val="24"/>
        </w:rPr>
        <w:tab/>
        <w:t xml:space="preserve">En el supuesto en examen, el defensor oficial apeló la decisión del juez de 1era instancia, que hizo lugar a la prueba anticipada con su previa citación para intervenir en la diligencia. </w:t>
      </w:r>
    </w:p>
    <w:p w14:paraId="285E7F87" w14:textId="77777777" w:rsidR="0097175B" w:rsidRPr="0097175B" w:rsidRDefault="0097175B" w:rsidP="0097175B">
      <w:pPr>
        <w:spacing w:line="360" w:lineRule="auto"/>
        <w:jc w:val="both"/>
        <w:rPr>
          <w:rFonts w:ascii="Times New Roman" w:hAnsi="Times New Roman" w:cs="Times New Roman"/>
          <w:color w:val="000000" w:themeColor="text1"/>
          <w:sz w:val="24"/>
          <w:szCs w:val="24"/>
        </w:rPr>
      </w:pPr>
      <w:r w:rsidRPr="0097175B">
        <w:rPr>
          <w:rFonts w:ascii="Times New Roman" w:hAnsi="Times New Roman" w:cs="Times New Roman"/>
          <w:sz w:val="24"/>
          <w:szCs w:val="24"/>
        </w:rPr>
        <w:t xml:space="preserve"> </w:t>
      </w:r>
      <w:r w:rsidRPr="0097175B">
        <w:rPr>
          <w:rFonts w:ascii="Times New Roman" w:hAnsi="Times New Roman" w:cs="Times New Roman"/>
          <w:sz w:val="24"/>
          <w:szCs w:val="24"/>
        </w:rPr>
        <w:tab/>
      </w:r>
      <w:r w:rsidRPr="0097175B">
        <w:rPr>
          <w:rFonts w:ascii="Times New Roman" w:hAnsi="Times New Roman" w:cs="Times New Roman"/>
          <w:color w:val="000000" w:themeColor="text1"/>
          <w:sz w:val="24"/>
          <w:szCs w:val="24"/>
        </w:rPr>
        <w:t xml:space="preserve">El defensor solicita dejar de lado su designación para intervenir en la diligencia, por no advertirse razones de urgencia que ameriten su intervención o representación. La intervención del mentado funcionario que prevé el art. 327 del Código Procesal, no sólo debe ser admitida en los casos de "urgencia" impostergable, sino también en todo supuesto en que el </w:t>
      </w:r>
      <w:proofErr w:type="spellStart"/>
      <w:r w:rsidRPr="0097175B">
        <w:rPr>
          <w:rFonts w:ascii="Times New Roman" w:hAnsi="Times New Roman" w:cs="Times New Roman"/>
          <w:color w:val="000000" w:themeColor="text1"/>
          <w:sz w:val="24"/>
          <w:szCs w:val="24"/>
        </w:rPr>
        <w:t>anoticiamiento</w:t>
      </w:r>
      <w:proofErr w:type="spellEnd"/>
      <w:r w:rsidRPr="0097175B">
        <w:rPr>
          <w:rFonts w:ascii="Times New Roman" w:hAnsi="Times New Roman" w:cs="Times New Roman"/>
          <w:color w:val="000000" w:themeColor="text1"/>
          <w:sz w:val="24"/>
          <w:szCs w:val="24"/>
        </w:rPr>
        <w:t xml:space="preserve"> a la parte contraria puede permitirle a ésta la preparación del objeto de la prueba. Tales extremos no se configuran en la especie, lo que </w:t>
      </w:r>
      <w:r w:rsidRPr="0097175B">
        <w:rPr>
          <w:rFonts w:ascii="Times New Roman" w:hAnsi="Times New Roman" w:cs="Times New Roman"/>
          <w:color w:val="000000" w:themeColor="text1"/>
          <w:sz w:val="24"/>
          <w:szCs w:val="24"/>
        </w:rPr>
        <w:lastRenderedPageBreak/>
        <w:t>no justifica la intervención dispuesta por la a quo. En supuestos de producción de prueba anticipada como aquí acontece, debe conferirse intervención a la contraria, a quien se debe citar al efecto que tenga la oportunidad de controlarla, resguardándose así el derecho de defensa en juicio de la accionada (</w:t>
      </w:r>
      <w:proofErr w:type="spellStart"/>
      <w:r w:rsidRPr="0097175B">
        <w:rPr>
          <w:rFonts w:ascii="Times New Roman" w:hAnsi="Times New Roman" w:cs="Times New Roman"/>
          <w:color w:val="000000" w:themeColor="text1"/>
          <w:sz w:val="24"/>
          <w:szCs w:val="24"/>
        </w:rPr>
        <w:t>conf</w:t>
      </w:r>
      <w:proofErr w:type="spellEnd"/>
      <w:r w:rsidRPr="0097175B">
        <w:rPr>
          <w:rFonts w:ascii="Times New Roman" w:hAnsi="Times New Roman" w:cs="Times New Roman"/>
          <w:color w:val="000000" w:themeColor="text1"/>
          <w:sz w:val="24"/>
          <w:szCs w:val="24"/>
        </w:rPr>
        <w:t xml:space="preserve">, art 327, cuarto párrafo </w:t>
      </w:r>
      <w:proofErr w:type="spellStart"/>
      <w:r w:rsidRPr="0097175B">
        <w:rPr>
          <w:rFonts w:ascii="Times New Roman" w:hAnsi="Times New Roman" w:cs="Times New Roman"/>
          <w:color w:val="000000" w:themeColor="text1"/>
          <w:sz w:val="24"/>
          <w:szCs w:val="24"/>
        </w:rPr>
        <w:t>Cpr</w:t>
      </w:r>
      <w:proofErr w:type="spellEnd"/>
      <w:r w:rsidRPr="0097175B">
        <w:rPr>
          <w:rFonts w:ascii="Times New Roman" w:hAnsi="Times New Roman" w:cs="Times New Roman"/>
          <w:color w:val="000000" w:themeColor="text1"/>
          <w:sz w:val="24"/>
          <w:szCs w:val="24"/>
        </w:rPr>
        <w:t xml:space="preserve">. Palacio- Velloso, “Código Procesal Civil y Comercial de la Nación” </w:t>
      </w:r>
      <w:proofErr w:type="spellStart"/>
      <w:r w:rsidRPr="0097175B">
        <w:rPr>
          <w:rFonts w:ascii="Times New Roman" w:hAnsi="Times New Roman" w:cs="Times New Roman"/>
          <w:color w:val="000000" w:themeColor="text1"/>
          <w:sz w:val="24"/>
          <w:szCs w:val="24"/>
        </w:rPr>
        <w:t>T.°</w:t>
      </w:r>
      <w:proofErr w:type="spellEnd"/>
      <w:r w:rsidRPr="0097175B">
        <w:rPr>
          <w:rFonts w:ascii="Times New Roman" w:hAnsi="Times New Roman" w:cs="Times New Roman"/>
          <w:color w:val="000000" w:themeColor="text1"/>
          <w:sz w:val="24"/>
          <w:szCs w:val="24"/>
        </w:rPr>
        <w:t xml:space="preserve"> 7, pág.218; Fassi, “Código Procesal Civil y Comercial de la Nación y demás normas procesales vigentes”. T.II pág.23).</w:t>
      </w:r>
    </w:p>
    <w:p w14:paraId="4C4F1484" w14:textId="77777777" w:rsidR="0097175B" w:rsidRPr="0097175B" w:rsidRDefault="0097175B" w:rsidP="0097175B">
      <w:pPr>
        <w:spacing w:line="360" w:lineRule="auto"/>
        <w:jc w:val="both"/>
        <w:rPr>
          <w:rFonts w:ascii="Times New Roman" w:hAnsi="Times New Roman" w:cs="Times New Roman"/>
          <w:color w:val="000000" w:themeColor="text1"/>
          <w:sz w:val="24"/>
          <w:szCs w:val="24"/>
        </w:rPr>
      </w:pPr>
    </w:p>
    <w:p w14:paraId="10D2E7D2" w14:textId="77777777" w:rsidR="0097175B" w:rsidRPr="0097175B" w:rsidRDefault="0097175B" w:rsidP="0097175B">
      <w:pPr>
        <w:spacing w:line="360" w:lineRule="auto"/>
        <w:jc w:val="both"/>
        <w:rPr>
          <w:rFonts w:ascii="Times New Roman" w:hAnsi="Times New Roman" w:cs="Times New Roman"/>
          <w:color w:val="000000" w:themeColor="text1"/>
          <w:sz w:val="24"/>
          <w:szCs w:val="24"/>
          <w:u w:val="single"/>
          <w:shd w:val="clear" w:color="auto" w:fill="FCFCFC"/>
        </w:rPr>
      </w:pPr>
      <w:r w:rsidRPr="0097175B">
        <w:rPr>
          <w:rFonts w:ascii="Times New Roman" w:hAnsi="Times New Roman" w:cs="Times New Roman"/>
          <w:b/>
          <w:bCs/>
          <w:color w:val="FF0000"/>
          <w:sz w:val="24"/>
          <w:szCs w:val="24"/>
        </w:rPr>
        <w:t xml:space="preserve"> </w:t>
      </w:r>
      <w:r w:rsidRPr="0097175B">
        <w:rPr>
          <w:rFonts w:ascii="Times New Roman" w:hAnsi="Times New Roman" w:cs="Times New Roman"/>
          <w:b/>
          <w:bCs/>
          <w:color w:val="FF0000"/>
          <w:sz w:val="24"/>
          <w:szCs w:val="24"/>
        </w:rPr>
        <w:tab/>
      </w:r>
      <w:r w:rsidRPr="0097175B">
        <w:rPr>
          <w:rFonts w:ascii="Times New Roman" w:hAnsi="Times New Roman" w:cs="Times New Roman"/>
          <w:b/>
          <w:bCs/>
          <w:color w:val="000000" w:themeColor="text1"/>
          <w:sz w:val="24"/>
          <w:szCs w:val="24"/>
        </w:rPr>
        <w:t xml:space="preserve">VIII.- </w:t>
      </w:r>
      <w:r w:rsidRPr="0097175B">
        <w:rPr>
          <w:rFonts w:ascii="Times New Roman" w:hAnsi="Times New Roman" w:cs="Times New Roman"/>
          <w:b/>
          <w:bCs/>
          <w:color w:val="000000" w:themeColor="text1"/>
          <w:sz w:val="24"/>
          <w:szCs w:val="24"/>
          <w:u w:val="single"/>
        </w:rPr>
        <w:t xml:space="preserve">Conclusión parcial: </w:t>
      </w:r>
    </w:p>
    <w:p w14:paraId="06140AEE" w14:textId="77777777" w:rsidR="0097175B" w:rsidRPr="0097175B" w:rsidRDefault="0097175B" w:rsidP="0097175B">
      <w:pPr>
        <w:pStyle w:val="NormalWeb"/>
        <w:shd w:val="clear" w:color="auto" w:fill="FFFFFF"/>
        <w:spacing w:before="0" w:beforeAutospacing="0" w:after="410" w:afterAutospacing="0" w:line="360" w:lineRule="auto"/>
        <w:jc w:val="both"/>
        <w:rPr>
          <w:color w:val="000000" w:themeColor="text1"/>
        </w:rPr>
      </w:pPr>
      <w:r w:rsidRPr="0097175B">
        <w:rPr>
          <w:color w:val="000000" w:themeColor="text1"/>
        </w:rPr>
        <w:t xml:space="preserve">  </w:t>
      </w:r>
      <w:r w:rsidRPr="0097175B">
        <w:rPr>
          <w:color w:val="000000" w:themeColor="text1"/>
        </w:rPr>
        <w:tab/>
        <w:t xml:space="preserve">Considerando que la prueba anticipada puede afectar el principio de igualdad procesal cuando no se cita a la parte que puede sufrir sus efectos adversos, y por prever su producción en una etapa que no es propia del proceso (en forma previa a la etapa probatoria o confirmatoria), </w:t>
      </w:r>
      <w:r w:rsidRPr="0097175B">
        <w:rPr>
          <w:b/>
          <w:bCs/>
          <w:color w:val="000000" w:themeColor="text1"/>
        </w:rPr>
        <w:t>REVISTE CARÁCTER EXCEPCIONAL Y POR LO TANTO LA TÉCNICA INTERPRETATIVA DEBE SER DE CARÁCTER RESTRICTIVO.</w:t>
      </w:r>
    </w:p>
    <w:p w14:paraId="49F4034F" w14:textId="77777777" w:rsidR="0097175B" w:rsidRPr="0097175B" w:rsidRDefault="0097175B" w:rsidP="0097175B">
      <w:pPr>
        <w:pStyle w:val="NormalWeb"/>
        <w:shd w:val="clear" w:color="auto" w:fill="FFFFFF"/>
        <w:spacing w:before="0" w:beforeAutospacing="0" w:after="410" w:afterAutospacing="0" w:line="360" w:lineRule="auto"/>
        <w:jc w:val="both"/>
        <w:rPr>
          <w:color w:val="000000" w:themeColor="text1"/>
        </w:rPr>
      </w:pPr>
      <w:r w:rsidRPr="0097175B">
        <w:rPr>
          <w:color w:val="000000" w:themeColor="text1"/>
        </w:rPr>
        <w:t xml:space="preserve"> </w:t>
      </w:r>
      <w:r w:rsidRPr="0097175B">
        <w:rPr>
          <w:color w:val="000000" w:themeColor="text1"/>
        </w:rPr>
        <w:tab/>
      </w:r>
      <w:r w:rsidRPr="0097175B">
        <w:rPr>
          <w:b/>
          <w:bCs/>
          <w:color w:val="000000" w:themeColor="text1"/>
        </w:rPr>
        <w:t xml:space="preserve">IX.- </w:t>
      </w:r>
      <w:r w:rsidRPr="0097175B">
        <w:rPr>
          <w:b/>
          <w:bCs/>
          <w:color w:val="000000" w:themeColor="text1"/>
          <w:u w:val="single"/>
        </w:rPr>
        <w:t>CONCLUSIÓN FINAL</w:t>
      </w:r>
      <w:r w:rsidRPr="0097175B">
        <w:rPr>
          <w:b/>
          <w:bCs/>
          <w:color w:val="000000" w:themeColor="text1"/>
        </w:rPr>
        <w:t>:</w:t>
      </w:r>
    </w:p>
    <w:p w14:paraId="312FC60A" w14:textId="77777777" w:rsidR="0097175B" w:rsidRPr="0097175B" w:rsidRDefault="0097175B" w:rsidP="0097175B">
      <w:pPr>
        <w:pStyle w:val="NormalWeb"/>
        <w:shd w:val="clear" w:color="auto" w:fill="FFFFFF"/>
        <w:spacing w:before="0" w:beforeAutospacing="0" w:after="410" w:afterAutospacing="0" w:line="360" w:lineRule="auto"/>
        <w:jc w:val="both"/>
        <w:rPr>
          <w:color w:val="000000" w:themeColor="text1"/>
        </w:rPr>
      </w:pPr>
      <w:r w:rsidRPr="0097175B">
        <w:rPr>
          <w:b/>
          <w:bCs/>
          <w:color w:val="000000" w:themeColor="text1"/>
        </w:rPr>
        <w:t xml:space="preserve"> </w:t>
      </w:r>
      <w:r w:rsidRPr="0097175B">
        <w:rPr>
          <w:b/>
          <w:bCs/>
          <w:color w:val="000000" w:themeColor="text1"/>
        </w:rPr>
        <w:tab/>
      </w:r>
      <w:r w:rsidRPr="0097175B">
        <w:rPr>
          <w:color w:val="000000" w:themeColor="text1"/>
        </w:rPr>
        <w:t xml:space="preserve">La conclusión inevitable es que, cuando se formula una interpretación extensiva y no restrictiva de este instituto respecto de los supuestos en que procede sin la debida bilateralidad de la instancia confirmatoria, es decir, sin posibilidad ciertamente efectiva de control, se produce un quiebre de la igualdad procesal, principio elemental sin el cual no puede haber debido proceso legal, que requiere que no se prive a nadie, arbitrariamente, de los derechos que pueden asistirle en el marco del proceso. </w:t>
      </w:r>
    </w:p>
    <w:p w14:paraId="10CD4D65" w14:textId="77777777" w:rsidR="0097175B" w:rsidRPr="0097175B" w:rsidRDefault="0097175B" w:rsidP="0097175B">
      <w:pPr>
        <w:pStyle w:val="parrafo"/>
        <w:spacing w:before="180" w:beforeAutospacing="0" w:after="180" w:afterAutospacing="0" w:line="360" w:lineRule="auto"/>
        <w:ind w:firstLine="360"/>
        <w:jc w:val="both"/>
        <w:rPr>
          <w:i/>
          <w:iCs/>
          <w:color w:val="000000"/>
        </w:rPr>
      </w:pPr>
      <w:r w:rsidRPr="0097175B">
        <w:rPr>
          <w:color w:val="000000" w:themeColor="text1"/>
        </w:rPr>
        <w:t xml:space="preserve"> </w:t>
      </w:r>
      <w:r w:rsidRPr="0097175B">
        <w:rPr>
          <w:color w:val="000000" w:themeColor="text1"/>
        </w:rPr>
        <w:tab/>
        <w:t xml:space="preserve">La ley de enjuiciamiento civil española del año 2000, en su exposición de motivos expresa: </w:t>
      </w:r>
      <w:r w:rsidRPr="0097175B">
        <w:rPr>
          <w:i/>
          <w:iCs/>
          <w:color w:val="000000" w:themeColor="text1"/>
        </w:rPr>
        <w:t>“</w:t>
      </w:r>
      <w:r w:rsidRPr="0097175B">
        <w:rPr>
          <w:i/>
          <w:iCs/>
          <w:color w:val="000000"/>
        </w:rPr>
        <w:t>El derecho de todos a una tutela judicial efectiva, expresado en el apartado primero del artículo 24 de la Constitución, coincide con el anhelo y la necesidad social de una Justicia civil nueva, caracterizada precisamente por la efectividad. Justicia civil efectiva significa, por consustancial al concepto de Justicia, plenitud de garantías procesales…”</w:t>
      </w:r>
    </w:p>
    <w:p w14:paraId="2F1ED46A" w14:textId="77777777" w:rsidR="0097175B" w:rsidRPr="0097175B" w:rsidRDefault="0097175B" w:rsidP="0097175B">
      <w:pPr>
        <w:pStyle w:val="NormalWeb"/>
        <w:shd w:val="clear" w:color="auto" w:fill="FFFFFF"/>
        <w:spacing w:before="0" w:beforeAutospacing="0" w:after="410" w:afterAutospacing="0" w:line="360" w:lineRule="auto"/>
        <w:jc w:val="both"/>
      </w:pPr>
      <w:r w:rsidRPr="0097175B">
        <w:rPr>
          <w:color w:val="000000" w:themeColor="text1"/>
        </w:rPr>
        <w:lastRenderedPageBreak/>
        <w:t xml:space="preserve"> </w:t>
      </w:r>
      <w:r w:rsidRPr="0097175B">
        <w:rPr>
          <w:color w:val="000000" w:themeColor="text1"/>
        </w:rPr>
        <w:tab/>
        <w:t xml:space="preserve">Consecuentemente con aquellos anhelos, lo que se propone en la presente investigación es ratificar el carácter excepcional y de técnica de interpretación restrictiva de la prueba anticipada cuando se despacha sin citación de la contraria o futura parte contraria, para garantizar así, </w:t>
      </w:r>
      <w:r w:rsidRPr="0097175B">
        <w:t xml:space="preserve">la real vigencia de los derechos y garantías constitucionales y convencionales. </w:t>
      </w:r>
    </w:p>
    <w:p w14:paraId="53831E9B" w14:textId="204AB91A" w:rsidR="0097175B" w:rsidRPr="0097175B" w:rsidRDefault="0097175B" w:rsidP="0097175B">
      <w:pPr>
        <w:pStyle w:val="NormalWeb"/>
        <w:shd w:val="clear" w:color="auto" w:fill="FFFFFF"/>
        <w:spacing w:before="0" w:beforeAutospacing="0" w:after="410" w:afterAutospacing="0" w:line="360" w:lineRule="auto"/>
        <w:jc w:val="both"/>
      </w:pPr>
      <w:r w:rsidRPr="0097175B">
        <w:t>Bibliografía:</w:t>
      </w:r>
    </w:p>
    <w:p w14:paraId="48A691A7" w14:textId="392E90F4" w:rsidR="0097175B" w:rsidRPr="0097175B" w:rsidRDefault="0097175B" w:rsidP="0097175B">
      <w:pPr>
        <w:pStyle w:val="NormalWeb"/>
        <w:shd w:val="clear" w:color="auto" w:fill="FFFFFF"/>
        <w:spacing w:before="0" w:beforeAutospacing="0" w:after="410" w:afterAutospacing="0" w:line="360" w:lineRule="auto"/>
        <w:jc w:val="both"/>
      </w:pPr>
      <w:r w:rsidRPr="0097175B">
        <w:t xml:space="preserve">CALVINHO, Gustavo, “EL SECUESTRO DE DOCUMENTACIÓN INFORMÁTICA COMO PRUEBA ANTICIPADA”, </w:t>
      </w:r>
      <w:r w:rsidRPr="0097175B">
        <w:rPr>
          <w:i/>
          <w:iCs/>
        </w:rPr>
        <w:t xml:space="preserve">Revista Jurídica Argentina La Ley, </w:t>
      </w:r>
      <w:r w:rsidRPr="0097175B">
        <w:t>2011-B, 232, p. 28.</w:t>
      </w:r>
    </w:p>
    <w:p w14:paraId="5C6BD6CE" w14:textId="301C740E" w:rsidR="0097175B" w:rsidRPr="0097175B" w:rsidRDefault="0097175B" w:rsidP="0097175B">
      <w:pPr>
        <w:pStyle w:val="NormalWeb"/>
        <w:shd w:val="clear" w:color="auto" w:fill="FFFFFF"/>
        <w:spacing w:before="0" w:beforeAutospacing="0" w:after="410" w:afterAutospacing="0" w:line="360" w:lineRule="auto"/>
        <w:jc w:val="both"/>
      </w:pPr>
      <w:r w:rsidRPr="0097175B">
        <w:t xml:space="preserve">FERREYRA DE LA RÚA, Angelina- RODRIGUEZ JUAREZ, Manuel E. Manual de Derecho Procesal Civil I, Ed. </w:t>
      </w:r>
      <w:proofErr w:type="spellStart"/>
      <w:r w:rsidRPr="0097175B">
        <w:t>Alveroni</w:t>
      </w:r>
      <w:proofErr w:type="spellEnd"/>
      <w:r w:rsidRPr="0097175B">
        <w:t>,</w:t>
      </w:r>
      <w:r w:rsidRPr="0097175B">
        <w:rPr>
          <w:i/>
          <w:iCs/>
        </w:rPr>
        <w:t xml:space="preserve"> </w:t>
      </w:r>
      <w:r w:rsidRPr="0097175B">
        <w:t>pág. 150.</w:t>
      </w:r>
    </w:p>
    <w:p w14:paraId="7F7A9962" w14:textId="77777777" w:rsidR="0097175B" w:rsidRPr="0097175B" w:rsidRDefault="0097175B" w:rsidP="0097175B">
      <w:pPr>
        <w:pStyle w:val="Textonotapie"/>
        <w:jc w:val="both"/>
        <w:rPr>
          <w:rFonts w:ascii="Times New Roman" w:hAnsi="Times New Roman" w:cs="Times New Roman"/>
          <w:sz w:val="24"/>
          <w:szCs w:val="24"/>
        </w:rPr>
      </w:pPr>
      <w:r w:rsidRPr="0097175B">
        <w:rPr>
          <w:rFonts w:ascii="Times New Roman" w:hAnsi="Times New Roman" w:cs="Times New Roman"/>
          <w:sz w:val="24"/>
          <w:szCs w:val="24"/>
        </w:rPr>
        <w:t xml:space="preserve">ALVARADO VELLOSO, Adolfo. – GONZALEZ CASTRO, Manuel - Lecciones de Derecho Procesal Civil – Compendio del Libro Sistema procesal: garantía de la libertad –- Adaptado a la legislación de la Provincia de Córdoba por Manuel González Castro, 1ª Ed., Ediciones AVI S.R.L., Rosario, 2012, p.936. </w:t>
      </w:r>
    </w:p>
    <w:p w14:paraId="214F9313" w14:textId="77777777" w:rsidR="0097175B" w:rsidRDefault="0097175B" w:rsidP="0097175B">
      <w:pPr>
        <w:pStyle w:val="Textonotapie"/>
        <w:jc w:val="both"/>
        <w:rPr>
          <w:rFonts w:ascii="Times New Roman" w:hAnsi="Times New Roman" w:cs="Times New Roman"/>
          <w:sz w:val="24"/>
          <w:szCs w:val="24"/>
        </w:rPr>
      </w:pPr>
    </w:p>
    <w:p w14:paraId="1AA424CA" w14:textId="2C931313" w:rsidR="0097175B" w:rsidRPr="0097175B" w:rsidRDefault="0097175B" w:rsidP="0097175B">
      <w:pPr>
        <w:pStyle w:val="Textonotapie"/>
        <w:jc w:val="both"/>
        <w:rPr>
          <w:rFonts w:ascii="Times New Roman" w:hAnsi="Times New Roman" w:cs="Times New Roman"/>
          <w:sz w:val="24"/>
          <w:szCs w:val="24"/>
        </w:rPr>
      </w:pPr>
      <w:r w:rsidRPr="0097175B">
        <w:rPr>
          <w:rFonts w:ascii="Times New Roman" w:hAnsi="Times New Roman" w:cs="Times New Roman"/>
          <w:sz w:val="24"/>
          <w:szCs w:val="24"/>
        </w:rPr>
        <w:t>ALVARADO VELLOSO, Adolfo. – GONZALEZ CASTRO, Manuel - Lecciones de Derecho Procesal Civil – Compendio del Libro Sistema procesal: garantía de la libertad –- Adaptado a la legislación de la Provincia de Córdoba por Manuel González Castro, 1ª Ed., Ediciones AVI S.R.L., Rosario, 2012, p.939.</w:t>
      </w:r>
    </w:p>
    <w:p w14:paraId="1E721BE0" w14:textId="77777777" w:rsidR="0097175B" w:rsidRPr="0097175B" w:rsidRDefault="0097175B" w:rsidP="0097175B">
      <w:pPr>
        <w:pStyle w:val="Textonotapie"/>
        <w:jc w:val="both"/>
        <w:rPr>
          <w:rFonts w:ascii="Times New Roman" w:hAnsi="Times New Roman" w:cs="Times New Roman"/>
          <w:sz w:val="24"/>
          <w:szCs w:val="24"/>
        </w:rPr>
      </w:pPr>
    </w:p>
    <w:p w14:paraId="4876C21A" w14:textId="04CA0B36" w:rsidR="00A86E68" w:rsidRDefault="0097175B" w:rsidP="0097175B">
      <w:pPr>
        <w:pStyle w:val="Textonotapie"/>
        <w:jc w:val="both"/>
        <w:rPr>
          <w:rFonts w:ascii="Times New Roman" w:hAnsi="Times New Roman" w:cs="Times New Roman"/>
          <w:sz w:val="24"/>
          <w:szCs w:val="24"/>
        </w:rPr>
      </w:pPr>
      <w:r w:rsidRPr="0097175B">
        <w:rPr>
          <w:rFonts w:ascii="Times New Roman" w:hAnsi="Times New Roman" w:cs="Times New Roman"/>
          <w:sz w:val="24"/>
          <w:szCs w:val="24"/>
        </w:rPr>
        <w:t>ALVARADO VELLOSO, Adolfo. – GONZALEZ CASTRO, Manuel - Lecciones de Derecho Procesal Civil – Compendio del Libro Sistema procesal: garantía de la libertad –- Adaptado a la legislación de la Provincia de Córdoba por Manuel González Castro, 1ª Ed., Ediciones AVI S.R.L., Rosario, 2012, p.93</w:t>
      </w:r>
      <w:r w:rsidRPr="0097175B">
        <w:rPr>
          <w:rFonts w:ascii="Times New Roman" w:hAnsi="Times New Roman" w:cs="Times New Roman"/>
          <w:sz w:val="24"/>
          <w:szCs w:val="24"/>
        </w:rPr>
        <w:t>7</w:t>
      </w:r>
      <w:r w:rsidRPr="0097175B">
        <w:rPr>
          <w:rFonts w:ascii="Times New Roman" w:hAnsi="Times New Roman" w:cs="Times New Roman"/>
          <w:sz w:val="24"/>
          <w:szCs w:val="24"/>
        </w:rPr>
        <w:t>.</w:t>
      </w:r>
    </w:p>
    <w:p w14:paraId="3A8B8F3B" w14:textId="5A792DB4" w:rsidR="0097175B" w:rsidRDefault="0097175B" w:rsidP="0097175B">
      <w:pPr>
        <w:pStyle w:val="Textonotapie"/>
        <w:jc w:val="both"/>
        <w:rPr>
          <w:rFonts w:ascii="Times New Roman" w:hAnsi="Times New Roman" w:cs="Times New Roman"/>
          <w:sz w:val="24"/>
          <w:szCs w:val="24"/>
        </w:rPr>
      </w:pPr>
    </w:p>
    <w:p w14:paraId="78D17056" w14:textId="39897B76" w:rsidR="0097175B" w:rsidRPr="0097175B" w:rsidRDefault="0097175B" w:rsidP="0097175B">
      <w:pPr>
        <w:pStyle w:val="Textonotapie"/>
        <w:jc w:val="both"/>
        <w:rPr>
          <w:rFonts w:ascii="Times New Roman" w:hAnsi="Times New Roman" w:cs="Times New Roman"/>
          <w:sz w:val="24"/>
          <w:szCs w:val="24"/>
        </w:rPr>
      </w:pPr>
      <w:r>
        <w:rPr>
          <w:rFonts w:ascii="Times New Roman" w:hAnsi="Times New Roman" w:cs="Times New Roman"/>
          <w:sz w:val="24"/>
          <w:szCs w:val="24"/>
        </w:rPr>
        <w:t xml:space="preserve">Proyecto de Código Procesal General Modelo Para la Justicia No Penal de Latinoamérica.  </w:t>
      </w:r>
    </w:p>
    <w:sectPr w:rsidR="0097175B" w:rsidRPr="0097175B" w:rsidSect="00D842F1">
      <w:pgSz w:w="11907" w:h="16840" w:code="9"/>
      <w:pgMar w:top="2268" w:right="1134" w:bottom="1134"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E1E76" w14:textId="77777777" w:rsidR="00B60987" w:rsidRDefault="00B60987" w:rsidP="0097175B">
      <w:pPr>
        <w:spacing w:after="0" w:line="240" w:lineRule="auto"/>
      </w:pPr>
      <w:r>
        <w:separator/>
      </w:r>
    </w:p>
  </w:endnote>
  <w:endnote w:type="continuationSeparator" w:id="0">
    <w:p w14:paraId="157A5018" w14:textId="77777777" w:rsidR="00B60987" w:rsidRDefault="00B60987" w:rsidP="00971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0CB88" w14:textId="77777777" w:rsidR="00B60987" w:rsidRDefault="00B60987" w:rsidP="0097175B">
      <w:pPr>
        <w:spacing w:after="0" w:line="240" w:lineRule="auto"/>
      </w:pPr>
      <w:r>
        <w:separator/>
      </w:r>
    </w:p>
  </w:footnote>
  <w:footnote w:type="continuationSeparator" w:id="0">
    <w:p w14:paraId="5C24C9F4" w14:textId="77777777" w:rsidR="00B60987" w:rsidRDefault="00B60987" w:rsidP="0097175B">
      <w:pPr>
        <w:spacing w:after="0" w:line="240" w:lineRule="auto"/>
      </w:pPr>
      <w:r>
        <w:continuationSeparator/>
      </w:r>
    </w:p>
  </w:footnote>
  <w:footnote w:id="1">
    <w:p w14:paraId="7EEFCDA1" w14:textId="77777777" w:rsidR="0097175B" w:rsidRPr="00EA320C" w:rsidRDefault="0097175B" w:rsidP="0097175B">
      <w:pPr>
        <w:pStyle w:val="Textonotapie"/>
        <w:jc w:val="both"/>
        <w:rPr>
          <w:rFonts w:ascii="Arial" w:hAnsi="Arial" w:cs="Arial"/>
          <w:i/>
          <w:iCs/>
        </w:rPr>
      </w:pPr>
      <w:r>
        <w:rPr>
          <w:rStyle w:val="Refdenotaalpie"/>
        </w:rPr>
        <w:footnoteRef/>
      </w:r>
      <w:r>
        <w:t xml:space="preserve"> </w:t>
      </w:r>
      <w:r w:rsidRPr="00EA320C">
        <w:rPr>
          <w:rFonts w:ascii="Arial" w:hAnsi="Arial" w:cs="Arial"/>
        </w:rPr>
        <w:t xml:space="preserve">CALVINHO, Gustavo, “EL SECUESTRO DE DOCUMENTACIÓN INFORMÁTICA COMO PRUEBA ANTICIPADA”, </w:t>
      </w:r>
      <w:r w:rsidRPr="00EA320C">
        <w:rPr>
          <w:rFonts w:ascii="Arial" w:hAnsi="Arial" w:cs="Arial"/>
          <w:i/>
          <w:iCs/>
        </w:rPr>
        <w:t xml:space="preserve">Revista Jurídica Argentina La Ley, </w:t>
      </w:r>
      <w:r w:rsidRPr="00EA320C">
        <w:rPr>
          <w:rFonts w:ascii="Arial" w:hAnsi="Arial" w:cs="Arial"/>
        </w:rPr>
        <w:t xml:space="preserve">2011-B, 232, p. 28. </w:t>
      </w:r>
    </w:p>
  </w:footnote>
  <w:footnote w:id="2">
    <w:p w14:paraId="50B0A1A2" w14:textId="77777777" w:rsidR="0097175B" w:rsidRPr="00EA320C" w:rsidRDefault="0097175B" w:rsidP="0097175B">
      <w:pPr>
        <w:pStyle w:val="Textonotapie"/>
        <w:jc w:val="both"/>
        <w:rPr>
          <w:rFonts w:ascii="Arial" w:hAnsi="Arial" w:cs="Arial"/>
        </w:rPr>
      </w:pPr>
      <w:r w:rsidRPr="00EA320C">
        <w:rPr>
          <w:rStyle w:val="Refdenotaalpie"/>
          <w:rFonts w:ascii="Arial" w:hAnsi="Arial" w:cs="Arial"/>
        </w:rPr>
        <w:footnoteRef/>
      </w:r>
      <w:r w:rsidRPr="00EA320C">
        <w:rPr>
          <w:rFonts w:ascii="Arial" w:hAnsi="Arial" w:cs="Arial"/>
        </w:rPr>
        <w:t xml:space="preserve"> FERREYRA DE LA RÚA, Angelina- RODRIGUEZ JUAREZ, Manuel E. Manual de Derecho Procesal Civil I, Ed. </w:t>
      </w:r>
      <w:proofErr w:type="spellStart"/>
      <w:r w:rsidRPr="00EA320C">
        <w:rPr>
          <w:rFonts w:ascii="Arial" w:hAnsi="Arial" w:cs="Arial"/>
        </w:rPr>
        <w:t>Alveroni</w:t>
      </w:r>
      <w:proofErr w:type="spellEnd"/>
      <w:r w:rsidRPr="00EA320C">
        <w:rPr>
          <w:rFonts w:ascii="Arial" w:hAnsi="Arial" w:cs="Arial"/>
        </w:rPr>
        <w:t>,</w:t>
      </w:r>
      <w:r w:rsidRPr="00EA320C">
        <w:rPr>
          <w:rFonts w:ascii="Arial" w:hAnsi="Arial" w:cs="Arial"/>
          <w:i/>
          <w:iCs/>
        </w:rPr>
        <w:t xml:space="preserve"> </w:t>
      </w:r>
      <w:r w:rsidRPr="00EA320C">
        <w:rPr>
          <w:rFonts w:ascii="Arial" w:hAnsi="Arial" w:cs="Arial"/>
        </w:rPr>
        <w:t xml:space="preserve">pág. 150. </w:t>
      </w:r>
    </w:p>
  </w:footnote>
  <w:footnote w:id="3">
    <w:p w14:paraId="23359F57" w14:textId="77777777" w:rsidR="0097175B" w:rsidRPr="00EA320C" w:rsidRDefault="0097175B" w:rsidP="0097175B">
      <w:pPr>
        <w:pStyle w:val="Textonotapie"/>
        <w:jc w:val="both"/>
        <w:rPr>
          <w:rFonts w:ascii="Arial" w:hAnsi="Arial" w:cs="Arial"/>
        </w:rPr>
      </w:pPr>
      <w:r w:rsidRPr="00EA320C">
        <w:rPr>
          <w:rStyle w:val="Refdenotaalpie"/>
          <w:rFonts w:ascii="Arial" w:hAnsi="Arial" w:cs="Arial"/>
        </w:rPr>
        <w:footnoteRef/>
      </w:r>
      <w:r w:rsidRPr="00EA320C">
        <w:rPr>
          <w:rFonts w:ascii="Arial" w:hAnsi="Arial" w:cs="Arial"/>
        </w:rPr>
        <w:t xml:space="preserve"> ALVARADO VELLOSO, Adolfo. – GONZALEZ CASTRO, Manuel - Lecciones de Derecho Procesal Civil – Compendio del Libro Sistema procesal: garantía de la libertad –- Adaptado a la legislación de la Provincia de Córdoba por Manuel González Castro, 1ª Ed., Ediciones AVI S.R.L., Rosario, 2012, p.936. </w:t>
      </w:r>
    </w:p>
  </w:footnote>
  <w:footnote w:id="4">
    <w:p w14:paraId="5B2E9E20" w14:textId="77777777" w:rsidR="0097175B" w:rsidRPr="00EA320C" w:rsidRDefault="0097175B" w:rsidP="0097175B">
      <w:pPr>
        <w:pStyle w:val="Textonotapie"/>
        <w:jc w:val="both"/>
        <w:rPr>
          <w:rFonts w:ascii="Arial" w:hAnsi="Arial" w:cs="Arial"/>
        </w:rPr>
      </w:pPr>
      <w:r w:rsidRPr="00EA320C">
        <w:rPr>
          <w:rStyle w:val="Refdenotaalpie"/>
          <w:rFonts w:ascii="Arial" w:hAnsi="Arial" w:cs="Arial"/>
        </w:rPr>
        <w:footnoteRef/>
      </w:r>
      <w:r w:rsidRPr="00EA320C">
        <w:rPr>
          <w:rFonts w:ascii="Arial" w:hAnsi="Arial" w:cs="Arial"/>
        </w:rPr>
        <w:t xml:space="preserve"> ALVARADO VELLOSO, Adolfo. – GONZALEZ CASTRO, Manuel - Lecciones de Derecho Procesal Civil – Compendio del Libro Sistema procesal: garantía de la libertad –- Adaptado a la legislación de la Provincia de Córdoba por Manuel González Castro, 1ª Ed., Ediciones AVI S.R.L., Rosario, 2012, p.939.</w:t>
      </w:r>
    </w:p>
  </w:footnote>
  <w:footnote w:id="5">
    <w:p w14:paraId="26752371" w14:textId="77777777" w:rsidR="0097175B" w:rsidRDefault="0097175B" w:rsidP="0097175B">
      <w:pPr>
        <w:pStyle w:val="Textonotapie"/>
        <w:jc w:val="both"/>
      </w:pPr>
      <w:r w:rsidRPr="00EA320C">
        <w:rPr>
          <w:rStyle w:val="Refdenotaalpie"/>
          <w:rFonts w:ascii="Arial" w:hAnsi="Arial" w:cs="Arial"/>
        </w:rPr>
        <w:footnoteRef/>
      </w:r>
      <w:r w:rsidRPr="00EA320C">
        <w:rPr>
          <w:rFonts w:ascii="Arial" w:hAnsi="Arial" w:cs="Arial"/>
        </w:rPr>
        <w:t xml:space="preserve"> </w:t>
      </w:r>
      <w:proofErr w:type="spellStart"/>
      <w:r w:rsidRPr="00EA320C">
        <w:rPr>
          <w:rFonts w:ascii="Arial" w:hAnsi="Arial" w:cs="Arial"/>
        </w:rPr>
        <w:t>Ibídem</w:t>
      </w:r>
      <w:proofErr w:type="spellEnd"/>
      <w:r w:rsidRPr="00EA320C">
        <w:rPr>
          <w:rFonts w:ascii="Arial" w:hAnsi="Arial" w:cs="Arial"/>
        </w:rPr>
        <w:t>, p. 937.</w:t>
      </w: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75B"/>
    <w:rsid w:val="0097175B"/>
    <w:rsid w:val="00A86E68"/>
    <w:rsid w:val="00B60987"/>
    <w:rsid w:val="00D528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830CF"/>
  <w15:chartTrackingRefBased/>
  <w15:docId w15:val="{3E168B12-D4C1-49F1-83B1-BCA55CBBA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75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97175B"/>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paragraph" w:styleId="Textonotapie">
    <w:name w:val="footnote text"/>
    <w:basedOn w:val="Normal"/>
    <w:link w:val="TextonotapieCar"/>
    <w:uiPriority w:val="99"/>
    <w:unhideWhenUsed/>
    <w:rsid w:val="0097175B"/>
    <w:pPr>
      <w:spacing w:after="0" w:line="240" w:lineRule="auto"/>
    </w:pPr>
    <w:rPr>
      <w:sz w:val="20"/>
      <w:szCs w:val="20"/>
    </w:rPr>
  </w:style>
  <w:style w:type="character" w:customStyle="1" w:styleId="TextonotapieCar">
    <w:name w:val="Texto nota pie Car"/>
    <w:basedOn w:val="Fuentedeprrafopredeter"/>
    <w:link w:val="Textonotapie"/>
    <w:uiPriority w:val="99"/>
    <w:rsid w:val="0097175B"/>
    <w:rPr>
      <w:sz w:val="20"/>
      <w:szCs w:val="20"/>
    </w:rPr>
  </w:style>
  <w:style w:type="character" w:styleId="Refdenotaalpie">
    <w:name w:val="footnote reference"/>
    <w:basedOn w:val="Fuentedeprrafopredeter"/>
    <w:uiPriority w:val="99"/>
    <w:semiHidden/>
    <w:unhideWhenUsed/>
    <w:rsid w:val="0097175B"/>
    <w:rPr>
      <w:vertAlign w:val="superscript"/>
    </w:rPr>
  </w:style>
  <w:style w:type="paragraph" w:customStyle="1" w:styleId="parrafo">
    <w:name w:val="parrafo"/>
    <w:basedOn w:val="Normal"/>
    <w:rsid w:val="0097175B"/>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1821</Words>
  <Characters>10017</Characters>
  <Application>Microsoft Office Word</Application>
  <DocSecurity>0</DocSecurity>
  <Lines>83</Lines>
  <Paragraphs>23</Paragraphs>
  <ScaleCrop>false</ScaleCrop>
  <Company/>
  <LinksUpToDate>false</LinksUpToDate>
  <CharactersWithSpaces>11815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Rubén Alejo Gordillo</dc:creator>
  <cp:keywords/>
  <dc:description/>
  <cp:lastModifiedBy>Rubén Alejo Gordillo</cp:lastModifiedBy>
  <cp:revision>1</cp:revision>
  <dcterms:created xsi:type="dcterms:W3CDTF">2023-11-29T01:20:00Z</dcterms:created>
  <dcterms:modified xsi:type="dcterms:W3CDTF">2023-11-29T01:26:00Z</dcterms:modified>
</cp:coreProperties>
</file>