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403" w:rsidRPr="008B40A0" w:rsidRDefault="00AE7403" w:rsidP="008B40A0">
      <w:pPr>
        <w:spacing w:after="120" w:line="240" w:lineRule="auto"/>
        <w:jc w:val="both"/>
        <w:rPr>
          <w:rFonts w:ascii="Arial" w:hAnsi="Arial" w:cs="Arial"/>
          <w:b/>
          <w:smallCaps/>
          <w:lang w:val="es-ES"/>
        </w:rPr>
      </w:pPr>
      <w:r w:rsidRPr="008B40A0">
        <w:rPr>
          <w:rFonts w:ascii="Arial" w:hAnsi="Arial" w:cs="Arial"/>
          <w:b/>
          <w:smallCaps/>
          <w:lang w:val="es-ES"/>
        </w:rPr>
        <w:t xml:space="preserve">XVIII </w:t>
      </w:r>
      <w:r w:rsidR="001A1713">
        <w:rPr>
          <w:rFonts w:ascii="Arial" w:hAnsi="Arial" w:cs="Arial"/>
          <w:b/>
          <w:smallCaps/>
          <w:lang w:val="es-ES"/>
        </w:rPr>
        <w:t>Congreso Nacional de Derecho Procesal Garantista</w:t>
      </w:r>
    </w:p>
    <w:p w:rsidR="00AE7403" w:rsidRDefault="001A1713" w:rsidP="008B40A0">
      <w:pPr>
        <w:spacing w:after="120" w:line="240" w:lineRule="auto"/>
        <w:jc w:val="both"/>
        <w:rPr>
          <w:rFonts w:ascii="Arial" w:hAnsi="Arial" w:cs="Arial"/>
          <w:b/>
          <w:smallCaps/>
          <w:lang w:val="es-ES"/>
        </w:rPr>
      </w:pPr>
      <w:r>
        <w:rPr>
          <w:rFonts w:ascii="Arial" w:hAnsi="Arial" w:cs="Arial"/>
          <w:b/>
          <w:smallCaps/>
          <w:lang w:val="es-ES"/>
        </w:rPr>
        <w:t>Azul, 2 y 3 de noviembre de 2023</w:t>
      </w:r>
    </w:p>
    <w:p w:rsidR="00AE7403" w:rsidRPr="008B40A0" w:rsidRDefault="00AE7403" w:rsidP="008B40A0">
      <w:pPr>
        <w:spacing w:after="120" w:line="240" w:lineRule="auto"/>
        <w:jc w:val="both"/>
        <w:rPr>
          <w:rFonts w:ascii="Arial" w:hAnsi="Arial" w:cs="Arial"/>
          <w:b/>
          <w:i/>
          <w:smallCaps/>
          <w:lang w:val="es-ES"/>
        </w:rPr>
      </w:pPr>
      <w:r w:rsidRPr="008B40A0">
        <w:rPr>
          <w:rFonts w:ascii="Arial" w:hAnsi="Arial" w:cs="Arial"/>
          <w:b/>
          <w:i/>
          <w:smallCaps/>
          <w:lang w:val="es-ES"/>
        </w:rPr>
        <w:t>Lema del Congreso</w:t>
      </w:r>
    </w:p>
    <w:p w:rsidR="000B7494" w:rsidRPr="008B40A0" w:rsidRDefault="00AE7403" w:rsidP="008B40A0">
      <w:pPr>
        <w:spacing w:after="120" w:line="240" w:lineRule="auto"/>
        <w:jc w:val="both"/>
        <w:rPr>
          <w:rFonts w:ascii="Arial" w:hAnsi="Arial" w:cs="Arial"/>
          <w:b/>
          <w:i/>
          <w:smallCaps/>
          <w:lang w:val="es-ES"/>
        </w:rPr>
      </w:pPr>
      <w:r w:rsidRPr="008B40A0">
        <w:rPr>
          <w:rFonts w:ascii="Arial" w:hAnsi="Arial" w:cs="Arial"/>
          <w:b/>
          <w:i/>
          <w:smallCaps/>
          <w:lang w:val="es-ES"/>
        </w:rPr>
        <w:t>“La prueba es Libertad”</w:t>
      </w:r>
    </w:p>
    <w:p w:rsidR="00AE7403" w:rsidRPr="008B40A0" w:rsidRDefault="00AE7403" w:rsidP="008B40A0">
      <w:pPr>
        <w:spacing w:after="120" w:line="240" w:lineRule="auto"/>
        <w:jc w:val="both"/>
        <w:rPr>
          <w:rFonts w:ascii="Arial" w:hAnsi="Arial" w:cs="Arial"/>
          <w:b/>
          <w:i/>
          <w:smallCaps/>
          <w:lang w:val="es-ES"/>
        </w:rPr>
      </w:pPr>
      <w:r w:rsidRPr="008B40A0">
        <w:rPr>
          <w:rFonts w:ascii="Arial" w:hAnsi="Arial" w:cs="Arial"/>
          <w:b/>
          <w:i/>
          <w:smallCaps/>
          <w:lang w:val="es-ES"/>
        </w:rPr>
        <w:t>Hacia un modelo de litigación eficaz y de garantías</w:t>
      </w:r>
    </w:p>
    <w:p w:rsidR="00C27B6C" w:rsidRPr="008B40A0" w:rsidRDefault="00C27B6C" w:rsidP="008B40A0">
      <w:pPr>
        <w:spacing w:after="120" w:line="240" w:lineRule="auto"/>
        <w:jc w:val="both"/>
        <w:rPr>
          <w:rFonts w:ascii="Arial" w:hAnsi="Arial" w:cs="Arial"/>
          <w:smallCaps/>
          <w:lang w:val="es-ES"/>
        </w:rPr>
      </w:pPr>
    </w:p>
    <w:p w:rsidR="00C27B6C" w:rsidRPr="008B40A0" w:rsidRDefault="001A1713" w:rsidP="008B40A0">
      <w:pPr>
        <w:spacing w:after="120" w:line="240" w:lineRule="auto"/>
        <w:jc w:val="both"/>
        <w:rPr>
          <w:rFonts w:ascii="Arial" w:hAnsi="Arial" w:cs="Arial"/>
          <w:b/>
          <w:smallCaps/>
          <w:lang w:val="es-ES"/>
        </w:rPr>
      </w:pPr>
      <w:r>
        <w:rPr>
          <w:rFonts w:ascii="Arial" w:hAnsi="Arial" w:cs="Arial"/>
          <w:b/>
          <w:smallCaps/>
          <w:lang w:val="es-ES"/>
        </w:rPr>
        <w:t xml:space="preserve">Tema: </w:t>
      </w:r>
      <w:r w:rsidR="000B7494" w:rsidRPr="008B40A0">
        <w:rPr>
          <w:rFonts w:ascii="Arial" w:hAnsi="Arial" w:cs="Arial"/>
          <w:b/>
          <w:smallCaps/>
          <w:lang w:val="es-ES"/>
        </w:rPr>
        <w:t>“</w:t>
      </w:r>
      <w:r w:rsidR="00AE7403" w:rsidRPr="008B40A0">
        <w:rPr>
          <w:rFonts w:ascii="Arial" w:hAnsi="Arial" w:cs="Arial"/>
          <w:b/>
          <w:smallCaps/>
          <w:lang w:val="es-ES"/>
        </w:rPr>
        <w:t>La utilidad de una correcta clasificación de los medios de confirmación. Hacia una legi</w:t>
      </w:r>
      <w:r w:rsidR="000B7494" w:rsidRPr="008B40A0">
        <w:rPr>
          <w:rFonts w:ascii="Arial" w:hAnsi="Arial" w:cs="Arial"/>
          <w:b/>
          <w:smallCaps/>
          <w:lang w:val="es-ES"/>
        </w:rPr>
        <w:t>slación uniforme en la materia</w:t>
      </w:r>
      <w:proofErr w:type="gramStart"/>
      <w:r w:rsidR="000B7494" w:rsidRPr="008B40A0">
        <w:rPr>
          <w:rFonts w:ascii="Arial" w:hAnsi="Arial" w:cs="Arial"/>
          <w:b/>
          <w:smallCaps/>
          <w:lang w:val="es-ES"/>
        </w:rPr>
        <w:t>”</w:t>
      </w:r>
      <w:r w:rsidR="000B7494" w:rsidRPr="008B40A0">
        <w:rPr>
          <w:rFonts w:ascii="Arial" w:hAnsi="Arial" w:cs="Arial"/>
          <w:b/>
          <w:smallCaps/>
        </w:rPr>
        <w:t xml:space="preserve"> </w:t>
      </w:r>
      <w:proofErr w:type="gramEnd"/>
      <w:r w:rsidR="000B7494" w:rsidRPr="008B40A0">
        <w:rPr>
          <w:rStyle w:val="Refdenotaalpie"/>
          <w:rFonts w:ascii="Arial" w:hAnsi="Arial" w:cs="Arial"/>
          <w:b/>
          <w:smallCaps/>
        </w:rPr>
        <w:footnoteReference w:id="1"/>
      </w:r>
      <w:r w:rsidR="000B7494" w:rsidRPr="008B40A0">
        <w:rPr>
          <w:rFonts w:ascii="Arial" w:hAnsi="Arial" w:cs="Arial"/>
          <w:b/>
          <w:smallCaps/>
          <w:lang w:val="es-ES"/>
        </w:rPr>
        <w:t>.</w:t>
      </w:r>
    </w:p>
    <w:p w:rsidR="00AE7403" w:rsidRPr="008B40A0" w:rsidRDefault="00AE7403" w:rsidP="008B40A0">
      <w:pPr>
        <w:spacing w:after="120" w:line="240" w:lineRule="auto"/>
        <w:jc w:val="right"/>
        <w:rPr>
          <w:rFonts w:ascii="Arial" w:hAnsi="Arial" w:cs="Arial"/>
          <w:smallCaps/>
          <w:lang w:val="es-ES"/>
        </w:rPr>
      </w:pPr>
      <w:r w:rsidRPr="008B40A0">
        <w:rPr>
          <w:rFonts w:ascii="Arial" w:hAnsi="Arial" w:cs="Arial"/>
          <w:b/>
          <w:smallCaps/>
          <w:lang w:val="es-ES"/>
        </w:rPr>
        <w:t>Jorge</w:t>
      </w:r>
      <w:r w:rsidR="00C27B6C" w:rsidRPr="008B40A0">
        <w:rPr>
          <w:rFonts w:ascii="Arial" w:hAnsi="Arial" w:cs="Arial"/>
          <w:b/>
          <w:smallCaps/>
          <w:lang w:val="es-ES"/>
        </w:rPr>
        <w:t xml:space="preserve"> Pascuarelli</w:t>
      </w:r>
      <w:r w:rsidR="00C27B6C" w:rsidRPr="008B40A0">
        <w:rPr>
          <w:rFonts w:ascii="Arial" w:hAnsi="Arial" w:cs="Arial"/>
          <w:smallCaps/>
          <w:lang w:val="es-ES"/>
        </w:rPr>
        <w:t xml:space="preserve"> </w:t>
      </w:r>
      <w:r w:rsidRPr="008B40A0">
        <w:rPr>
          <w:rFonts w:ascii="Arial" w:hAnsi="Arial" w:cs="Arial"/>
          <w:smallCaps/>
          <w:lang w:val="es-ES"/>
        </w:rPr>
        <w:t>(Neuquén)</w:t>
      </w:r>
    </w:p>
    <w:p w:rsidR="00E45ABA" w:rsidRPr="008B40A0" w:rsidRDefault="00E45ABA" w:rsidP="008B40A0">
      <w:pPr>
        <w:spacing w:after="120" w:line="240" w:lineRule="auto"/>
        <w:jc w:val="both"/>
        <w:rPr>
          <w:rFonts w:ascii="Arial" w:hAnsi="Arial" w:cs="Arial"/>
        </w:rPr>
      </w:pPr>
    </w:p>
    <w:p w:rsidR="003905A0" w:rsidRPr="008B40A0" w:rsidRDefault="003905A0" w:rsidP="008B40A0">
      <w:pPr>
        <w:spacing w:after="120" w:line="240" w:lineRule="auto"/>
        <w:jc w:val="both"/>
        <w:rPr>
          <w:rFonts w:ascii="Arial" w:hAnsi="Arial" w:cs="Arial"/>
          <w:b/>
          <w:smallCaps/>
        </w:rPr>
      </w:pPr>
      <w:r w:rsidRPr="008B40A0">
        <w:rPr>
          <w:rFonts w:ascii="Arial" w:hAnsi="Arial" w:cs="Arial"/>
          <w:b/>
          <w:smallCaps/>
        </w:rPr>
        <w:t xml:space="preserve">1. Introducción. </w:t>
      </w:r>
    </w:p>
    <w:p w:rsidR="003905A0" w:rsidRPr="008B40A0" w:rsidRDefault="003905A0" w:rsidP="008B40A0">
      <w:pPr>
        <w:spacing w:after="120" w:line="240" w:lineRule="auto"/>
        <w:jc w:val="both"/>
        <w:rPr>
          <w:rFonts w:ascii="Arial" w:hAnsi="Arial" w:cs="Arial"/>
          <w:b/>
          <w:smallCaps/>
          <w:lang w:val="es-ES"/>
        </w:rPr>
      </w:pPr>
      <w:r w:rsidRPr="008B40A0">
        <w:rPr>
          <w:rFonts w:ascii="Arial" w:hAnsi="Arial" w:cs="Arial"/>
          <w:b/>
          <w:smallCaps/>
          <w:lang w:val="es-ES"/>
        </w:rPr>
        <w:t xml:space="preserve">2. El derecho a la prueba como garantía constitucional. </w:t>
      </w:r>
    </w:p>
    <w:p w:rsidR="003905A0" w:rsidRPr="008B40A0" w:rsidRDefault="003905A0" w:rsidP="008B40A0">
      <w:pPr>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3. Genaro </w:t>
      </w:r>
      <w:proofErr w:type="spellStart"/>
      <w:r w:rsidRPr="008B40A0">
        <w:rPr>
          <w:rFonts w:ascii="Arial" w:eastAsiaTheme="minorHAnsi" w:hAnsi="Arial" w:cs="Arial"/>
          <w:b/>
          <w:smallCaps/>
        </w:rPr>
        <w:t>Carrió</w:t>
      </w:r>
      <w:proofErr w:type="spellEnd"/>
      <w:r w:rsidRPr="008B40A0">
        <w:rPr>
          <w:rFonts w:ascii="Arial" w:eastAsiaTheme="minorHAnsi" w:hAnsi="Arial" w:cs="Arial"/>
          <w:b/>
          <w:smallCaps/>
        </w:rPr>
        <w:t xml:space="preserve"> y las controversias entre juristas. </w:t>
      </w:r>
    </w:p>
    <w:p w:rsidR="003905A0" w:rsidRPr="008B40A0" w:rsidRDefault="003905A0" w:rsidP="008B40A0">
      <w:pPr>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4. La clasificación de los medios de prueba. </w:t>
      </w:r>
    </w:p>
    <w:p w:rsidR="003905A0" w:rsidRPr="008B40A0" w:rsidRDefault="003905A0" w:rsidP="008B40A0">
      <w:pPr>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5. La estructura de la prueba y la clasificación de los medios de prueba en Carnelutti </w:t>
      </w:r>
    </w:p>
    <w:p w:rsidR="003905A0" w:rsidRPr="008B40A0" w:rsidRDefault="003905A0" w:rsidP="008B40A0">
      <w:pPr>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6. Las consecuencias de la distinción entre medio y fuente de prueba en </w:t>
      </w:r>
      <w:proofErr w:type="spellStart"/>
      <w:r w:rsidRPr="008B40A0">
        <w:rPr>
          <w:rFonts w:ascii="Arial" w:eastAsiaTheme="minorHAnsi" w:hAnsi="Arial" w:cs="Arial"/>
          <w:b/>
          <w:smallCaps/>
        </w:rPr>
        <w:t>Sentis</w:t>
      </w:r>
      <w:proofErr w:type="spellEnd"/>
      <w:r w:rsidRPr="008B40A0">
        <w:rPr>
          <w:rFonts w:ascii="Arial" w:eastAsiaTheme="minorHAnsi" w:hAnsi="Arial" w:cs="Arial"/>
          <w:b/>
          <w:smallCaps/>
        </w:rPr>
        <w:t xml:space="preserve"> </w:t>
      </w:r>
      <w:proofErr w:type="spellStart"/>
      <w:r w:rsidRPr="008B40A0">
        <w:rPr>
          <w:rFonts w:ascii="Arial" w:eastAsiaTheme="minorHAnsi" w:hAnsi="Arial" w:cs="Arial"/>
          <w:b/>
          <w:smallCaps/>
        </w:rPr>
        <w:t>Melendo</w:t>
      </w:r>
      <w:proofErr w:type="spellEnd"/>
      <w:r w:rsidRPr="008B40A0">
        <w:rPr>
          <w:rFonts w:ascii="Arial" w:eastAsiaTheme="minorHAnsi" w:hAnsi="Arial" w:cs="Arial"/>
          <w:b/>
          <w:smallCaps/>
        </w:rPr>
        <w:t xml:space="preserve">. </w:t>
      </w:r>
    </w:p>
    <w:p w:rsidR="003905A0" w:rsidRPr="008B40A0" w:rsidRDefault="003905A0" w:rsidP="008B40A0">
      <w:pPr>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7. Briseño Sierra. La clasificación desde otro punto de vista. </w:t>
      </w:r>
    </w:p>
    <w:p w:rsidR="003905A0" w:rsidRPr="008B40A0" w:rsidRDefault="003905A0" w:rsidP="008B40A0">
      <w:pPr>
        <w:spacing w:after="120" w:line="240" w:lineRule="auto"/>
        <w:jc w:val="both"/>
        <w:rPr>
          <w:rFonts w:ascii="Arial" w:hAnsi="Arial" w:cs="Arial"/>
          <w:b/>
          <w:i/>
          <w:iCs/>
          <w:smallCaps/>
        </w:rPr>
      </w:pPr>
      <w:r w:rsidRPr="008B40A0">
        <w:rPr>
          <w:rFonts w:ascii="Arial" w:eastAsiaTheme="minorHAnsi" w:hAnsi="Arial" w:cs="Arial"/>
          <w:b/>
          <w:smallCaps/>
        </w:rPr>
        <w:t>8. La importancia de la clasificación y su recepción en el Código Procesal Modelo del IPDP</w:t>
      </w:r>
      <w:r w:rsidRPr="008B40A0">
        <w:rPr>
          <w:rFonts w:ascii="Arial" w:hAnsi="Arial" w:cs="Arial"/>
          <w:b/>
          <w:i/>
          <w:iCs/>
          <w:smallCaps/>
        </w:rPr>
        <w:t xml:space="preserve">. </w:t>
      </w:r>
    </w:p>
    <w:p w:rsidR="003905A0" w:rsidRPr="008B40A0" w:rsidRDefault="003905A0" w:rsidP="008B40A0">
      <w:pPr>
        <w:spacing w:after="120" w:line="240" w:lineRule="auto"/>
        <w:jc w:val="both"/>
        <w:rPr>
          <w:rFonts w:ascii="Arial" w:hAnsi="Arial" w:cs="Arial"/>
          <w:b/>
          <w:smallCaps/>
        </w:rPr>
      </w:pPr>
      <w:r w:rsidRPr="008B40A0">
        <w:rPr>
          <w:rFonts w:ascii="Arial" w:hAnsi="Arial" w:cs="Arial"/>
          <w:b/>
          <w:smallCaps/>
        </w:rPr>
        <w:t>9. Conclusión.</w:t>
      </w:r>
    </w:p>
    <w:p w:rsidR="003905A0" w:rsidRPr="008B40A0" w:rsidRDefault="003905A0" w:rsidP="008B40A0">
      <w:pPr>
        <w:spacing w:after="120" w:line="240" w:lineRule="auto"/>
        <w:jc w:val="both"/>
        <w:rPr>
          <w:rFonts w:ascii="Arial" w:hAnsi="Arial" w:cs="Arial"/>
        </w:rPr>
      </w:pPr>
    </w:p>
    <w:p w:rsidR="00AE7403" w:rsidRPr="008B40A0" w:rsidRDefault="00C27B6C" w:rsidP="008B40A0">
      <w:pPr>
        <w:spacing w:after="120" w:line="240" w:lineRule="auto"/>
        <w:jc w:val="both"/>
        <w:rPr>
          <w:rFonts w:ascii="Arial" w:hAnsi="Arial" w:cs="Arial"/>
          <w:b/>
          <w:smallCaps/>
        </w:rPr>
      </w:pPr>
      <w:r w:rsidRPr="008B40A0">
        <w:rPr>
          <w:rFonts w:ascii="Arial" w:hAnsi="Arial" w:cs="Arial"/>
          <w:b/>
          <w:smallCaps/>
        </w:rPr>
        <w:t xml:space="preserve">1. </w:t>
      </w:r>
      <w:r w:rsidR="00AE7403" w:rsidRPr="008B40A0">
        <w:rPr>
          <w:rFonts w:ascii="Arial" w:hAnsi="Arial" w:cs="Arial"/>
          <w:b/>
          <w:smallCaps/>
        </w:rPr>
        <w:t>Introducción.</w:t>
      </w:r>
    </w:p>
    <w:p w:rsidR="00AE7403" w:rsidRPr="008B40A0" w:rsidRDefault="00AE7403" w:rsidP="008B40A0">
      <w:pPr>
        <w:spacing w:after="120" w:line="240" w:lineRule="auto"/>
        <w:jc w:val="both"/>
        <w:rPr>
          <w:rFonts w:ascii="Arial" w:hAnsi="Arial" w:cs="Arial"/>
        </w:rPr>
      </w:pPr>
      <w:r w:rsidRPr="008B40A0">
        <w:rPr>
          <w:rFonts w:ascii="Arial" w:hAnsi="Arial" w:cs="Arial"/>
        </w:rPr>
        <w:t>El tema que nos convoca es “</w:t>
      </w:r>
      <w:r w:rsidRPr="008B40A0">
        <w:rPr>
          <w:rFonts w:ascii="Arial" w:hAnsi="Arial" w:cs="Arial"/>
          <w:i/>
        </w:rPr>
        <w:t>La prueba es Libertad - Hacia un modelo de litigación eficaz y de garantías</w:t>
      </w:r>
      <w:r w:rsidRPr="008B40A0">
        <w:rPr>
          <w:rFonts w:ascii="Arial" w:hAnsi="Arial" w:cs="Arial"/>
        </w:rPr>
        <w:t>” fundado en la necesidad de efectuar un nuevo análisis de los grandes núcleos del Derecho Procesal mediante una nueva enseñanza de los mismos buscando un proceso eficaz en un sistema de garantías constitucionales.</w:t>
      </w:r>
    </w:p>
    <w:p w:rsidR="00AE7403" w:rsidRPr="008B40A0" w:rsidRDefault="00AE7403" w:rsidP="008B40A0">
      <w:pPr>
        <w:spacing w:after="120" w:line="240" w:lineRule="auto"/>
        <w:jc w:val="both"/>
        <w:rPr>
          <w:rFonts w:ascii="Arial" w:hAnsi="Arial" w:cs="Arial"/>
          <w:lang w:val="es-ES"/>
        </w:rPr>
      </w:pPr>
      <w:r w:rsidRPr="008B40A0">
        <w:rPr>
          <w:rFonts w:ascii="Arial" w:hAnsi="Arial" w:cs="Arial"/>
        </w:rPr>
        <w:t>En ese marco se me encomendó la tarea de desarrollar el tema de “</w:t>
      </w:r>
      <w:r w:rsidRPr="008B40A0">
        <w:rPr>
          <w:rFonts w:ascii="Arial" w:hAnsi="Arial" w:cs="Arial"/>
          <w:i/>
          <w:lang w:val="es-ES"/>
        </w:rPr>
        <w:t>La utilidad de una correcta clasificación de los medios de confirmación. Hacia una legislación uniforme en la materia</w:t>
      </w:r>
      <w:r w:rsidRPr="008B40A0">
        <w:rPr>
          <w:rFonts w:ascii="Arial" w:hAnsi="Arial" w:cs="Arial"/>
          <w:lang w:val="es-ES"/>
        </w:rPr>
        <w:t>”.</w:t>
      </w:r>
    </w:p>
    <w:p w:rsidR="00AE7403" w:rsidRPr="008B40A0" w:rsidRDefault="00AE7403" w:rsidP="008B40A0">
      <w:pPr>
        <w:spacing w:after="120" w:line="240" w:lineRule="auto"/>
        <w:jc w:val="both"/>
        <w:rPr>
          <w:rFonts w:ascii="Arial" w:hAnsi="Arial" w:cs="Arial"/>
          <w:lang w:val="es-ES"/>
        </w:rPr>
      </w:pPr>
      <w:r w:rsidRPr="008B40A0">
        <w:rPr>
          <w:rFonts w:ascii="Arial" w:hAnsi="Arial" w:cs="Arial"/>
          <w:lang w:val="es-ES"/>
        </w:rPr>
        <w:t>Para ello partamos de los parámetros del marco señalado: “</w:t>
      </w:r>
      <w:r w:rsidRPr="008B40A0">
        <w:rPr>
          <w:rFonts w:ascii="Arial" w:hAnsi="Arial" w:cs="Arial"/>
          <w:i/>
          <w:lang w:val="es-ES"/>
        </w:rPr>
        <w:t>la prueba es libertad</w:t>
      </w:r>
      <w:r w:rsidRPr="008B40A0">
        <w:rPr>
          <w:rFonts w:ascii="Arial" w:hAnsi="Arial" w:cs="Arial"/>
          <w:lang w:val="es-ES"/>
        </w:rPr>
        <w:t>”</w:t>
      </w:r>
      <w:r w:rsidR="000F2D13" w:rsidRPr="008B40A0">
        <w:rPr>
          <w:rFonts w:ascii="Arial" w:hAnsi="Arial" w:cs="Arial"/>
          <w:lang w:val="es-ES"/>
        </w:rPr>
        <w:t>; “</w:t>
      </w:r>
      <w:r w:rsidR="000F2D13" w:rsidRPr="008B40A0">
        <w:rPr>
          <w:rFonts w:ascii="Arial" w:hAnsi="Arial" w:cs="Arial"/>
          <w:i/>
          <w:lang w:val="es-ES"/>
        </w:rPr>
        <w:t>proceso eficaz respetando las garantías constitucionales</w:t>
      </w:r>
      <w:r w:rsidR="000F2D13" w:rsidRPr="008B40A0">
        <w:rPr>
          <w:rFonts w:ascii="Arial" w:hAnsi="Arial" w:cs="Arial"/>
          <w:lang w:val="es-ES"/>
        </w:rPr>
        <w:t>”; “</w:t>
      </w:r>
      <w:r w:rsidR="000F2D13" w:rsidRPr="008B40A0">
        <w:rPr>
          <w:rFonts w:ascii="Arial" w:hAnsi="Arial" w:cs="Arial"/>
          <w:i/>
          <w:lang w:val="es-ES"/>
        </w:rPr>
        <w:t>nueva enseñanza</w:t>
      </w:r>
      <w:r w:rsidR="000F2D13" w:rsidRPr="008B40A0">
        <w:rPr>
          <w:rFonts w:ascii="Arial" w:hAnsi="Arial" w:cs="Arial"/>
          <w:lang w:val="es-ES"/>
        </w:rPr>
        <w:t>” y a partir de ello buscar “</w:t>
      </w:r>
      <w:r w:rsidR="000F2D13" w:rsidRPr="008B40A0">
        <w:rPr>
          <w:rFonts w:ascii="Arial" w:hAnsi="Arial" w:cs="Arial"/>
          <w:i/>
          <w:lang w:val="es-ES"/>
        </w:rPr>
        <w:t>la utilidad de una correcta clasificación de los medios de prueba</w:t>
      </w:r>
      <w:r w:rsidR="000F2D13" w:rsidRPr="008B40A0">
        <w:rPr>
          <w:rFonts w:ascii="Arial" w:hAnsi="Arial" w:cs="Arial"/>
          <w:lang w:val="es-ES"/>
        </w:rPr>
        <w:t>” y “</w:t>
      </w:r>
      <w:r w:rsidR="000F2D13" w:rsidRPr="008B40A0">
        <w:rPr>
          <w:rFonts w:ascii="Arial" w:hAnsi="Arial" w:cs="Arial"/>
          <w:i/>
          <w:lang w:val="es-ES"/>
        </w:rPr>
        <w:t>una nueva legislación</w:t>
      </w:r>
      <w:r w:rsidR="000F2D13" w:rsidRPr="008B40A0">
        <w:rPr>
          <w:rFonts w:ascii="Arial" w:hAnsi="Arial" w:cs="Arial"/>
          <w:lang w:val="es-ES"/>
        </w:rPr>
        <w:t>”.</w:t>
      </w:r>
    </w:p>
    <w:p w:rsidR="00393957" w:rsidRPr="008B40A0" w:rsidRDefault="00393957" w:rsidP="008B40A0">
      <w:pPr>
        <w:spacing w:after="120" w:line="240" w:lineRule="auto"/>
        <w:jc w:val="both"/>
        <w:rPr>
          <w:rFonts w:ascii="Arial" w:hAnsi="Arial" w:cs="Arial"/>
          <w:lang w:val="es-ES"/>
        </w:rPr>
      </w:pPr>
    </w:p>
    <w:p w:rsidR="00393957" w:rsidRPr="008B40A0" w:rsidRDefault="00C27B6C" w:rsidP="008B40A0">
      <w:pPr>
        <w:spacing w:after="120" w:line="240" w:lineRule="auto"/>
        <w:jc w:val="both"/>
        <w:rPr>
          <w:rFonts w:ascii="Arial" w:hAnsi="Arial" w:cs="Arial"/>
          <w:b/>
          <w:smallCaps/>
          <w:lang w:val="es-ES"/>
        </w:rPr>
      </w:pPr>
      <w:r w:rsidRPr="008B40A0">
        <w:rPr>
          <w:rFonts w:ascii="Arial" w:hAnsi="Arial" w:cs="Arial"/>
          <w:b/>
          <w:smallCaps/>
          <w:lang w:val="es-ES"/>
        </w:rPr>
        <w:t xml:space="preserve">2. </w:t>
      </w:r>
      <w:r w:rsidR="00393957" w:rsidRPr="008B40A0">
        <w:rPr>
          <w:rFonts w:ascii="Arial" w:hAnsi="Arial" w:cs="Arial"/>
          <w:b/>
          <w:smallCaps/>
          <w:lang w:val="es-ES"/>
        </w:rPr>
        <w:t>El derecho a la prueba como garantía constitucional.</w:t>
      </w:r>
    </w:p>
    <w:p w:rsidR="008B40A0" w:rsidRPr="008B40A0" w:rsidRDefault="008B40A0" w:rsidP="008B40A0">
      <w:pPr>
        <w:spacing w:after="120" w:line="240" w:lineRule="auto"/>
        <w:jc w:val="both"/>
        <w:rPr>
          <w:rFonts w:ascii="Arial" w:hAnsi="Arial" w:cs="Arial"/>
          <w:lang w:val="es-ES"/>
        </w:rPr>
      </w:pPr>
      <w:r w:rsidRPr="008B40A0">
        <w:rPr>
          <w:rFonts w:ascii="Arial" w:hAnsi="Arial" w:cs="Arial"/>
          <w:lang w:val="es-ES"/>
        </w:rPr>
        <w:t>Así el marco de este encuentro se centra en que: “</w:t>
      </w:r>
      <w:r w:rsidRPr="008B40A0">
        <w:rPr>
          <w:rFonts w:ascii="Arial" w:hAnsi="Arial" w:cs="Arial"/>
          <w:i/>
          <w:lang w:val="es-ES"/>
        </w:rPr>
        <w:t>La prueba es libertad el proceso eficaz debe ser respetando las garantías constitucionales</w:t>
      </w:r>
      <w:r w:rsidRPr="008B40A0">
        <w:rPr>
          <w:rFonts w:ascii="Arial" w:hAnsi="Arial" w:cs="Arial"/>
          <w:lang w:val="es-ES"/>
        </w:rPr>
        <w:t>”</w:t>
      </w:r>
      <w:r w:rsidRPr="008B40A0">
        <w:rPr>
          <w:rFonts w:ascii="Arial" w:hAnsi="Arial" w:cs="Arial"/>
          <w:lang w:val="es-ES"/>
        </w:rPr>
        <w:t>.</w:t>
      </w:r>
    </w:p>
    <w:p w:rsidR="000F2D13" w:rsidRPr="008B40A0" w:rsidRDefault="000F2D13" w:rsidP="008B40A0">
      <w:pPr>
        <w:spacing w:after="120" w:line="240" w:lineRule="auto"/>
        <w:jc w:val="both"/>
        <w:rPr>
          <w:rFonts w:ascii="Arial" w:hAnsi="Arial" w:cs="Arial"/>
          <w:lang w:val="es-ES"/>
        </w:rPr>
      </w:pPr>
      <w:r w:rsidRPr="008B40A0">
        <w:rPr>
          <w:rFonts w:ascii="Arial" w:hAnsi="Arial" w:cs="Arial"/>
          <w:lang w:val="es-ES"/>
        </w:rPr>
        <w:t xml:space="preserve">En el IX Congreso de Derecho Procesal de Azul de 2007 Efraín Quevedo Mendoza </w:t>
      </w:r>
      <w:r w:rsidR="00A44CEA" w:rsidRPr="008B40A0">
        <w:rPr>
          <w:rFonts w:ascii="Arial" w:hAnsi="Arial" w:cs="Arial"/>
          <w:lang w:val="es-ES"/>
        </w:rPr>
        <w:t>sintetizo</w:t>
      </w:r>
      <w:r w:rsidRPr="008B40A0">
        <w:rPr>
          <w:rFonts w:ascii="Arial" w:hAnsi="Arial" w:cs="Arial"/>
          <w:lang w:val="es-ES"/>
        </w:rPr>
        <w:t xml:space="preserve"> esto en el título de su  conferencia “</w:t>
      </w:r>
      <w:r w:rsidRPr="008B40A0">
        <w:rPr>
          <w:rFonts w:ascii="Arial" w:hAnsi="Arial" w:cs="Arial"/>
          <w:i/>
          <w:lang w:val="es-ES"/>
        </w:rPr>
        <w:t>El Derecho a la prueba como garantía constitucional</w:t>
      </w:r>
      <w:r w:rsidRPr="008B40A0">
        <w:rPr>
          <w:rFonts w:ascii="Arial" w:hAnsi="Arial" w:cs="Arial"/>
          <w:lang w:val="es-ES"/>
        </w:rPr>
        <w:t>”</w:t>
      </w:r>
    </w:p>
    <w:p w:rsidR="00A44CEA" w:rsidRPr="008B40A0" w:rsidRDefault="00A44CEA" w:rsidP="008B40A0">
      <w:pPr>
        <w:spacing w:after="120" w:line="240" w:lineRule="auto"/>
        <w:jc w:val="both"/>
        <w:rPr>
          <w:rFonts w:ascii="Arial" w:hAnsi="Arial" w:cs="Arial"/>
          <w:lang w:val="es-ES"/>
        </w:rPr>
      </w:pPr>
      <w:r w:rsidRPr="008B40A0">
        <w:rPr>
          <w:rFonts w:ascii="Arial" w:hAnsi="Arial" w:cs="Arial"/>
          <w:lang w:val="es-ES"/>
        </w:rPr>
        <w:t xml:space="preserve">Para ello partió del aspecto subjetivo de la prueba judicial desde la perspectiva de las partes, cuando la mayoría de la doctrina trata los aspectos objetivos y cuando se refiere a la situación de los sujetos procesales con relación a la prueba lo hace desde el juez. </w:t>
      </w:r>
    </w:p>
    <w:p w:rsidR="00A44CEA" w:rsidRPr="008B40A0" w:rsidRDefault="00A44CEA" w:rsidP="008B40A0">
      <w:pPr>
        <w:spacing w:after="120" w:line="240" w:lineRule="auto"/>
        <w:jc w:val="both"/>
        <w:rPr>
          <w:rFonts w:ascii="Arial" w:hAnsi="Arial" w:cs="Arial"/>
          <w:lang w:val="es-ES"/>
        </w:rPr>
      </w:pPr>
      <w:r w:rsidRPr="008B40A0">
        <w:rPr>
          <w:rFonts w:ascii="Arial" w:hAnsi="Arial" w:cs="Arial"/>
          <w:lang w:val="es-ES"/>
        </w:rPr>
        <w:t xml:space="preserve">Además, señaló </w:t>
      </w:r>
      <w:r w:rsidR="00B702E6" w:rsidRPr="008B40A0">
        <w:rPr>
          <w:rFonts w:ascii="Arial" w:hAnsi="Arial" w:cs="Arial"/>
          <w:lang w:val="es-ES"/>
        </w:rPr>
        <w:t xml:space="preserve">que </w:t>
      </w:r>
      <w:r w:rsidRPr="008B40A0">
        <w:rPr>
          <w:rFonts w:ascii="Arial" w:hAnsi="Arial" w:cs="Arial"/>
          <w:lang w:val="es-ES"/>
        </w:rPr>
        <w:t xml:space="preserve">cuando se considera desde las partes es a partir del concepto de carga y propuso, considerando el derecho constitucional, como </w:t>
      </w:r>
      <w:r w:rsidR="008B40A0" w:rsidRPr="008B40A0">
        <w:rPr>
          <w:rFonts w:ascii="Arial" w:hAnsi="Arial" w:cs="Arial"/>
          <w:lang w:val="es-ES"/>
        </w:rPr>
        <w:t xml:space="preserve">un </w:t>
      </w:r>
      <w:r w:rsidRPr="008B40A0">
        <w:rPr>
          <w:rFonts w:ascii="Arial" w:hAnsi="Arial" w:cs="Arial"/>
          <w:lang w:val="es-ES"/>
        </w:rPr>
        <w:t>derecho a la prueba comprendido dentro de la garantía implícita del debido proceso o proceso justo.</w:t>
      </w:r>
    </w:p>
    <w:p w:rsidR="00711EBA" w:rsidRPr="008B40A0" w:rsidRDefault="00711EBA" w:rsidP="008B40A0">
      <w:pPr>
        <w:spacing w:after="120" w:line="240" w:lineRule="auto"/>
        <w:jc w:val="both"/>
        <w:rPr>
          <w:rFonts w:ascii="Arial" w:eastAsiaTheme="minorHAnsi" w:hAnsi="Arial" w:cs="Arial"/>
        </w:rPr>
      </w:pPr>
      <w:r w:rsidRPr="008B40A0">
        <w:rPr>
          <w:rFonts w:ascii="Arial" w:hAnsi="Arial" w:cs="Arial"/>
          <w:lang w:val="es-ES"/>
        </w:rPr>
        <w:t>Destacó, que actualmente no es</w:t>
      </w:r>
      <w:r w:rsidRPr="008B40A0">
        <w:rPr>
          <w:rFonts w:ascii="Arial" w:eastAsiaTheme="minorHAnsi" w:hAnsi="Arial" w:cs="Arial"/>
        </w:rPr>
        <w:t xml:space="preserve"> suficiente ya limitar la temática a los conflictos que pueden suscitarse entre el interés en la prueba y el interés en la tutela de los derechos fundamentales, para establecer los casos en que ciertos medios de prueba deben quedar “</w:t>
      </w:r>
      <w:r w:rsidRPr="008B40A0">
        <w:rPr>
          <w:rFonts w:ascii="Arial" w:eastAsiaTheme="minorHAnsi" w:hAnsi="Arial" w:cs="Arial"/>
          <w:i/>
        </w:rPr>
        <w:t>excluidos</w:t>
      </w:r>
      <w:r w:rsidRPr="008B40A0">
        <w:rPr>
          <w:rFonts w:ascii="Arial" w:eastAsiaTheme="minorHAnsi" w:hAnsi="Arial" w:cs="Arial"/>
        </w:rPr>
        <w:t>” del material de conocimiento a</w:t>
      </w:r>
      <w:r w:rsidR="00BF43B3" w:rsidRPr="008B40A0">
        <w:rPr>
          <w:rFonts w:ascii="Arial" w:eastAsiaTheme="minorHAnsi" w:hAnsi="Arial" w:cs="Arial"/>
        </w:rPr>
        <w:t xml:space="preserve"> utilizar por el juez en la sentencia definitiva.</w:t>
      </w:r>
    </w:p>
    <w:p w:rsidR="00BF43B3" w:rsidRPr="008B40A0" w:rsidRDefault="00BF43B3" w:rsidP="008B40A0">
      <w:pPr>
        <w:spacing w:after="120" w:line="240" w:lineRule="auto"/>
        <w:jc w:val="both"/>
        <w:rPr>
          <w:rFonts w:ascii="Arial" w:eastAsiaTheme="minorHAnsi" w:hAnsi="Arial" w:cs="Arial"/>
        </w:rPr>
      </w:pPr>
      <w:r w:rsidRPr="008B40A0">
        <w:rPr>
          <w:rFonts w:ascii="Arial" w:hAnsi="Arial" w:cs="Arial"/>
          <w:lang w:val="es-ES"/>
        </w:rPr>
        <w:t>Y señaló que el “</w:t>
      </w:r>
      <w:r w:rsidRPr="008B40A0">
        <w:rPr>
          <w:rFonts w:ascii="Arial" w:hAnsi="Arial" w:cs="Arial"/>
          <w:i/>
          <w:lang w:val="es-ES"/>
        </w:rPr>
        <w:t>nuevo contenido del derecho a probar</w:t>
      </w:r>
      <w:r w:rsidRPr="008B40A0">
        <w:rPr>
          <w:rFonts w:ascii="Arial" w:hAnsi="Arial" w:cs="Arial"/>
          <w:lang w:val="es-ES"/>
        </w:rPr>
        <w:t>” que “</w:t>
      </w:r>
      <w:r w:rsidRPr="008B40A0">
        <w:rPr>
          <w:rFonts w:ascii="Arial" w:eastAsiaTheme="minorHAnsi" w:hAnsi="Arial" w:cs="Arial"/>
          <w:i/>
        </w:rPr>
        <w:t>se entiende hoy como el poder que viene atribuido a las partes o terceros interesados, que intervienen en un proceso judicial, de aportar todos los instrumentos de que dispongan y que sean relevantes para el conocimiento de los hechos alegados y de obtener un pronunciamiento judicial acerca de su eficacia para la reconstrucción de tales hechos en la sentencia definitiva,</w:t>
      </w:r>
      <w:r w:rsidRPr="008B40A0">
        <w:rPr>
          <w:rFonts w:ascii="Arial" w:eastAsiaTheme="minorHAnsi" w:hAnsi="Arial" w:cs="Arial"/>
        </w:rPr>
        <w:t>”</w:t>
      </w:r>
    </w:p>
    <w:p w:rsidR="00BF43B3" w:rsidRPr="008B40A0" w:rsidRDefault="00BF43B3" w:rsidP="008B40A0">
      <w:pPr>
        <w:spacing w:after="120" w:line="240" w:lineRule="auto"/>
        <w:jc w:val="both"/>
        <w:rPr>
          <w:rFonts w:ascii="Arial" w:hAnsi="Arial" w:cs="Arial"/>
          <w:lang w:val="es-ES"/>
        </w:rPr>
      </w:pPr>
      <w:r w:rsidRPr="008B40A0">
        <w:rPr>
          <w:rFonts w:ascii="Arial" w:eastAsiaTheme="minorHAnsi" w:hAnsi="Arial" w:cs="Arial"/>
        </w:rPr>
        <w:t>“</w:t>
      </w:r>
      <w:r w:rsidRPr="008B40A0">
        <w:rPr>
          <w:rFonts w:ascii="Arial" w:eastAsiaTheme="minorHAnsi" w:hAnsi="Arial" w:cs="Arial"/>
          <w:i/>
        </w:rPr>
        <w:t>El derecho a probar comprende todo el amplio campo del procedimiento probatorio, comenzando por la formación de los instrumentos de prueba, su selección y proposición en el proceso, la admisión por el juez, su integración al material de conocimiento y la determinación de su eficacia para la reconstrucción de los hechos</w:t>
      </w:r>
      <w:r w:rsidRPr="008B40A0">
        <w:rPr>
          <w:rFonts w:ascii="Arial" w:eastAsiaTheme="minorHAnsi" w:hAnsi="Arial" w:cs="Arial"/>
        </w:rPr>
        <w:t>.”</w:t>
      </w:r>
    </w:p>
    <w:p w:rsidR="00A44CEA" w:rsidRPr="008B40A0" w:rsidRDefault="00A44CEA" w:rsidP="008B40A0">
      <w:pPr>
        <w:spacing w:after="120" w:line="240" w:lineRule="auto"/>
        <w:jc w:val="both"/>
        <w:rPr>
          <w:rFonts w:ascii="Arial" w:hAnsi="Arial" w:cs="Arial"/>
          <w:lang w:val="es-ES"/>
        </w:rPr>
      </w:pPr>
      <w:r w:rsidRPr="008B40A0">
        <w:rPr>
          <w:rFonts w:ascii="Arial" w:hAnsi="Arial" w:cs="Arial"/>
          <w:lang w:val="es-ES"/>
        </w:rPr>
        <w:t>Quevedo Mendoza prefiere apartarse de la distinción de fuentes y medios de prueba y referirse a instrumentos de prueba.</w:t>
      </w:r>
    </w:p>
    <w:p w:rsidR="00BF43B3" w:rsidRPr="008B40A0" w:rsidRDefault="00BF43B3" w:rsidP="008B40A0">
      <w:pPr>
        <w:spacing w:after="120" w:line="240" w:lineRule="auto"/>
        <w:jc w:val="both"/>
        <w:rPr>
          <w:rFonts w:ascii="Arial" w:eastAsiaTheme="minorHAnsi" w:hAnsi="Arial" w:cs="Arial"/>
        </w:rPr>
      </w:pPr>
      <w:r w:rsidRPr="008B40A0">
        <w:rPr>
          <w:rFonts w:ascii="Arial" w:hAnsi="Arial" w:cs="Arial"/>
          <w:lang w:val="es-ES"/>
        </w:rPr>
        <w:t>Dice que: “</w:t>
      </w:r>
      <w:r w:rsidRPr="008B40A0">
        <w:rPr>
          <w:rFonts w:ascii="Arial" w:eastAsiaTheme="minorHAnsi" w:hAnsi="Arial" w:cs="Arial"/>
          <w:i/>
        </w:rPr>
        <w:t>El primer aspecto del derecho a la prueba se manifiesta en el poder que la ley procesal debe reconocer a las partes para formar y seleccionar los instrumentos que aportarán al proceso para confirmar sus alegaciones de hecho</w:t>
      </w:r>
      <w:r w:rsidRPr="008B40A0">
        <w:rPr>
          <w:rFonts w:ascii="Arial" w:eastAsiaTheme="minorHAnsi" w:hAnsi="Arial" w:cs="Arial"/>
        </w:rPr>
        <w:t>.”</w:t>
      </w:r>
    </w:p>
    <w:p w:rsidR="00BF43B3" w:rsidRPr="008B40A0" w:rsidRDefault="00BF43B3"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w:t>
      </w:r>
      <w:r w:rsidRPr="008B40A0">
        <w:rPr>
          <w:rFonts w:ascii="Arial" w:eastAsiaTheme="minorHAnsi" w:hAnsi="Arial" w:cs="Arial"/>
          <w:i/>
        </w:rPr>
        <w:t>La enumeración de los medios de prueba que contiene la ley procesal es, por lo tanto, simplemente enunciativa, no taxativa, y la regulación de las vías rituales por las que aquellos ingresan al proceso, se limitan a los procedimientos de formación e incorporación de aquellas pruebas, dejando un amplio campo de libertad para que las partes se valgan de cualquier otro instrumento del que pueda extraerse, racionalmente, argumentos en favor de las alegaciones de hecho en las que fundan su pretensión o su resistencia</w:t>
      </w:r>
      <w:r w:rsidRPr="008B40A0">
        <w:rPr>
          <w:rFonts w:ascii="Arial" w:eastAsiaTheme="minorHAnsi" w:hAnsi="Arial" w:cs="Arial"/>
        </w:rPr>
        <w:t>”.</w:t>
      </w:r>
    </w:p>
    <w:p w:rsidR="00BF43B3" w:rsidRPr="008B40A0" w:rsidRDefault="00BF43B3" w:rsidP="008B40A0">
      <w:pPr>
        <w:autoSpaceDE w:val="0"/>
        <w:autoSpaceDN w:val="0"/>
        <w:adjustRightInd w:val="0"/>
        <w:spacing w:after="120" w:line="240" w:lineRule="auto"/>
        <w:jc w:val="both"/>
        <w:rPr>
          <w:rFonts w:ascii="Arial" w:hAnsi="Arial" w:cs="Arial"/>
        </w:rPr>
      </w:pPr>
      <w:r w:rsidRPr="008B40A0">
        <w:rPr>
          <w:rFonts w:ascii="Arial" w:eastAsiaTheme="minorHAnsi" w:hAnsi="Arial" w:cs="Arial"/>
        </w:rPr>
        <w:t>Esta libertad solo puede ser limitada por tres exigencias básicas: la racionalidad del instrumento de prueba; la legalidad de su obtención; y la relevancia de su empleo en el proceso concreto.</w:t>
      </w:r>
    </w:p>
    <w:p w:rsidR="003F01C9" w:rsidRPr="008B40A0" w:rsidRDefault="003F01C9" w:rsidP="008B40A0">
      <w:pPr>
        <w:spacing w:after="120" w:line="240" w:lineRule="auto"/>
        <w:jc w:val="both"/>
        <w:rPr>
          <w:rFonts w:ascii="Arial" w:eastAsiaTheme="minorHAnsi" w:hAnsi="Arial" w:cs="Arial"/>
        </w:rPr>
      </w:pPr>
      <w:r w:rsidRPr="008B40A0">
        <w:rPr>
          <w:rFonts w:ascii="Arial" w:hAnsi="Arial" w:cs="Arial"/>
        </w:rPr>
        <w:lastRenderedPageBreak/>
        <w:t>La racionalidad no se encuentra expresamente enunciada en las normas procesales pero r</w:t>
      </w:r>
      <w:r w:rsidRPr="008B40A0">
        <w:rPr>
          <w:rFonts w:ascii="Arial" w:eastAsiaTheme="minorHAnsi" w:hAnsi="Arial" w:cs="Arial"/>
        </w:rPr>
        <w:t>esulta inadmisible, la pretensión de producir en el proceso judicial o de aportar instrumentos que no tiendan a proveer argumentos racionales de fundamentación de las proposiciones fácticas que sustenten la sentencia.</w:t>
      </w:r>
    </w:p>
    <w:p w:rsidR="003F01C9" w:rsidRPr="008B40A0" w:rsidRDefault="003F01C9"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La ilegalidad puede provenir de una norma específica o de la genérica prohibición de violentar los derechos fundamentales de las personas.</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Quevedo Mendoza que: “</w:t>
      </w:r>
      <w:r w:rsidRPr="008B40A0">
        <w:rPr>
          <w:rFonts w:ascii="Arial" w:eastAsiaTheme="minorHAnsi" w:hAnsi="Arial" w:cs="Arial"/>
          <w:i/>
        </w:rPr>
        <w:t xml:space="preserve">La prueba regulada en la ley procesal que se aporte al proceso –formada dentro o fuera de él- será </w:t>
      </w:r>
      <w:r w:rsidRPr="008B40A0">
        <w:rPr>
          <w:rFonts w:ascii="Arial" w:eastAsiaTheme="minorHAnsi" w:hAnsi="Arial" w:cs="Arial"/>
          <w:i/>
          <w:iCs/>
        </w:rPr>
        <w:t xml:space="preserve">ilícita </w:t>
      </w:r>
      <w:r w:rsidRPr="008B40A0">
        <w:rPr>
          <w:rFonts w:ascii="Arial" w:eastAsiaTheme="minorHAnsi" w:hAnsi="Arial" w:cs="Arial"/>
          <w:i/>
        </w:rPr>
        <w:t xml:space="preserve">cuando, en el momento de su ingreso o de su creación, se aparte de esas reglas jurídicas, impuestas con miras a tutelar particulares intereses considerados de un rango superior al del conocimiento –por el juez- de los hechos objeto de debate. La </w:t>
      </w:r>
      <w:r w:rsidRPr="008B40A0">
        <w:rPr>
          <w:rFonts w:ascii="Arial" w:eastAsiaTheme="minorHAnsi" w:hAnsi="Arial" w:cs="Arial"/>
          <w:i/>
          <w:iCs/>
        </w:rPr>
        <w:t xml:space="preserve">ilicitud </w:t>
      </w:r>
      <w:r w:rsidRPr="008B40A0">
        <w:rPr>
          <w:rFonts w:ascii="Arial" w:eastAsiaTheme="minorHAnsi" w:hAnsi="Arial" w:cs="Arial"/>
          <w:i/>
        </w:rPr>
        <w:t>puede provenir, entonces, no solo de la violación de los derechos fundamentales tutelados en normas superiores del ordenamiento jurídico estatal o interestata</w:t>
      </w:r>
      <w:r w:rsidR="008B40A0" w:rsidRPr="008B40A0">
        <w:rPr>
          <w:rFonts w:ascii="Arial" w:eastAsiaTheme="minorHAnsi" w:hAnsi="Arial" w:cs="Arial"/>
          <w:i/>
        </w:rPr>
        <w:t>l</w:t>
      </w:r>
      <w:r w:rsidRPr="008B40A0">
        <w:rPr>
          <w:rFonts w:ascii="Arial" w:eastAsiaTheme="minorHAnsi" w:hAnsi="Arial" w:cs="Arial"/>
          <w:i/>
        </w:rPr>
        <w:t xml:space="preserve"> sino, además, de particulares previsiones de la ley procesal, cuya violación impide reconocer eficacia probatoria a la prueba así ingresada u obtenida.</w:t>
      </w:r>
      <w:r w:rsidRPr="008B40A0">
        <w:rPr>
          <w:rFonts w:ascii="Arial" w:eastAsiaTheme="minorHAnsi" w:hAnsi="Arial" w:cs="Arial"/>
        </w:rPr>
        <w:t>”</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w:t>
      </w:r>
      <w:r w:rsidRPr="008B40A0">
        <w:rPr>
          <w:rFonts w:ascii="Arial" w:eastAsiaTheme="minorHAnsi" w:hAnsi="Arial" w:cs="Arial"/>
          <w:i/>
        </w:rPr>
        <w:t xml:space="preserve">La prueba que se forma fuera del proceso, conforme a reglas de racionalidad, no queda sometida a las normas de la ley procesal, debiendo ser admitida, aunque fuere </w:t>
      </w:r>
      <w:r w:rsidRPr="008B40A0">
        <w:rPr>
          <w:rFonts w:ascii="Arial" w:eastAsiaTheme="minorHAnsi" w:hAnsi="Arial" w:cs="Arial"/>
          <w:i/>
          <w:iCs/>
        </w:rPr>
        <w:t>atípica</w:t>
      </w:r>
      <w:r w:rsidRPr="008B40A0">
        <w:rPr>
          <w:rFonts w:ascii="Arial" w:eastAsiaTheme="minorHAnsi" w:hAnsi="Arial" w:cs="Arial"/>
          <w:i/>
        </w:rPr>
        <w:t>, siempre que en su formación no se hayan lesionado derechos fundamentales del hombre</w:t>
      </w:r>
      <w:r w:rsidRPr="008B40A0">
        <w:rPr>
          <w:rFonts w:ascii="Arial" w:eastAsiaTheme="minorHAnsi" w:hAnsi="Arial" w:cs="Arial"/>
        </w:rPr>
        <w:t>”</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La última limitación hace a la relevancia y “</w:t>
      </w:r>
      <w:r w:rsidRPr="008B40A0">
        <w:rPr>
          <w:rFonts w:ascii="Arial" w:eastAsiaTheme="minorHAnsi" w:hAnsi="Arial" w:cs="Arial"/>
          <w:i/>
        </w:rPr>
        <w:t>es una cualidad lógica del dato probatorio, que tiene una doble significación: vincula el instrumento de prueba con los hechos que son objeto del debate y conducentes a la decisión de la contienda, e impone que aquél tenga idoneidad para producir argumentos relativos al conocimiento de tales hechos</w:t>
      </w:r>
      <w:r w:rsidRPr="008B40A0">
        <w:rPr>
          <w:rFonts w:ascii="Arial" w:eastAsiaTheme="minorHAnsi" w:hAnsi="Arial" w:cs="Arial"/>
        </w:rPr>
        <w:t>”.</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Entonces, a partir de este marco dado por el derecho a la prueba como garantía constitucional corresponde abordar la clasificación de los medios de prueba y su importancia.</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p>
    <w:p w:rsidR="00C27B6C" w:rsidRPr="008B40A0" w:rsidRDefault="00C27B6C" w:rsidP="008B40A0">
      <w:pPr>
        <w:autoSpaceDE w:val="0"/>
        <w:autoSpaceDN w:val="0"/>
        <w:adjustRightInd w:val="0"/>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3. Genaro </w:t>
      </w:r>
      <w:proofErr w:type="spellStart"/>
      <w:r w:rsidRPr="008B40A0">
        <w:rPr>
          <w:rFonts w:ascii="Arial" w:eastAsiaTheme="minorHAnsi" w:hAnsi="Arial" w:cs="Arial"/>
          <w:b/>
          <w:smallCaps/>
        </w:rPr>
        <w:t>Carrió</w:t>
      </w:r>
      <w:proofErr w:type="spellEnd"/>
      <w:r w:rsidRPr="008B40A0">
        <w:rPr>
          <w:rFonts w:ascii="Arial" w:eastAsiaTheme="minorHAnsi" w:hAnsi="Arial" w:cs="Arial"/>
          <w:b/>
          <w:smallCaps/>
        </w:rPr>
        <w:t xml:space="preserve"> y las controversias entre juristas.</w:t>
      </w:r>
    </w:p>
    <w:p w:rsidR="00C27B6C" w:rsidRPr="008B40A0" w:rsidRDefault="00B702E6"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Para abordar la utilidad de las clasificaciones conviene recordar que </w:t>
      </w:r>
      <w:r w:rsidR="00C27B6C" w:rsidRPr="008B40A0">
        <w:rPr>
          <w:rFonts w:ascii="Arial" w:eastAsiaTheme="minorHAnsi" w:hAnsi="Arial" w:cs="Arial"/>
        </w:rPr>
        <w:t xml:space="preserve">Genaro </w:t>
      </w:r>
      <w:proofErr w:type="spellStart"/>
      <w:r w:rsidR="00C27B6C" w:rsidRPr="008B40A0">
        <w:rPr>
          <w:rFonts w:ascii="Arial" w:eastAsiaTheme="minorHAnsi" w:hAnsi="Arial" w:cs="Arial"/>
        </w:rPr>
        <w:t>Carrió</w:t>
      </w:r>
      <w:proofErr w:type="spellEnd"/>
      <w:r w:rsidR="00C27B6C" w:rsidRPr="008B40A0">
        <w:rPr>
          <w:rFonts w:ascii="Arial" w:eastAsiaTheme="minorHAnsi" w:hAnsi="Arial" w:cs="Arial"/>
        </w:rPr>
        <w:t xml:space="preserve"> se </w:t>
      </w:r>
      <w:r w:rsidRPr="008B40A0">
        <w:rPr>
          <w:rFonts w:ascii="Arial" w:eastAsiaTheme="minorHAnsi" w:hAnsi="Arial" w:cs="Arial"/>
        </w:rPr>
        <w:t>refiere a</w:t>
      </w:r>
      <w:r w:rsidR="00C27B6C" w:rsidRPr="008B40A0">
        <w:rPr>
          <w:rFonts w:ascii="Arial" w:eastAsiaTheme="minorHAnsi" w:hAnsi="Arial" w:cs="Arial"/>
        </w:rPr>
        <w:t xml:space="preserve"> las controversias o desacuerdos entre los juristas referidos al lenguaje y entre ellos encuentra a las disputas sobre las clasificaciones.</w:t>
      </w:r>
    </w:p>
    <w:p w:rsidR="00C27B6C" w:rsidRPr="008B40A0" w:rsidRDefault="00C27B6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Dice que las discrepancias presuponen una creencia errónea sobre el papel o función que desempeñan las </w:t>
      </w:r>
      <w:r w:rsidR="00CA67BC" w:rsidRPr="008B40A0">
        <w:rPr>
          <w:rFonts w:ascii="Arial" w:eastAsiaTheme="minorHAnsi" w:hAnsi="Arial" w:cs="Arial"/>
        </w:rPr>
        <w:t>clasificaciones</w:t>
      </w:r>
    </w:p>
    <w:p w:rsidR="00C27B6C" w:rsidRPr="008B40A0" w:rsidRDefault="00C27B6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Se debe a que la teoría maneja clasificaciones heredaras que </w:t>
      </w:r>
      <w:r w:rsidR="00CA67BC" w:rsidRPr="008B40A0">
        <w:rPr>
          <w:rFonts w:ascii="Arial" w:eastAsiaTheme="minorHAnsi" w:hAnsi="Arial" w:cs="Arial"/>
        </w:rPr>
        <w:t>generalmente</w:t>
      </w:r>
      <w:r w:rsidRPr="008B40A0">
        <w:rPr>
          <w:rFonts w:ascii="Arial" w:eastAsiaTheme="minorHAnsi" w:hAnsi="Arial" w:cs="Arial"/>
        </w:rPr>
        <w:t xml:space="preserve"> </w:t>
      </w:r>
      <w:r w:rsidR="00CA67BC" w:rsidRPr="008B40A0">
        <w:rPr>
          <w:rFonts w:ascii="Arial" w:eastAsiaTheme="minorHAnsi" w:hAnsi="Arial" w:cs="Arial"/>
        </w:rPr>
        <w:t>cuentan</w:t>
      </w:r>
      <w:r w:rsidRPr="008B40A0">
        <w:rPr>
          <w:rFonts w:ascii="Arial" w:eastAsiaTheme="minorHAnsi" w:hAnsi="Arial" w:cs="Arial"/>
        </w:rPr>
        <w:t xml:space="preserve"> con un enorme prestigio y una tradición milenaria.</w:t>
      </w:r>
    </w:p>
    <w:p w:rsidR="00C27B6C" w:rsidRPr="008B40A0" w:rsidRDefault="00C27B6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que los juristas creen que constituyen la verdadera forma de agrupar las reglas y los fenómenos en lugar de ver simples instrumentos para una mejor comprensión.</w:t>
      </w:r>
    </w:p>
    <w:p w:rsidR="00C27B6C" w:rsidRPr="008B40A0" w:rsidRDefault="00C27B6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Y dice: “</w:t>
      </w:r>
      <w:r w:rsidRPr="008B40A0">
        <w:rPr>
          <w:rFonts w:ascii="Arial" w:eastAsiaTheme="minorHAnsi" w:hAnsi="Arial" w:cs="Arial"/>
          <w:i/>
        </w:rPr>
        <w:t>Las clasificaciones no son ni verdaderas ni falsas, son serviciales o inútiles; sus ventajas o desventajas están supeditadas al interés que guía a quien las formula</w:t>
      </w:r>
      <w:r w:rsidRPr="008B40A0">
        <w:rPr>
          <w:rFonts w:ascii="Arial" w:eastAsiaTheme="minorHAnsi" w:hAnsi="Arial" w:cs="Arial"/>
        </w:rPr>
        <w:t>”</w:t>
      </w:r>
      <w:r w:rsidRPr="008B40A0">
        <w:rPr>
          <w:rStyle w:val="Refdenotaalpie"/>
          <w:rFonts w:ascii="Arial" w:hAnsi="Arial" w:cs="Arial"/>
        </w:rPr>
        <w:footnoteReference w:id="2"/>
      </w:r>
      <w:r w:rsidRPr="008B40A0">
        <w:rPr>
          <w:rFonts w:ascii="Arial" w:eastAsiaTheme="minorHAnsi" w:hAnsi="Arial" w:cs="Arial"/>
        </w:rPr>
        <w:t>.</w:t>
      </w:r>
    </w:p>
    <w:p w:rsidR="00C27B6C" w:rsidRPr="008B40A0" w:rsidRDefault="00C27B6C" w:rsidP="008B40A0">
      <w:pPr>
        <w:autoSpaceDE w:val="0"/>
        <w:autoSpaceDN w:val="0"/>
        <w:adjustRightInd w:val="0"/>
        <w:spacing w:after="120" w:line="240" w:lineRule="auto"/>
        <w:jc w:val="both"/>
        <w:rPr>
          <w:rFonts w:ascii="Arial" w:eastAsiaTheme="minorHAnsi" w:hAnsi="Arial" w:cs="Arial"/>
          <w:b/>
        </w:rPr>
      </w:pPr>
    </w:p>
    <w:p w:rsidR="00393957" w:rsidRPr="008B40A0" w:rsidRDefault="00C27B6C" w:rsidP="008B40A0">
      <w:pPr>
        <w:autoSpaceDE w:val="0"/>
        <w:autoSpaceDN w:val="0"/>
        <w:adjustRightInd w:val="0"/>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4. </w:t>
      </w:r>
      <w:r w:rsidR="00393957" w:rsidRPr="008B40A0">
        <w:rPr>
          <w:rFonts w:ascii="Arial" w:eastAsiaTheme="minorHAnsi" w:hAnsi="Arial" w:cs="Arial"/>
          <w:b/>
          <w:smallCaps/>
        </w:rPr>
        <w:t>La clasificación de los medios de prueba.</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lastRenderedPageBreak/>
        <w:t xml:space="preserve">Para abordar la clasificación de los medios de prueba Alejandro </w:t>
      </w:r>
      <w:proofErr w:type="spellStart"/>
      <w:r w:rsidRPr="008B40A0">
        <w:rPr>
          <w:rFonts w:ascii="Arial" w:eastAsiaTheme="minorHAnsi" w:hAnsi="Arial" w:cs="Arial"/>
        </w:rPr>
        <w:t>Abal</w:t>
      </w:r>
      <w:proofErr w:type="spellEnd"/>
      <w:r w:rsidRPr="008B40A0">
        <w:rPr>
          <w:rFonts w:ascii="Arial" w:eastAsiaTheme="minorHAnsi" w:hAnsi="Arial" w:cs="Arial"/>
        </w:rPr>
        <w:t xml:space="preserve"> </w:t>
      </w:r>
      <w:proofErr w:type="spellStart"/>
      <w:r w:rsidRPr="008B40A0">
        <w:rPr>
          <w:rFonts w:ascii="Arial" w:eastAsiaTheme="minorHAnsi" w:hAnsi="Arial" w:cs="Arial"/>
        </w:rPr>
        <w:t>Oliú</w:t>
      </w:r>
      <w:proofErr w:type="spellEnd"/>
      <w:r w:rsidR="002026F1" w:rsidRPr="008B40A0">
        <w:rPr>
          <w:rStyle w:val="Refdenotaalpie"/>
          <w:rFonts w:ascii="Arial" w:hAnsi="Arial" w:cs="Arial"/>
        </w:rPr>
        <w:footnoteReference w:id="3"/>
      </w:r>
      <w:r w:rsidR="002026F1" w:rsidRPr="008B40A0">
        <w:rPr>
          <w:rFonts w:ascii="Arial" w:eastAsiaTheme="minorHAnsi" w:hAnsi="Arial" w:cs="Arial"/>
        </w:rPr>
        <w:t xml:space="preserve"> </w:t>
      </w:r>
      <w:r w:rsidRPr="008B40A0">
        <w:rPr>
          <w:rFonts w:ascii="Arial" w:eastAsiaTheme="minorHAnsi" w:hAnsi="Arial" w:cs="Arial"/>
        </w:rPr>
        <w:t xml:space="preserve">parte de señalar que se realiza una clasificación como un intento de lograr </w:t>
      </w:r>
      <w:proofErr w:type="gramStart"/>
      <w:r w:rsidRPr="008B40A0">
        <w:rPr>
          <w:rFonts w:ascii="Arial" w:eastAsiaTheme="minorHAnsi" w:hAnsi="Arial" w:cs="Arial"/>
        </w:rPr>
        <w:t>una</w:t>
      </w:r>
      <w:proofErr w:type="gramEnd"/>
      <w:r w:rsidRPr="008B40A0">
        <w:rPr>
          <w:rFonts w:ascii="Arial" w:eastAsiaTheme="minorHAnsi" w:hAnsi="Arial" w:cs="Arial"/>
        </w:rPr>
        <w:t xml:space="preserve"> conocimiento más preciso de las características del objeto acudiendo a su comparación con los demás objetos clasificados.</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 primer término, siguiendo a Bentham las clasifica atendiendo a la relación entre el hecho</w:t>
      </w:r>
      <w:r w:rsidR="00352355" w:rsidRPr="008B40A0">
        <w:rPr>
          <w:rFonts w:ascii="Arial" w:eastAsiaTheme="minorHAnsi" w:hAnsi="Arial" w:cs="Arial"/>
        </w:rPr>
        <w:t xml:space="preserve"> cuya existencia o inexistencia se quiere probar en medio “</w:t>
      </w:r>
      <w:r w:rsidR="00352355" w:rsidRPr="008B40A0">
        <w:rPr>
          <w:rFonts w:ascii="Arial" w:eastAsiaTheme="minorHAnsi" w:hAnsi="Arial" w:cs="Arial"/>
          <w:i/>
        </w:rPr>
        <w:t>directos</w:t>
      </w:r>
      <w:r w:rsidR="00352355" w:rsidRPr="008B40A0">
        <w:rPr>
          <w:rFonts w:ascii="Arial" w:eastAsiaTheme="minorHAnsi" w:hAnsi="Arial" w:cs="Arial"/>
        </w:rPr>
        <w:t>” o “</w:t>
      </w:r>
      <w:r w:rsidR="00352355" w:rsidRPr="008B40A0">
        <w:rPr>
          <w:rFonts w:ascii="Arial" w:eastAsiaTheme="minorHAnsi" w:hAnsi="Arial" w:cs="Arial"/>
          <w:i/>
        </w:rPr>
        <w:t>inmediatos</w:t>
      </w:r>
      <w:r w:rsidR="00352355" w:rsidRPr="008B40A0">
        <w:rPr>
          <w:rFonts w:ascii="Arial" w:eastAsiaTheme="minorHAnsi" w:hAnsi="Arial" w:cs="Arial"/>
        </w:rPr>
        <w:t>” e “</w:t>
      </w:r>
      <w:r w:rsidR="00352355" w:rsidRPr="008B40A0">
        <w:rPr>
          <w:rFonts w:ascii="Arial" w:eastAsiaTheme="minorHAnsi" w:hAnsi="Arial" w:cs="Arial"/>
          <w:i/>
        </w:rPr>
        <w:t>indirectos</w:t>
      </w:r>
      <w:r w:rsidR="00352355" w:rsidRPr="008B40A0">
        <w:rPr>
          <w:rFonts w:ascii="Arial" w:eastAsiaTheme="minorHAnsi" w:hAnsi="Arial" w:cs="Arial"/>
        </w:rPr>
        <w:t>” o “</w:t>
      </w:r>
      <w:r w:rsidR="00352355" w:rsidRPr="008B40A0">
        <w:rPr>
          <w:rFonts w:ascii="Arial" w:eastAsiaTheme="minorHAnsi" w:hAnsi="Arial" w:cs="Arial"/>
          <w:i/>
        </w:rPr>
        <w:t>mediatos</w:t>
      </w:r>
      <w:r w:rsidR="00352355" w:rsidRPr="008B40A0">
        <w:rPr>
          <w:rFonts w:ascii="Arial" w:eastAsiaTheme="minorHAnsi" w:hAnsi="Arial" w:cs="Arial"/>
        </w:rPr>
        <w:t>”.</w:t>
      </w:r>
    </w:p>
    <w:p w:rsidR="00352355" w:rsidRPr="008B40A0" w:rsidRDefault="003523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Es directo cuando el tribunal se pone en contacto directo con el hecho cuya existencia debe ser </w:t>
      </w:r>
      <w:proofErr w:type="gramStart"/>
      <w:r w:rsidRPr="008B40A0">
        <w:rPr>
          <w:rFonts w:ascii="Arial" w:eastAsiaTheme="minorHAnsi" w:hAnsi="Arial" w:cs="Arial"/>
        </w:rPr>
        <w:t>resuelta e indirecto</w:t>
      </w:r>
      <w:proofErr w:type="gramEnd"/>
      <w:r w:rsidRPr="008B40A0">
        <w:rPr>
          <w:rFonts w:ascii="Arial" w:eastAsiaTheme="minorHAnsi" w:hAnsi="Arial" w:cs="Arial"/>
        </w:rPr>
        <w:t xml:space="preserve"> cuando el tribunal y el hecho que se quiere probar sólo se vinculan a través de otro elemento de prueba.</w:t>
      </w:r>
    </w:p>
    <w:p w:rsidR="00352355" w:rsidRPr="008B40A0" w:rsidRDefault="003523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El medio de prueba directo e </w:t>
      </w:r>
      <w:r w:rsidR="002026F1" w:rsidRPr="008B40A0">
        <w:rPr>
          <w:rFonts w:ascii="Arial" w:eastAsiaTheme="minorHAnsi" w:hAnsi="Arial" w:cs="Arial"/>
        </w:rPr>
        <w:t>inmediato</w:t>
      </w:r>
      <w:r w:rsidRPr="008B40A0">
        <w:rPr>
          <w:rFonts w:ascii="Arial" w:eastAsiaTheme="minorHAnsi" w:hAnsi="Arial" w:cs="Arial"/>
        </w:rPr>
        <w:t xml:space="preserve"> por excelencia es el reconocimiento, inspección o </w:t>
      </w:r>
      <w:r w:rsidR="002026F1" w:rsidRPr="008B40A0">
        <w:rPr>
          <w:rFonts w:ascii="Arial" w:eastAsiaTheme="minorHAnsi" w:hAnsi="Arial" w:cs="Arial"/>
        </w:rPr>
        <w:t>examen</w:t>
      </w:r>
      <w:r w:rsidRPr="008B40A0">
        <w:rPr>
          <w:rFonts w:ascii="Arial" w:eastAsiaTheme="minorHAnsi" w:hAnsi="Arial" w:cs="Arial"/>
        </w:rPr>
        <w:t xml:space="preserve"> judicial. Los demás son indirectos y pueden clasificarse en “</w:t>
      </w:r>
      <w:r w:rsidRPr="008B40A0">
        <w:rPr>
          <w:rFonts w:ascii="Arial" w:eastAsiaTheme="minorHAnsi" w:hAnsi="Arial" w:cs="Arial"/>
          <w:i/>
        </w:rPr>
        <w:t>históricos</w:t>
      </w:r>
      <w:r w:rsidRPr="008B40A0">
        <w:rPr>
          <w:rFonts w:ascii="Arial" w:eastAsiaTheme="minorHAnsi" w:hAnsi="Arial" w:cs="Arial"/>
        </w:rPr>
        <w:t>” y “</w:t>
      </w:r>
      <w:r w:rsidRPr="008B40A0">
        <w:rPr>
          <w:rFonts w:ascii="Arial" w:eastAsiaTheme="minorHAnsi" w:hAnsi="Arial" w:cs="Arial"/>
          <w:i/>
        </w:rPr>
        <w:t>críticos</w:t>
      </w:r>
      <w:r w:rsidRPr="008B40A0">
        <w:rPr>
          <w:rFonts w:ascii="Arial" w:eastAsiaTheme="minorHAnsi" w:hAnsi="Arial" w:cs="Arial"/>
        </w:rPr>
        <w:t>” (o lógicos).</w:t>
      </w:r>
    </w:p>
    <w:p w:rsidR="00352355" w:rsidRPr="008B40A0" w:rsidRDefault="003523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Los históricos intentan representar el hecho a probar mediante fuentes de </w:t>
      </w:r>
      <w:proofErr w:type="gramStart"/>
      <w:r w:rsidRPr="008B40A0">
        <w:rPr>
          <w:rFonts w:ascii="Arial" w:eastAsiaTheme="minorHAnsi" w:hAnsi="Arial" w:cs="Arial"/>
        </w:rPr>
        <w:t>prueba consistentes en objetos, escriturados</w:t>
      </w:r>
      <w:proofErr w:type="gramEnd"/>
      <w:r w:rsidRPr="008B40A0">
        <w:rPr>
          <w:rFonts w:ascii="Arial" w:eastAsiaTheme="minorHAnsi" w:hAnsi="Arial" w:cs="Arial"/>
        </w:rPr>
        <w:t xml:space="preserve"> o no, o mediante declaraciones de personas.</w:t>
      </w:r>
    </w:p>
    <w:p w:rsidR="00352355" w:rsidRPr="008B40A0" w:rsidRDefault="003523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 cambio, los críticos intentan que el juez logre el convencimiento sobre la existencia del hecho mediante un razonamiento (en particular la prueba pericial y excluyendo las presunciones).</w:t>
      </w:r>
    </w:p>
    <w:p w:rsidR="00352355" w:rsidRPr="008B40A0" w:rsidRDefault="003523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También, distingue los medios de prueba por su estructura en personales y reales.</w:t>
      </w:r>
    </w:p>
    <w:p w:rsidR="00352355" w:rsidRPr="008B40A0" w:rsidRDefault="003523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Los personales requieren para su producción de la intervención de una persona diferente al tribunal</w:t>
      </w:r>
      <w:r w:rsidR="0063029B" w:rsidRPr="008B40A0">
        <w:rPr>
          <w:rFonts w:ascii="Arial" w:eastAsiaTheme="minorHAnsi" w:hAnsi="Arial" w:cs="Arial"/>
        </w:rPr>
        <w:t xml:space="preserve"> (confesional, testimonial, </w:t>
      </w:r>
      <w:proofErr w:type="gramStart"/>
      <w:r w:rsidR="0063029B" w:rsidRPr="008B40A0">
        <w:rPr>
          <w:rFonts w:ascii="Arial" w:eastAsiaTheme="minorHAnsi" w:hAnsi="Arial" w:cs="Arial"/>
        </w:rPr>
        <w:t>informativa</w:t>
      </w:r>
      <w:proofErr w:type="gramEnd"/>
      <w:r w:rsidR="0063029B" w:rsidRPr="008B40A0">
        <w:rPr>
          <w:rFonts w:ascii="Arial" w:eastAsiaTheme="minorHAnsi" w:hAnsi="Arial" w:cs="Arial"/>
        </w:rPr>
        <w:t xml:space="preserve">). En cambio, los reales para su producción no requieren necesariamente de la intervención de una persona fuera del tribunal, como la agregación de documentos o </w:t>
      </w:r>
      <w:r w:rsidR="002026F1" w:rsidRPr="008B40A0">
        <w:rPr>
          <w:rFonts w:ascii="Arial" w:eastAsiaTheme="minorHAnsi" w:hAnsi="Arial" w:cs="Arial"/>
        </w:rPr>
        <w:t>examen</w:t>
      </w:r>
      <w:r w:rsidR="0063029B" w:rsidRPr="008B40A0">
        <w:rPr>
          <w:rFonts w:ascii="Arial" w:eastAsiaTheme="minorHAnsi" w:hAnsi="Arial" w:cs="Arial"/>
        </w:rPr>
        <w:t xml:space="preserve"> judicial.</w:t>
      </w:r>
    </w:p>
    <w:p w:rsidR="002026F1" w:rsidRPr="008B40A0" w:rsidRDefault="002026F1" w:rsidP="008B40A0">
      <w:pPr>
        <w:autoSpaceDE w:val="0"/>
        <w:autoSpaceDN w:val="0"/>
        <w:adjustRightInd w:val="0"/>
        <w:spacing w:after="120" w:line="240" w:lineRule="auto"/>
        <w:jc w:val="both"/>
        <w:rPr>
          <w:rFonts w:ascii="Arial" w:eastAsiaTheme="minorHAnsi" w:hAnsi="Arial" w:cs="Arial"/>
          <w:u w:val="single"/>
        </w:rPr>
      </w:pPr>
      <w:r w:rsidRPr="008B40A0">
        <w:rPr>
          <w:rFonts w:ascii="Arial" w:eastAsiaTheme="minorHAnsi" w:hAnsi="Arial" w:cs="Arial"/>
        </w:rPr>
        <w:t>Así, clasificar sirve para lograr un conocimiento más preciso.</w:t>
      </w:r>
    </w:p>
    <w:p w:rsidR="00393957" w:rsidRPr="008B40A0" w:rsidRDefault="00393957" w:rsidP="008B40A0">
      <w:pPr>
        <w:autoSpaceDE w:val="0"/>
        <w:autoSpaceDN w:val="0"/>
        <w:adjustRightInd w:val="0"/>
        <w:spacing w:after="120" w:line="240" w:lineRule="auto"/>
        <w:jc w:val="both"/>
        <w:rPr>
          <w:rFonts w:ascii="Arial" w:eastAsiaTheme="minorHAnsi" w:hAnsi="Arial" w:cs="Arial"/>
        </w:rPr>
      </w:pPr>
    </w:p>
    <w:p w:rsidR="0066306C" w:rsidRPr="008B40A0" w:rsidRDefault="00C27B6C" w:rsidP="008B40A0">
      <w:pPr>
        <w:autoSpaceDE w:val="0"/>
        <w:autoSpaceDN w:val="0"/>
        <w:adjustRightInd w:val="0"/>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5. </w:t>
      </w:r>
      <w:r w:rsidR="0066306C" w:rsidRPr="008B40A0">
        <w:rPr>
          <w:rFonts w:ascii="Arial" w:eastAsiaTheme="minorHAnsi" w:hAnsi="Arial" w:cs="Arial"/>
          <w:b/>
          <w:smallCaps/>
        </w:rPr>
        <w:t>La estructura de la prueba y la clasificación de los medios de prueba en Carnelutti</w:t>
      </w:r>
    </w:p>
    <w:p w:rsidR="00721CB2" w:rsidRPr="008B40A0" w:rsidRDefault="00721CB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Carnelutti</w:t>
      </w:r>
      <w:r w:rsidR="00C27B6C" w:rsidRPr="008B40A0">
        <w:rPr>
          <w:rStyle w:val="Refdenotaalpie"/>
          <w:rFonts w:ascii="Arial" w:hAnsi="Arial" w:cs="Arial"/>
        </w:rPr>
        <w:footnoteReference w:id="4"/>
      </w:r>
      <w:r w:rsidRPr="008B40A0">
        <w:rPr>
          <w:rFonts w:ascii="Arial" w:eastAsiaTheme="minorHAnsi" w:hAnsi="Arial" w:cs="Arial"/>
        </w:rPr>
        <w:t xml:space="preserve"> parte de referirse a la función de la prueba, señala </w:t>
      </w:r>
      <w:r w:rsidR="00CB2FD5" w:rsidRPr="008B40A0">
        <w:rPr>
          <w:rFonts w:ascii="Arial" w:eastAsiaTheme="minorHAnsi" w:hAnsi="Arial" w:cs="Arial"/>
        </w:rPr>
        <w:t>que toda norma jurídica supone un mandato hipotético, supone una situación (conflicto de intereses) y manda respecto de ella. Para individualizarla hay que comprobar una situación idéntica a la supuesta y mandar de idéntico modo. La comprobación de la identidad o diferencia de la situación supuesta por la norma y la supuesta en el pleito (causa) es “</w:t>
      </w:r>
      <w:r w:rsidR="00CB2FD5" w:rsidRPr="008B40A0">
        <w:rPr>
          <w:rFonts w:ascii="Arial" w:eastAsiaTheme="minorHAnsi" w:hAnsi="Arial" w:cs="Arial"/>
          <w:i/>
        </w:rPr>
        <w:t>el fin del proceso y el objeto del juicio</w:t>
      </w:r>
      <w:r w:rsidR="00CB2FD5" w:rsidRPr="008B40A0">
        <w:rPr>
          <w:rFonts w:ascii="Arial" w:eastAsiaTheme="minorHAnsi" w:hAnsi="Arial" w:cs="Arial"/>
        </w:rPr>
        <w:t>”. Por eso explica la estructura de la sentencia como un silogismo donde a premisa mayor es la situación prevista en la norma y la menor la afirmación de la situación prevista en el pleito. Señala que a la duplicidad de las premisas corresponde el doble tema de la actividad del juez: posición de la norma jurídica y posición de la situación de hecho, cuestión de derecho y cuestión de hecho.</w:t>
      </w:r>
    </w:p>
    <w:p w:rsidR="00A92A55" w:rsidRPr="008B40A0" w:rsidRDefault="00A92A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 punto a la posición de la situación de hecho el ordenamiento jurídico limita el campo de los hechos a conocer y también regula el proceso de conocimiento del juez.</w:t>
      </w:r>
    </w:p>
    <w:p w:rsidR="00A92A55" w:rsidRPr="008B40A0" w:rsidRDefault="00A92A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Señala Carnelutti que esa regulación se asienta en dos principios: a) para el conocimiento del hecho controvertido el juez solo puede servirse de percepciones obtenidas de determinado modo; y b) el juez no puede servirse libremente de los </w:t>
      </w:r>
      <w:r w:rsidRPr="008B40A0">
        <w:rPr>
          <w:rFonts w:ascii="Arial" w:eastAsiaTheme="minorHAnsi" w:hAnsi="Arial" w:cs="Arial"/>
        </w:rPr>
        <w:lastRenderedPageBreak/>
        <w:t>hechos así percibidos para sus deducciones sino que debe utilizarlos según reglas determinadas.</w:t>
      </w:r>
    </w:p>
    <w:p w:rsidR="00A92A55" w:rsidRPr="008B40A0" w:rsidRDefault="00A92A5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Dice: “</w:t>
      </w:r>
      <w:r w:rsidRPr="008B40A0">
        <w:rPr>
          <w:rFonts w:ascii="Arial" w:eastAsiaTheme="minorHAnsi" w:hAnsi="Arial" w:cs="Arial"/>
          <w:i/>
        </w:rPr>
        <w:t>El conjunto de las reglas relativas a la percepción y a la deducción de los hechos por parte del juez</w:t>
      </w:r>
      <w:r w:rsidR="00B119FB" w:rsidRPr="008B40A0">
        <w:rPr>
          <w:rFonts w:ascii="Arial" w:eastAsiaTheme="minorHAnsi" w:hAnsi="Arial" w:cs="Arial"/>
          <w:i/>
        </w:rPr>
        <w:t>, constituye el sistema o la teoría llamada de la prueba legal. Con mucha frecuencia, el concepto de ésta se hace gravitar con preferencia sobre el segundo principio, y el problema de la prueba legal se concentra sobre el punto de la apreciación libre o no de los medios de prueba</w:t>
      </w:r>
      <w:r w:rsidR="00B119FB" w:rsidRPr="008B40A0">
        <w:rPr>
          <w:rFonts w:ascii="Arial" w:eastAsiaTheme="minorHAnsi" w:hAnsi="Arial" w:cs="Arial"/>
        </w:rPr>
        <w:t xml:space="preserve"> […] </w:t>
      </w:r>
      <w:r w:rsidR="00B119FB" w:rsidRPr="008B40A0">
        <w:rPr>
          <w:rFonts w:ascii="Arial" w:eastAsiaTheme="minorHAnsi" w:hAnsi="Arial" w:cs="Arial"/>
          <w:i/>
        </w:rPr>
        <w:t>Sin embargo, ésta es una visión unilateral del concepto y del problema: tanta importancia tiene, a todas luces, para limitar la libre búsqueda, la regla por la cual el juez no puede utilizar para el conocimiento del hecho controvertido la percepción del hecho mismo obtenida fuera del proceso, como la regla según la cual el juez no puede apreciar según las circunstancias la fuerza probatoria de un acto jurídico</w:t>
      </w:r>
      <w:r w:rsidR="00B119FB" w:rsidRPr="008B40A0">
        <w:rPr>
          <w:rFonts w:ascii="Arial" w:eastAsiaTheme="minorHAnsi" w:hAnsi="Arial" w:cs="Arial"/>
        </w:rPr>
        <w:t xml:space="preserve"> […]”</w:t>
      </w:r>
      <w:r w:rsidR="00C27B6C" w:rsidRPr="008B40A0">
        <w:rPr>
          <w:rStyle w:val="Refdenotaalpie"/>
          <w:rFonts w:ascii="Arial" w:hAnsi="Arial" w:cs="Arial"/>
        </w:rPr>
        <w:footnoteReference w:id="5"/>
      </w:r>
      <w:r w:rsidR="00B119FB" w:rsidRPr="008B40A0">
        <w:rPr>
          <w:rFonts w:ascii="Arial" w:eastAsiaTheme="minorHAnsi" w:hAnsi="Arial" w:cs="Arial"/>
        </w:rPr>
        <w:t>.</w:t>
      </w:r>
    </w:p>
    <w:p w:rsidR="00B119FB" w:rsidRPr="008B40A0" w:rsidRDefault="00B119FB"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Y resalta que “</w:t>
      </w:r>
      <w:r w:rsidRPr="008B40A0">
        <w:rPr>
          <w:rFonts w:ascii="Arial" w:eastAsiaTheme="minorHAnsi" w:hAnsi="Arial" w:cs="Arial"/>
          <w:i/>
        </w:rPr>
        <w:t>la actividad del juez se dirige no al conocimiento del hecho controvertido, es decir, a su posición conforme a la realidad, sino a su determinación o fijación formal</w:t>
      </w:r>
      <w:r w:rsidRPr="008B40A0">
        <w:rPr>
          <w:rFonts w:ascii="Arial" w:eastAsiaTheme="minorHAnsi" w:hAnsi="Arial" w:cs="Arial"/>
        </w:rPr>
        <w:t>”</w:t>
      </w:r>
      <w:r w:rsidR="00C27B6C" w:rsidRPr="008B40A0">
        <w:rPr>
          <w:rStyle w:val="Refdenotaalpie"/>
          <w:rFonts w:ascii="Arial" w:hAnsi="Arial" w:cs="Arial"/>
        </w:rPr>
        <w:t xml:space="preserve"> </w:t>
      </w:r>
      <w:r w:rsidR="00C27B6C" w:rsidRPr="008B40A0">
        <w:rPr>
          <w:rStyle w:val="Refdenotaalpie"/>
          <w:rFonts w:ascii="Arial" w:hAnsi="Arial" w:cs="Arial"/>
        </w:rPr>
        <w:footnoteReference w:id="6"/>
      </w:r>
      <w:r w:rsidR="00C27B6C" w:rsidRPr="008B40A0">
        <w:rPr>
          <w:rFonts w:ascii="Arial" w:hAnsi="Arial" w:cs="Arial"/>
        </w:rPr>
        <w:t>.</w:t>
      </w:r>
    </w:p>
    <w:p w:rsidR="00061CC1" w:rsidRPr="008B40A0" w:rsidRDefault="00061CC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Al referirse a la fijación formal como prueba dice que en un ordenamiento jurídico coexisten dos tipos de procesos para la posición del hecho controvertido cuando se efectúa según la realidad o conforme a una fijación formal o convencional.</w:t>
      </w:r>
    </w:p>
    <w:p w:rsidR="00061CC1" w:rsidRPr="008B40A0" w:rsidRDefault="00061CC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Entiende que unos pueden estar más regulados que otros, de modo que unos se alejen más del libre proceso cognitivo de modo que exista distinto grado de probabilidad de que el resultado (fijación formal) se adapte a la realidad del caso particular.</w:t>
      </w:r>
    </w:p>
    <w:p w:rsidR="00061CC1" w:rsidRPr="008B40A0" w:rsidRDefault="00061CC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Dice que por proceso probatorio puede entenderse al que refiere a la posición del hecho por la realidad solamente o también según una fijación formal.</w:t>
      </w:r>
    </w:p>
    <w:p w:rsidR="0096744D" w:rsidRPr="008B40A0" w:rsidRDefault="00061CC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Sostiene que así debe plantearse el problema central de la sistematización de la teoría de la prueba</w:t>
      </w:r>
      <w:r w:rsidR="008A7F6C" w:rsidRPr="008B40A0">
        <w:rPr>
          <w:rFonts w:ascii="Arial" w:eastAsiaTheme="minorHAnsi" w:hAnsi="Arial" w:cs="Arial"/>
        </w:rPr>
        <w:t>, que hay que construir una bipartición de los procesos o de los medios para la posición del hecho, “</w:t>
      </w:r>
      <w:r w:rsidR="008A7F6C" w:rsidRPr="008B40A0">
        <w:rPr>
          <w:rFonts w:ascii="Arial" w:eastAsiaTheme="minorHAnsi" w:hAnsi="Arial" w:cs="Arial"/>
          <w:i/>
        </w:rPr>
        <w:t>llamando a unos sí y a otros no procesos o medios de prueba, siempre que junto a los procesos o medios de fijación formal el Derecho positivo establezca medios o procesos de verdadera y propia búsqueda de la verdad material</w:t>
      </w:r>
      <w:r w:rsidR="008A7F6C" w:rsidRPr="008B40A0">
        <w:rPr>
          <w:rFonts w:ascii="Arial" w:eastAsiaTheme="minorHAnsi" w:hAnsi="Arial" w:cs="Arial"/>
        </w:rPr>
        <w:t>”</w:t>
      </w:r>
      <w:r w:rsidR="00C27B6C" w:rsidRPr="008B40A0">
        <w:rPr>
          <w:rStyle w:val="Refdenotaalpie"/>
          <w:rFonts w:ascii="Arial" w:hAnsi="Arial" w:cs="Arial"/>
        </w:rPr>
        <w:t xml:space="preserve"> </w:t>
      </w:r>
      <w:r w:rsidR="00C27B6C" w:rsidRPr="008B40A0">
        <w:rPr>
          <w:rStyle w:val="Refdenotaalpie"/>
          <w:rFonts w:ascii="Arial" w:hAnsi="Arial" w:cs="Arial"/>
        </w:rPr>
        <w:footnoteReference w:id="7"/>
      </w:r>
      <w:r w:rsidR="008A7F6C" w:rsidRPr="008B40A0">
        <w:rPr>
          <w:rFonts w:ascii="Arial" w:eastAsiaTheme="minorHAnsi" w:hAnsi="Arial" w:cs="Arial"/>
        </w:rPr>
        <w:t>.</w:t>
      </w:r>
    </w:p>
    <w:p w:rsidR="0096744D" w:rsidRPr="008B40A0" w:rsidRDefault="0096744D"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Luego, refiere al equivalente procesal del presupuesto de la norma jurídica como resultado de la fijación formal del hecho controvertido. </w:t>
      </w:r>
    </w:p>
    <w:p w:rsidR="0096744D" w:rsidRPr="008B40A0" w:rsidRDefault="0096744D"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que s</w:t>
      </w:r>
      <w:r w:rsidR="008B40A0" w:rsidRPr="008B40A0">
        <w:rPr>
          <w:rFonts w:ascii="Arial" w:eastAsiaTheme="minorHAnsi" w:hAnsi="Arial" w:cs="Arial"/>
        </w:rPr>
        <w:t>í</w:t>
      </w:r>
      <w:r w:rsidRPr="008B40A0">
        <w:rPr>
          <w:rFonts w:ascii="Arial" w:eastAsiaTheme="minorHAnsi" w:hAnsi="Arial" w:cs="Arial"/>
        </w:rPr>
        <w:t xml:space="preserve"> la fijación de los hechos del pleito se efectúa según la realidad, es decir, si los hechos son verdaderos hay coincidencia entre el presupuesto de hecho y el presupuesto de la norma.</w:t>
      </w:r>
    </w:p>
    <w:p w:rsidR="0096744D" w:rsidRPr="008B40A0" w:rsidRDefault="0096744D"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 cambio cuando a posición del hecho no tiene lugar según la realidad sino según una fijación formal puede haber una sustitución por un hecho diverso que constituye una equivalencia judicial del mismo, “</w:t>
      </w:r>
      <w:r w:rsidRPr="008B40A0">
        <w:rPr>
          <w:rFonts w:ascii="Arial" w:eastAsiaTheme="minorHAnsi" w:hAnsi="Arial" w:cs="Arial"/>
          <w:i/>
        </w:rPr>
        <w:t>puesto que en el sistema de la fijación formal la existencia (real) del hecho equivale a su fijación por determinados medios, el medio de fijación reemplaza al hecho a fijar no como presupuesto de la norma, sino como presupuesto de su realización</w:t>
      </w:r>
      <w:r w:rsidRPr="008B40A0">
        <w:rPr>
          <w:rFonts w:ascii="Arial" w:eastAsiaTheme="minorHAnsi" w:hAnsi="Arial" w:cs="Arial"/>
        </w:rPr>
        <w:t>”</w:t>
      </w:r>
      <w:r w:rsidR="00C27B6C" w:rsidRPr="008B40A0">
        <w:rPr>
          <w:rStyle w:val="Refdenotaalpie"/>
          <w:rFonts w:ascii="Arial" w:hAnsi="Arial" w:cs="Arial"/>
        </w:rPr>
        <w:t xml:space="preserve"> </w:t>
      </w:r>
      <w:r w:rsidR="00C27B6C" w:rsidRPr="008B40A0">
        <w:rPr>
          <w:rStyle w:val="Refdenotaalpie"/>
          <w:rFonts w:ascii="Arial" w:hAnsi="Arial" w:cs="Arial"/>
        </w:rPr>
        <w:footnoteReference w:id="8"/>
      </w:r>
      <w:r w:rsidR="00C27B6C" w:rsidRPr="008B40A0">
        <w:rPr>
          <w:rFonts w:ascii="Arial" w:eastAsiaTheme="minorHAnsi" w:hAnsi="Arial" w:cs="Arial"/>
        </w:rPr>
        <w:t>.</w:t>
      </w:r>
    </w:p>
    <w:p w:rsidR="00C27B6C" w:rsidRPr="008B40A0" w:rsidRDefault="0096744D"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lastRenderedPageBreak/>
        <w:t xml:space="preserve">Dice que el principio de si la equivalencia judicial del medio de fijación con el hecho a fijar </w:t>
      </w:r>
      <w:r w:rsidR="009E5E0F" w:rsidRPr="008B40A0">
        <w:rPr>
          <w:rFonts w:ascii="Arial" w:eastAsiaTheme="minorHAnsi" w:hAnsi="Arial" w:cs="Arial"/>
        </w:rPr>
        <w:t xml:space="preserve">es consecuencia indefectible del sistema de fijación formal y lo lleva a observar que algunos de estos procesos (medios) en especial la confesión poseen el máximo de eficacia de medios de fijación formal (por lo cual algunos hablan de dispensa de prueba diferenciando al sucedáneo de prueba de los medios de prueba). </w:t>
      </w:r>
    </w:p>
    <w:p w:rsidR="0095177F" w:rsidRPr="008B40A0" w:rsidRDefault="009E5E0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Expresa que </w:t>
      </w:r>
      <w:r w:rsidR="0095177F" w:rsidRPr="008B40A0">
        <w:rPr>
          <w:rFonts w:ascii="Arial" w:eastAsiaTheme="minorHAnsi" w:hAnsi="Arial" w:cs="Arial"/>
        </w:rPr>
        <w:t>el conjunto de las normas jurídicas que regulan el proceso de fijación de los hechos controvertidos constituye la institución jurídica de la prueba. Estas normas establecen una obligación del juez de contenido negativo, la obligación de no poner en la sentencia hechos discutidos que no hayan sido fijados mediante alguno de los procesos queridos por la ley.</w:t>
      </w:r>
    </w:p>
    <w:p w:rsidR="00E3182B" w:rsidRPr="008B40A0" w:rsidRDefault="00E3182B"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Luego, Carnelutti clasifica la prueba en directa e indirecta según la coincidencia o divergencia del hecho a probar (objeto de prueba) y del hecho percibido por el juez (objeto de percepción).</w:t>
      </w:r>
    </w:p>
    <w:p w:rsidR="00E3182B" w:rsidRPr="008B40A0" w:rsidRDefault="00E3182B"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El conocimiento de un hecho por parte del juez es a partir de sus sentidos. Lo que el juez percibe con sus sentidos puede ser el hecho mismo a probar o un hecho distinto.</w:t>
      </w:r>
    </w:p>
    <w:p w:rsidR="00E3182B" w:rsidRPr="008B40A0" w:rsidRDefault="00E3182B"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Lo percibe directamente por sus propios sentido, por ejemplo, en la inspección judicial, por lo tanto es una prueba directa.</w:t>
      </w:r>
    </w:p>
    <w:p w:rsidR="00E3182B" w:rsidRPr="008B40A0" w:rsidRDefault="00E3182B"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La prueba indirecta presenta la separación entre el hecho objeto de prueba y el objeto de la percepción, el hecho sometido a la percepción del juez sirve de medio de conocimiento.</w:t>
      </w:r>
    </w:p>
    <w:p w:rsidR="00E3182B" w:rsidRPr="008B40A0" w:rsidRDefault="00E3182B"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Sostiene la superioridad de la prueba directa porque la “</w:t>
      </w:r>
      <w:r w:rsidRPr="008B40A0">
        <w:rPr>
          <w:rFonts w:ascii="Arial" w:eastAsiaTheme="minorHAnsi" w:hAnsi="Arial" w:cs="Arial"/>
          <w:i/>
        </w:rPr>
        <w:t>prueba es más segura cuanto más próximo a los sentidos del juez se halle el hecho a probar</w:t>
      </w:r>
      <w:r w:rsidRPr="008B40A0">
        <w:rPr>
          <w:rFonts w:ascii="Arial" w:eastAsiaTheme="minorHAnsi" w:hAnsi="Arial" w:cs="Arial"/>
        </w:rPr>
        <w:t>”</w:t>
      </w:r>
      <w:r w:rsidR="006D4225" w:rsidRPr="008B40A0">
        <w:rPr>
          <w:rFonts w:ascii="Arial" w:eastAsiaTheme="minorHAnsi" w:hAnsi="Arial" w:cs="Arial"/>
        </w:rPr>
        <w:t>.</w:t>
      </w:r>
    </w:p>
    <w:p w:rsidR="006D4225" w:rsidRPr="008B40A0" w:rsidRDefault="006D422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Pero esta prueba directa tiene </w:t>
      </w:r>
      <w:r w:rsidR="00674D91" w:rsidRPr="008B40A0">
        <w:rPr>
          <w:rFonts w:ascii="Arial" w:eastAsiaTheme="minorHAnsi" w:hAnsi="Arial" w:cs="Arial"/>
        </w:rPr>
        <w:t>límites</w:t>
      </w:r>
      <w:r w:rsidRPr="008B40A0">
        <w:rPr>
          <w:rFonts w:ascii="Arial" w:eastAsiaTheme="minorHAnsi" w:hAnsi="Arial" w:cs="Arial"/>
        </w:rPr>
        <w:t xml:space="preserve"> de posibilidad (se puede conocer directamente los hechos presentes, permanentes y los transeúntes que se desenvuelven en la presentación del proceso) y de conveniencia (tiempo y costo).</w:t>
      </w:r>
    </w:p>
    <w:p w:rsidR="00674D91" w:rsidRPr="008B40A0" w:rsidRDefault="006D422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Señala que hay una resistencia a incluir la prueba directa, es decir, la percepción misma, del hecho a probar, dentro del concepto de prueba. Bentham </w:t>
      </w:r>
      <w:r w:rsidR="00674D91" w:rsidRPr="008B40A0">
        <w:rPr>
          <w:rFonts w:ascii="Arial" w:eastAsiaTheme="minorHAnsi" w:hAnsi="Arial" w:cs="Arial"/>
        </w:rPr>
        <w:t>distinguía</w:t>
      </w:r>
      <w:r w:rsidRPr="008B40A0">
        <w:rPr>
          <w:rFonts w:ascii="Arial" w:eastAsiaTheme="minorHAnsi" w:hAnsi="Arial" w:cs="Arial"/>
        </w:rPr>
        <w:t xml:space="preserve"> el hecho principal (que se debe probar) del hecho probatorio (que sirve para probar el hecho principal)</w:t>
      </w:r>
      <w:r w:rsidR="00674D91" w:rsidRPr="008B40A0">
        <w:rPr>
          <w:rFonts w:ascii="Arial" w:eastAsiaTheme="minorHAnsi" w:hAnsi="Arial" w:cs="Arial"/>
        </w:rPr>
        <w:t>. Sin embargo, sostiene que hay prueba “</w:t>
      </w:r>
      <w:r w:rsidR="00674D91" w:rsidRPr="008B40A0">
        <w:rPr>
          <w:rFonts w:ascii="Arial" w:eastAsiaTheme="minorHAnsi" w:hAnsi="Arial" w:cs="Arial"/>
          <w:i/>
        </w:rPr>
        <w:t>porque la percepción es el proceso de fijación del hecho controvertido, del mismo modo que la deducción lo es en la prueba indirecta</w:t>
      </w:r>
      <w:r w:rsidR="00674D91" w:rsidRPr="008B40A0">
        <w:rPr>
          <w:rFonts w:ascii="Arial" w:eastAsiaTheme="minorHAnsi" w:hAnsi="Arial" w:cs="Arial"/>
        </w:rPr>
        <w:t>”</w:t>
      </w:r>
    </w:p>
    <w:p w:rsidR="00674D91" w:rsidRPr="008B40A0" w:rsidRDefault="00674D9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Sostiene que entre la prueba directa y la indirecta la diferencia consiste en la existencia del hecho intermedio en la segunda que llama “</w:t>
      </w:r>
      <w:r w:rsidRPr="008B40A0">
        <w:rPr>
          <w:rFonts w:ascii="Arial" w:eastAsiaTheme="minorHAnsi" w:hAnsi="Arial" w:cs="Arial"/>
          <w:i/>
        </w:rPr>
        <w:t>fuente de prueba</w:t>
      </w:r>
      <w:r w:rsidRPr="008B40A0">
        <w:rPr>
          <w:rFonts w:ascii="Arial" w:eastAsiaTheme="minorHAnsi" w:hAnsi="Arial" w:cs="Arial"/>
        </w:rPr>
        <w:t>”, la primera es simple y la segunda es compleja.</w:t>
      </w:r>
    </w:p>
    <w:p w:rsidR="00674D91" w:rsidRPr="008B40A0" w:rsidRDefault="00674D9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que la diferencia entre ambas es la estructura no la función, primera es simple y la segunda es compleja, pero en ambas la base es la percepción de un hecho por el juez.</w:t>
      </w:r>
    </w:p>
    <w:p w:rsidR="00674D91" w:rsidRPr="008B40A0" w:rsidRDefault="00674D9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La necesidad de la percepción inicial constituye la diferencia entre prueba lógica (o de reglas) y la prueba histórica (o de los hechos).</w:t>
      </w:r>
    </w:p>
    <w:p w:rsidR="00674D91" w:rsidRPr="008B40A0" w:rsidRDefault="00674D91"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Dice que la prueba lógica o deductiva se desenvuelve únicamente </w:t>
      </w:r>
      <w:r w:rsidR="0046756A" w:rsidRPr="008B40A0">
        <w:rPr>
          <w:rFonts w:ascii="Arial" w:eastAsiaTheme="minorHAnsi" w:hAnsi="Arial" w:cs="Arial"/>
        </w:rPr>
        <w:t xml:space="preserve">mediante la actividad deductiva y la histórica sólo (directa) o también (indirecta) mediante una actividad perceptiva y de la falibilidad de la percepción depende el menor rigor de la prueba histórica en </w:t>
      </w:r>
      <w:r w:rsidR="00AD0472" w:rsidRPr="008B40A0">
        <w:rPr>
          <w:rFonts w:ascii="Arial" w:eastAsiaTheme="minorHAnsi" w:hAnsi="Arial" w:cs="Arial"/>
        </w:rPr>
        <w:t>comparación</w:t>
      </w:r>
      <w:r w:rsidR="0046756A" w:rsidRPr="008B40A0">
        <w:rPr>
          <w:rFonts w:ascii="Arial" w:eastAsiaTheme="minorHAnsi" w:hAnsi="Arial" w:cs="Arial"/>
        </w:rPr>
        <w:t xml:space="preserve"> con la lógica. Señala que en el lenguaje jurídico se habla de inspección para designar la percepción del hecho a probar o de indicio, mientras que asunción para la percepción de los testigos y no hay palabra técnica para la percepción del documento.</w:t>
      </w:r>
    </w:p>
    <w:p w:rsidR="0046756A" w:rsidRPr="008B40A0" w:rsidRDefault="0046756A"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lastRenderedPageBreak/>
        <w:t xml:space="preserve">La prueba indirecta se da cuando el juez no percibe el hecho a probar sino un hecho diverso. La percepción del juez no basta por sí sola para probar sino que se debe integrar con la </w:t>
      </w:r>
      <w:r w:rsidR="00AD0472" w:rsidRPr="008B40A0">
        <w:rPr>
          <w:rFonts w:ascii="Arial" w:eastAsiaTheme="minorHAnsi" w:hAnsi="Arial" w:cs="Arial"/>
        </w:rPr>
        <w:t>deducción</w:t>
      </w:r>
      <w:r w:rsidRPr="008B40A0">
        <w:rPr>
          <w:rFonts w:ascii="Arial" w:eastAsiaTheme="minorHAnsi" w:hAnsi="Arial" w:cs="Arial"/>
        </w:rPr>
        <w:t xml:space="preserve"> del hecho a probar respecto del percibido. Es una actividad compleja de percepción y deducción.</w:t>
      </w:r>
    </w:p>
    <w:p w:rsidR="00CF5CF9" w:rsidRPr="008B40A0" w:rsidRDefault="0046756A"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Se </w:t>
      </w:r>
      <w:r w:rsidR="00CF5CF9" w:rsidRPr="008B40A0">
        <w:rPr>
          <w:rFonts w:ascii="Arial" w:eastAsiaTheme="minorHAnsi" w:hAnsi="Arial" w:cs="Arial"/>
        </w:rPr>
        <w:t>construye</w:t>
      </w:r>
      <w:r w:rsidRPr="008B40A0">
        <w:rPr>
          <w:rFonts w:ascii="Arial" w:eastAsiaTheme="minorHAnsi" w:hAnsi="Arial" w:cs="Arial"/>
        </w:rPr>
        <w:t xml:space="preserve"> un silogismo donde la premisa menor es la posición del hecho percibido</w:t>
      </w:r>
      <w:r w:rsidR="00CF5CF9" w:rsidRPr="008B40A0">
        <w:rPr>
          <w:rFonts w:ascii="Arial" w:eastAsiaTheme="minorHAnsi" w:hAnsi="Arial" w:cs="Arial"/>
        </w:rPr>
        <w:t xml:space="preserve"> diverso del hecho a probar</w:t>
      </w:r>
      <w:r w:rsidRPr="008B40A0">
        <w:rPr>
          <w:rFonts w:ascii="Arial" w:eastAsiaTheme="minorHAnsi" w:hAnsi="Arial" w:cs="Arial"/>
        </w:rPr>
        <w:t>, la mayor la norma aplicable al hecho</w:t>
      </w:r>
      <w:r w:rsidR="00CF5CF9" w:rsidRPr="008B40A0">
        <w:rPr>
          <w:rFonts w:ascii="Arial" w:eastAsiaTheme="minorHAnsi" w:hAnsi="Arial" w:cs="Arial"/>
        </w:rPr>
        <w:t xml:space="preserve"> percibido y la conclusión es la afirmación de la existencia o no del hecho.</w:t>
      </w:r>
    </w:p>
    <w:p w:rsidR="00CF5CF9" w:rsidRPr="008B40A0" w:rsidRDefault="00CF5CF9"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Destaca que la norma que constituye la premisa mayor puede pertenecer a cualquier campo, como el saber técnico o los conocimientos comunes (reglas de la experiencia) y de la mayor o menor seguridad de esa regla depende el grado de verosimilitud.</w:t>
      </w:r>
    </w:p>
    <w:p w:rsidR="00CF5CF9" w:rsidRPr="008B40A0" w:rsidRDefault="00C27B6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Al referirse al m</w:t>
      </w:r>
      <w:r w:rsidR="00CF5CF9" w:rsidRPr="008B40A0">
        <w:rPr>
          <w:rFonts w:ascii="Arial" w:eastAsiaTheme="minorHAnsi" w:hAnsi="Arial" w:cs="Arial"/>
        </w:rPr>
        <w:t>edio y fuente de prueba</w:t>
      </w:r>
      <w:r w:rsidRPr="008B40A0">
        <w:rPr>
          <w:rFonts w:ascii="Arial" w:eastAsiaTheme="minorHAnsi" w:hAnsi="Arial" w:cs="Arial"/>
        </w:rPr>
        <w:t xml:space="preserve"> s</w:t>
      </w:r>
      <w:r w:rsidR="00CF5CF9" w:rsidRPr="008B40A0">
        <w:rPr>
          <w:rFonts w:ascii="Arial" w:eastAsiaTheme="minorHAnsi" w:hAnsi="Arial" w:cs="Arial"/>
        </w:rPr>
        <w:t>ostiene que en la prueba directa el medio de conocimiento se limita a la actividad del juez o sea a la percepción del hecho a probar.</w:t>
      </w:r>
    </w:p>
    <w:p w:rsidR="00CF5CF9" w:rsidRPr="008B40A0" w:rsidRDefault="00CF5CF9"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 cambio, en la prueba indirecta el conocimiento se obtiene mediante la actividad del juez sino también por un hecho exterior sobre el que se ejercita la actividad de perceptiva y deductiva.</w:t>
      </w:r>
    </w:p>
    <w:p w:rsidR="00CF5CF9" w:rsidRPr="008B40A0" w:rsidRDefault="00CF5CF9"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A partir de ello distingue la actividad del juez y el hecho</w:t>
      </w:r>
      <w:r w:rsidR="00AD0472" w:rsidRPr="008B40A0">
        <w:rPr>
          <w:rFonts w:ascii="Arial" w:eastAsiaTheme="minorHAnsi" w:hAnsi="Arial" w:cs="Arial"/>
        </w:rPr>
        <w:t xml:space="preserve"> que</w:t>
      </w:r>
      <w:r w:rsidRPr="008B40A0">
        <w:rPr>
          <w:rFonts w:ascii="Arial" w:eastAsiaTheme="minorHAnsi" w:hAnsi="Arial" w:cs="Arial"/>
        </w:rPr>
        <w:t xml:space="preserve">, por medio de dicha </w:t>
      </w:r>
      <w:r w:rsidR="00AD0472" w:rsidRPr="008B40A0">
        <w:rPr>
          <w:rFonts w:ascii="Arial" w:eastAsiaTheme="minorHAnsi" w:hAnsi="Arial" w:cs="Arial"/>
        </w:rPr>
        <w:t>actividad, sirve para conocer el hecho a probar.</w:t>
      </w:r>
    </w:p>
    <w:p w:rsidR="000B52D7" w:rsidRPr="008B40A0" w:rsidRDefault="000B52D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La actividad perceptiva se coloca en la línea del hecho exterior “</w:t>
      </w:r>
      <w:r w:rsidRPr="008B40A0">
        <w:rPr>
          <w:rFonts w:ascii="Arial" w:eastAsiaTheme="minorHAnsi" w:hAnsi="Arial" w:cs="Arial"/>
          <w:i/>
        </w:rPr>
        <w:t>cuando en el concepto de medio de prueba se juntan las declaraciones (de las partes o de terceros) y la percepción de los hechos a probar, o cuando, como sucede, se incluye promiscuamente el reconocimiento (judicial) entre los demás medios de prueba, especialmente entre los testigos y los documentos</w:t>
      </w:r>
      <w:r w:rsidRPr="008B40A0">
        <w:rPr>
          <w:rFonts w:ascii="Arial" w:eastAsiaTheme="minorHAnsi" w:hAnsi="Arial" w:cs="Arial"/>
        </w:rPr>
        <w:t>”.</w:t>
      </w:r>
    </w:p>
    <w:p w:rsidR="000B52D7" w:rsidRPr="008B40A0" w:rsidRDefault="00C27B6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w:t>
      </w:r>
      <w:r w:rsidR="000B52D7" w:rsidRPr="008B40A0">
        <w:rPr>
          <w:rFonts w:ascii="Arial" w:eastAsiaTheme="minorHAnsi" w:hAnsi="Arial" w:cs="Arial"/>
          <w:i/>
        </w:rPr>
        <w:t>También la falta de distinción entre la actividad deductiva y el hecho exterior lleva a la inclusión de las presunciones entre los medios de prueba. Resalta que debe evitarse esa confusión y que se deben diferenciar el medio personal o subjetivo con el real u objetivo, “llamo por mi cuenta medio de prueba a la actividad del juez mediante la cual busca la verdad del hecho y fuente de prueba al hecho del cual se sirve para deducir la propia verdad</w:t>
      </w:r>
      <w:r w:rsidR="000B52D7" w:rsidRPr="008B40A0">
        <w:rPr>
          <w:rFonts w:ascii="Arial" w:eastAsiaTheme="minorHAnsi" w:hAnsi="Arial" w:cs="Arial"/>
        </w:rPr>
        <w:t>”</w:t>
      </w:r>
      <w:r w:rsidRPr="008B40A0">
        <w:rPr>
          <w:rStyle w:val="Refdenotaalpie"/>
          <w:rFonts w:ascii="Arial" w:hAnsi="Arial" w:cs="Arial"/>
        </w:rPr>
        <w:t xml:space="preserve"> </w:t>
      </w:r>
      <w:r w:rsidRPr="008B40A0">
        <w:rPr>
          <w:rStyle w:val="Refdenotaalpie"/>
          <w:rFonts w:ascii="Arial" w:hAnsi="Arial" w:cs="Arial"/>
        </w:rPr>
        <w:footnoteReference w:id="9"/>
      </w:r>
      <w:r w:rsidR="000B52D7" w:rsidRPr="008B40A0">
        <w:rPr>
          <w:rFonts w:ascii="Arial" w:eastAsiaTheme="minorHAnsi" w:hAnsi="Arial" w:cs="Arial"/>
        </w:rPr>
        <w:t>.</w:t>
      </w:r>
    </w:p>
    <w:p w:rsidR="000B52D7" w:rsidRPr="008B40A0" w:rsidRDefault="000B52D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Entiende que medio de prueba es ante todo la percepción del juez y el instrumento de percepción son todos sus sentidos.</w:t>
      </w:r>
    </w:p>
    <w:p w:rsidR="006753E2" w:rsidRPr="008B40A0" w:rsidRDefault="000B52D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que la percepción tiene lugar por los sentidos del juez (percepción personal o directa) pero en determinados casos no es practico por lo que conviene que intervengan otras personas en la percepción de los objetos o las fuentes de prueba por: a) circunstancias inherentes al oficio del juez</w:t>
      </w:r>
      <w:r w:rsidR="006753E2" w:rsidRPr="008B40A0">
        <w:rPr>
          <w:rFonts w:ascii="Arial" w:eastAsiaTheme="minorHAnsi" w:hAnsi="Arial" w:cs="Arial"/>
        </w:rPr>
        <w:t xml:space="preserve"> (opera la sustitución del juez por otra persona en la actividad perceptiva, la delegación de la propia actividad en otro);</w:t>
      </w:r>
      <w:r w:rsidRPr="008B40A0">
        <w:rPr>
          <w:rFonts w:ascii="Arial" w:eastAsiaTheme="minorHAnsi" w:hAnsi="Arial" w:cs="Arial"/>
        </w:rPr>
        <w:t xml:space="preserve"> o b) </w:t>
      </w:r>
      <w:r w:rsidR="006753E2" w:rsidRPr="008B40A0">
        <w:rPr>
          <w:rFonts w:ascii="Arial" w:eastAsiaTheme="minorHAnsi" w:hAnsi="Arial" w:cs="Arial"/>
        </w:rPr>
        <w:t xml:space="preserve">circunstancias inherentes a su capacidad, puede ser que el juzgador no tenga aptitud o preparación suficiente para la percepción de los hechos (percepción técnica o que no puede percibir por un defecto sensorial o se desaconseje la percepción directa) o para su deducción. </w:t>
      </w:r>
    </w:p>
    <w:p w:rsidR="006753E2" w:rsidRPr="008B40A0" w:rsidRDefault="006753E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Sostiene que la intervención de asistencia no genera inconvenientes y tiene carácter de auxiliar. </w:t>
      </w:r>
    </w:p>
    <w:p w:rsidR="006753E2" w:rsidRPr="008B40A0" w:rsidRDefault="006753E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 cambio la sustitución en la percepción es una figura ambigua pero que se debe diferenciar la prueba indirecta de estas formas de integración de la actividad del juez</w:t>
      </w:r>
      <w:r w:rsidR="00B82E8D" w:rsidRPr="008B40A0">
        <w:rPr>
          <w:rFonts w:ascii="Arial" w:eastAsiaTheme="minorHAnsi" w:hAnsi="Arial" w:cs="Arial"/>
        </w:rPr>
        <w:t xml:space="preserve"> que llama formas de percepción indirecta. Señala que la línea de separación consiste </w:t>
      </w:r>
      <w:r w:rsidR="00B82E8D" w:rsidRPr="008B40A0">
        <w:rPr>
          <w:rFonts w:ascii="Arial" w:eastAsiaTheme="minorHAnsi" w:hAnsi="Arial" w:cs="Arial"/>
        </w:rPr>
        <w:lastRenderedPageBreak/>
        <w:t>en que el hecho sea por encargo (auxiliar del juez, actos del pleito) o sin encargo del juez (testigo, documento).</w:t>
      </w:r>
    </w:p>
    <w:p w:rsidR="00B82E8D" w:rsidRPr="008B40A0" w:rsidRDefault="005908B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También, considera como medio de prueba la actividad de deducción del juez. El instrumento no son sus sentidos sino su conocimiento.</w:t>
      </w:r>
    </w:p>
    <w:p w:rsidR="005908BF" w:rsidRPr="008B40A0" w:rsidRDefault="005908B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el campo limitada de las reglas de la experiencia, que son los instrumentos de deducción porque pueden ser de experiencia común o de experiencia técnica. En este aspecto aparece un segundo campo de actuación de la pericia (el anterior era el perito como instrumento de percepción) y acá el perito como instrumento de deducción.</w:t>
      </w:r>
    </w:p>
    <w:p w:rsidR="005908BF" w:rsidRPr="008B40A0" w:rsidRDefault="005908B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El perito en la deducción puede intervenir de forma simple: a) indicando las reglas de experiencia al juez; o b) aplicándolas; también de forma más compleja: c) aplicando la regla de experiencia indicada por el perito.</w:t>
      </w:r>
    </w:p>
    <w:p w:rsidR="00DC27FF" w:rsidRPr="008B40A0" w:rsidRDefault="005908B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Señala que solo es importante el momento de la deducción o subsunción por el perito </w:t>
      </w:r>
      <w:r w:rsidR="00DC27FF" w:rsidRPr="008B40A0">
        <w:rPr>
          <w:rFonts w:ascii="Arial" w:eastAsiaTheme="minorHAnsi" w:hAnsi="Arial" w:cs="Arial"/>
        </w:rPr>
        <w:t>y señala que la deducción por el perito es un “</w:t>
      </w:r>
      <w:r w:rsidR="00DC27FF" w:rsidRPr="008B40A0">
        <w:rPr>
          <w:rFonts w:ascii="Arial" w:eastAsiaTheme="minorHAnsi" w:hAnsi="Arial" w:cs="Arial"/>
          <w:i/>
        </w:rPr>
        <w:t>medio de integración de la actividad del juez</w:t>
      </w:r>
      <w:r w:rsidR="00DC27FF" w:rsidRPr="008B40A0">
        <w:rPr>
          <w:rFonts w:ascii="Arial" w:eastAsiaTheme="minorHAnsi" w:hAnsi="Arial" w:cs="Arial"/>
        </w:rPr>
        <w:t>”.</w:t>
      </w:r>
    </w:p>
    <w:p w:rsidR="00DC27FF" w:rsidRPr="008B40A0" w:rsidRDefault="00DC27F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En otro punto, establece que la fuente de prueba, hechos percibidos por el juez y que le sirven para la deducción de hechos a probar, se distinguen según constituyan o no la representación del hecho a probar.</w:t>
      </w:r>
    </w:p>
    <w:p w:rsidR="005908BF" w:rsidRPr="008B40A0" w:rsidRDefault="00DC27F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Dice que las fuentes de prueba en sentido estricto son los hechos que sirven para la deducción de hechos a probar y están constituidos por la representación de éste y fuentes de presunción a los hechos que sirven para la deducción de hechos a probar y no están constituidos por la representación de éste.</w:t>
      </w:r>
    </w:p>
    <w:p w:rsidR="00DC27FF" w:rsidRPr="008B40A0" w:rsidRDefault="00B702E6"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Sostiene que</w:t>
      </w:r>
      <w:r w:rsidR="00DC27FF" w:rsidRPr="008B40A0">
        <w:rPr>
          <w:rFonts w:ascii="Arial" w:eastAsiaTheme="minorHAnsi" w:hAnsi="Arial" w:cs="Arial"/>
        </w:rPr>
        <w:t xml:space="preserve"> la representación es un sucedáneo de la percepción sirve para despertar mediante un equivalente sensible la idea que vendría primariamente determinada por la percepción del hecho. El objeto de representación es el mismo del que la representación.</w:t>
      </w:r>
    </w:p>
    <w:p w:rsidR="00CA67BC" w:rsidRPr="008B40A0" w:rsidRDefault="00CA67BC" w:rsidP="008B40A0">
      <w:pPr>
        <w:autoSpaceDE w:val="0"/>
        <w:autoSpaceDN w:val="0"/>
        <w:adjustRightInd w:val="0"/>
        <w:spacing w:after="120" w:line="240" w:lineRule="auto"/>
        <w:jc w:val="both"/>
        <w:rPr>
          <w:rFonts w:ascii="Arial" w:eastAsiaTheme="minorHAnsi" w:hAnsi="Arial" w:cs="Arial"/>
          <w:b/>
        </w:rPr>
      </w:pPr>
    </w:p>
    <w:p w:rsidR="0066306C" w:rsidRPr="008B40A0" w:rsidRDefault="00AF113D" w:rsidP="008B40A0">
      <w:pPr>
        <w:autoSpaceDE w:val="0"/>
        <w:autoSpaceDN w:val="0"/>
        <w:adjustRightInd w:val="0"/>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6. </w:t>
      </w:r>
      <w:r w:rsidR="0066306C" w:rsidRPr="008B40A0">
        <w:rPr>
          <w:rFonts w:ascii="Arial" w:eastAsiaTheme="minorHAnsi" w:hAnsi="Arial" w:cs="Arial"/>
          <w:b/>
          <w:smallCaps/>
        </w:rPr>
        <w:t xml:space="preserve">Las consecuencias de la distinción entre medio y fuente de prueba en </w:t>
      </w:r>
      <w:proofErr w:type="spellStart"/>
      <w:r w:rsidR="0066306C" w:rsidRPr="008B40A0">
        <w:rPr>
          <w:rFonts w:ascii="Arial" w:eastAsiaTheme="minorHAnsi" w:hAnsi="Arial" w:cs="Arial"/>
          <w:b/>
          <w:smallCaps/>
        </w:rPr>
        <w:t>Sentis</w:t>
      </w:r>
      <w:proofErr w:type="spellEnd"/>
      <w:r w:rsidR="0066306C" w:rsidRPr="008B40A0">
        <w:rPr>
          <w:rFonts w:ascii="Arial" w:eastAsiaTheme="minorHAnsi" w:hAnsi="Arial" w:cs="Arial"/>
          <w:b/>
          <w:smallCaps/>
        </w:rPr>
        <w:t xml:space="preserve"> </w:t>
      </w:r>
      <w:proofErr w:type="spellStart"/>
      <w:r w:rsidR="0066306C" w:rsidRPr="008B40A0">
        <w:rPr>
          <w:rFonts w:ascii="Arial" w:eastAsiaTheme="minorHAnsi" w:hAnsi="Arial" w:cs="Arial"/>
          <w:b/>
          <w:smallCaps/>
        </w:rPr>
        <w:t>Melendo</w:t>
      </w:r>
      <w:proofErr w:type="spellEnd"/>
      <w:r w:rsidR="0066306C" w:rsidRPr="008B40A0">
        <w:rPr>
          <w:rFonts w:ascii="Arial" w:eastAsiaTheme="minorHAnsi" w:hAnsi="Arial" w:cs="Arial"/>
          <w:b/>
          <w:smallCaps/>
        </w:rPr>
        <w:t>.</w:t>
      </w:r>
    </w:p>
    <w:p w:rsidR="00744B2E" w:rsidRPr="008B40A0" w:rsidRDefault="00744B2E"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Santiago </w:t>
      </w:r>
      <w:proofErr w:type="spellStart"/>
      <w:r w:rsidRPr="008B40A0">
        <w:rPr>
          <w:rFonts w:ascii="Arial" w:eastAsiaTheme="minorHAnsi" w:hAnsi="Arial" w:cs="Arial"/>
        </w:rPr>
        <w:t>Sentis</w:t>
      </w:r>
      <w:proofErr w:type="spellEnd"/>
      <w:r w:rsidRPr="008B40A0">
        <w:rPr>
          <w:rFonts w:ascii="Arial" w:eastAsiaTheme="minorHAnsi" w:hAnsi="Arial" w:cs="Arial"/>
        </w:rPr>
        <w:t xml:space="preserve"> </w:t>
      </w:r>
      <w:proofErr w:type="spellStart"/>
      <w:r w:rsidRPr="008B40A0">
        <w:rPr>
          <w:rFonts w:ascii="Arial" w:eastAsiaTheme="minorHAnsi" w:hAnsi="Arial" w:cs="Arial"/>
        </w:rPr>
        <w:t>Melendo</w:t>
      </w:r>
      <w:proofErr w:type="spellEnd"/>
      <w:r w:rsidR="00B93D5F" w:rsidRPr="008B40A0">
        <w:rPr>
          <w:rStyle w:val="Refdenotaalpie"/>
          <w:rFonts w:ascii="Arial" w:hAnsi="Arial" w:cs="Arial"/>
        </w:rPr>
        <w:footnoteReference w:id="10"/>
      </w:r>
      <w:r w:rsidR="00B65522" w:rsidRPr="008B40A0">
        <w:rPr>
          <w:rFonts w:ascii="Arial" w:eastAsiaTheme="minorHAnsi" w:hAnsi="Arial" w:cs="Arial"/>
        </w:rPr>
        <w:t xml:space="preserve"> sostiene que la distinción entre medios y fuentes de prueba es indispensable y siguiente el pensamiento de Carnelutti dice que las fuentes son los elementos que existen en la realidad y los medios están constituidos por la actividad para incorporarlos.</w:t>
      </w:r>
    </w:p>
    <w:p w:rsidR="00B65522" w:rsidRPr="008B40A0" w:rsidRDefault="00B6552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que esa actividad se manifiesta en traer al proceso una fuente utilizando un medio, en esa incorporación o ejecución consiste el medio de prueba.</w:t>
      </w:r>
    </w:p>
    <w:p w:rsidR="00B65522" w:rsidRPr="008B40A0" w:rsidRDefault="00B6552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Sostiene que el concepto de fuente de prueba es extrajurídico mientras que el de medios es jurídico. Así, dice que en la demanda o contestación cuando se dispone que las partes ofrezcan la prueba “</w:t>
      </w:r>
      <w:r w:rsidRPr="008B40A0">
        <w:rPr>
          <w:rFonts w:ascii="Arial" w:eastAsiaTheme="minorHAnsi" w:hAnsi="Arial" w:cs="Arial"/>
          <w:i/>
        </w:rPr>
        <w:t xml:space="preserve">lo que se </w:t>
      </w:r>
      <w:r w:rsidR="00B2424F" w:rsidRPr="008B40A0">
        <w:rPr>
          <w:rFonts w:ascii="Arial" w:eastAsiaTheme="minorHAnsi" w:hAnsi="Arial" w:cs="Arial"/>
          <w:i/>
        </w:rPr>
        <w:t>está</w:t>
      </w:r>
      <w:r w:rsidRPr="008B40A0">
        <w:rPr>
          <w:rFonts w:ascii="Arial" w:eastAsiaTheme="minorHAnsi" w:hAnsi="Arial" w:cs="Arial"/>
          <w:i/>
        </w:rPr>
        <w:t xml:space="preserve"> diciendo es que manifiesten de que fuentes disponen, para que el juez acuerde los medios de traerlas a los autos</w:t>
      </w:r>
      <w:r w:rsidRPr="008B40A0">
        <w:rPr>
          <w:rFonts w:ascii="Arial" w:eastAsiaTheme="minorHAnsi" w:hAnsi="Arial" w:cs="Arial"/>
        </w:rPr>
        <w:t>”</w:t>
      </w:r>
      <w:r w:rsidR="00B702E6" w:rsidRPr="008B40A0">
        <w:rPr>
          <w:rFonts w:ascii="Arial" w:eastAsiaTheme="minorHAnsi" w:hAnsi="Arial" w:cs="Arial"/>
        </w:rPr>
        <w:t>.</w:t>
      </w:r>
    </w:p>
    <w:p w:rsidR="00124264" w:rsidRPr="008B40A0" w:rsidRDefault="00B2424F"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Resalta la importancia de la distinción entre fuentes y medios de prueba lo que influye en: a) la naturaleza de la prueba, en cuanto es un medio de comprobación, no de averiguación, porque las fuentes son extrajurídicas y los medios se </w:t>
      </w:r>
      <w:r w:rsidR="00CA67BC" w:rsidRPr="008B40A0">
        <w:rPr>
          <w:rFonts w:ascii="Arial" w:eastAsiaTheme="minorHAnsi" w:hAnsi="Arial" w:cs="Arial"/>
        </w:rPr>
        <w:t>constituyen</w:t>
      </w:r>
      <w:r w:rsidRPr="008B40A0">
        <w:rPr>
          <w:rFonts w:ascii="Arial" w:eastAsiaTheme="minorHAnsi" w:hAnsi="Arial" w:cs="Arial"/>
        </w:rPr>
        <w:t xml:space="preserve"> en el proceso; b) el objeto son afirmaciones no hechos, se afirma cuando se cree tener </w:t>
      </w:r>
      <w:r w:rsidRPr="008B40A0">
        <w:rPr>
          <w:rFonts w:ascii="Arial" w:eastAsiaTheme="minorHAnsi" w:hAnsi="Arial" w:cs="Arial"/>
        </w:rPr>
        <w:lastRenderedPageBreak/>
        <w:t>fuentes y se cuenta en llevarlas al proceso por medios;</w:t>
      </w:r>
      <w:r w:rsidR="00AF113D" w:rsidRPr="008B40A0">
        <w:rPr>
          <w:rFonts w:ascii="Arial" w:eastAsiaTheme="minorHAnsi" w:hAnsi="Arial" w:cs="Arial"/>
        </w:rPr>
        <w:t xml:space="preserve"> </w:t>
      </w:r>
      <w:r w:rsidRPr="008B40A0">
        <w:rPr>
          <w:rFonts w:ascii="Arial" w:eastAsiaTheme="minorHAnsi" w:hAnsi="Arial" w:cs="Arial"/>
        </w:rPr>
        <w:t>c) la búsqueda de fuentes no está sujeta a garantías especificas por ser extraprocesal y los medios a las garantías comunes por ser procesales;</w:t>
      </w:r>
      <w:r w:rsidR="00AF113D" w:rsidRPr="008B40A0">
        <w:rPr>
          <w:rFonts w:ascii="Arial" w:eastAsiaTheme="minorHAnsi" w:hAnsi="Arial" w:cs="Arial"/>
        </w:rPr>
        <w:t xml:space="preserve"> </w:t>
      </w:r>
      <w:r w:rsidRPr="008B40A0">
        <w:rPr>
          <w:rFonts w:ascii="Arial" w:eastAsiaTheme="minorHAnsi" w:hAnsi="Arial" w:cs="Arial"/>
        </w:rPr>
        <w:t>d) en punto a quien debe probar, cargas y facultades la distinción es esencial;</w:t>
      </w:r>
      <w:r w:rsidR="00AF113D" w:rsidRPr="008B40A0">
        <w:rPr>
          <w:rFonts w:ascii="Arial" w:eastAsiaTheme="minorHAnsi" w:hAnsi="Arial" w:cs="Arial"/>
        </w:rPr>
        <w:t xml:space="preserve"> </w:t>
      </w:r>
      <w:r w:rsidRPr="008B40A0">
        <w:rPr>
          <w:rFonts w:ascii="Arial" w:eastAsiaTheme="minorHAnsi" w:hAnsi="Arial" w:cs="Arial"/>
        </w:rPr>
        <w:t>e)</w:t>
      </w:r>
      <w:r w:rsidR="00124264" w:rsidRPr="008B40A0">
        <w:rPr>
          <w:rFonts w:ascii="Arial" w:eastAsiaTheme="minorHAnsi" w:hAnsi="Arial" w:cs="Arial"/>
        </w:rPr>
        <w:t xml:space="preserve"> respecto al cómo probar, las fuentes no están sometidas a procedimiento pero si los medios y si hay un </w:t>
      </w:r>
      <w:r w:rsidR="00124264" w:rsidRPr="008B40A0">
        <w:rPr>
          <w:rFonts w:ascii="Arial" w:eastAsiaTheme="minorHAnsi" w:hAnsi="Arial" w:cs="Arial"/>
          <w:i/>
        </w:rPr>
        <w:t>numer</w:t>
      </w:r>
      <w:r w:rsidR="00AF113D" w:rsidRPr="008B40A0">
        <w:rPr>
          <w:rFonts w:ascii="Arial" w:eastAsiaTheme="minorHAnsi" w:hAnsi="Arial" w:cs="Arial"/>
          <w:i/>
        </w:rPr>
        <w:t>us</w:t>
      </w:r>
      <w:r w:rsidR="00124264" w:rsidRPr="008B40A0">
        <w:rPr>
          <w:rFonts w:ascii="Arial" w:eastAsiaTheme="minorHAnsi" w:hAnsi="Arial" w:cs="Arial"/>
          <w:i/>
        </w:rPr>
        <w:t xml:space="preserve"> clausus</w:t>
      </w:r>
      <w:r w:rsidR="00124264" w:rsidRPr="008B40A0">
        <w:rPr>
          <w:rFonts w:ascii="Arial" w:eastAsiaTheme="minorHAnsi" w:hAnsi="Arial" w:cs="Arial"/>
        </w:rPr>
        <w:t>;</w:t>
      </w:r>
      <w:r w:rsidR="00AF113D" w:rsidRPr="008B40A0">
        <w:rPr>
          <w:rFonts w:ascii="Arial" w:eastAsiaTheme="minorHAnsi" w:hAnsi="Arial" w:cs="Arial"/>
        </w:rPr>
        <w:t xml:space="preserve"> </w:t>
      </w:r>
      <w:r w:rsidR="00124264" w:rsidRPr="008B40A0">
        <w:rPr>
          <w:rFonts w:ascii="Arial" w:eastAsiaTheme="minorHAnsi" w:hAnsi="Arial" w:cs="Arial"/>
        </w:rPr>
        <w:t>f) adquisición, los medios no se adquieren porque son pura forma se adquieren las fuentes;</w:t>
      </w:r>
      <w:r w:rsidR="00AF113D" w:rsidRPr="008B40A0">
        <w:rPr>
          <w:rFonts w:ascii="Arial" w:eastAsiaTheme="minorHAnsi" w:hAnsi="Arial" w:cs="Arial"/>
        </w:rPr>
        <w:t xml:space="preserve"> </w:t>
      </w:r>
      <w:r w:rsidR="00124264" w:rsidRPr="008B40A0">
        <w:rPr>
          <w:rFonts w:ascii="Arial" w:eastAsiaTheme="minorHAnsi" w:hAnsi="Arial" w:cs="Arial"/>
        </w:rPr>
        <w:t>g) valoración, se aprecia la fuente pero se puede considerar la conducta procesal.</w:t>
      </w:r>
    </w:p>
    <w:p w:rsidR="00124264" w:rsidRPr="008B40A0" w:rsidRDefault="00124264"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Señala que la </w:t>
      </w:r>
      <w:r w:rsidR="000E6214" w:rsidRPr="008B40A0">
        <w:rPr>
          <w:rFonts w:ascii="Arial" w:eastAsiaTheme="minorHAnsi" w:hAnsi="Arial" w:cs="Arial"/>
        </w:rPr>
        <w:t>clasificación</w:t>
      </w:r>
      <w:r w:rsidRPr="008B40A0">
        <w:rPr>
          <w:rFonts w:ascii="Arial" w:eastAsiaTheme="minorHAnsi" w:hAnsi="Arial" w:cs="Arial"/>
        </w:rPr>
        <w:t xml:space="preserve"> solo puede hacerse de las fuentes no de los medios pero muchos autores las confunden y se plantea el problema del </w:t>
      </w:r>
      <w:r w:rsidRPr="008B40A0">
        <w:rPr>
          <w:rFonts w:ascii="Arial" w:eastAsiaTheme="minorHAnsi" w:hAnsi="Arial" w:cs="Arial"/>
          <w:i/>
        </w:rPr>
        <w:t>numerus clausus</w:t>
      </w:r>
      <w:r w:rsidRPr="008B40A0">
        <w:rPr>
          <w:rFonts w:ascii="Arial" w:eastAsiaTheme="minorHAnsi" w:hAnsi="Arial" w:cs="Arial"/>
        </w:rPr>
        <w:t xml:space="preserve"> o </w:t>
      </w:r>
      <w:r w:rsidRPr="008B40A0">
        <w:rPr>
          <w:rFonts w:ascii="Arial" w:eastAsiaTheme="minorHAnsi" w:hAnsi="Arial" w:cs="Arial"/>
          <w:i/>
        </w:rPr>
        <w:t xml:space="preserve">numerus </w:t>
      </w:r>
      <w:proofErr w:type="spellStart"/>
      <w:r w:rsidRPr="008B40A0">
        <w:rPr>
          <w:rFonts w:ascii="Arial" w:eastAsiaTheme="minorHAnsi" w:hAnsi="Arial" w:cs="Arial"/>
          <w:i/>
        </w:rPr>
        <w:t>apertus</w:t>
      </w:r>
      <w:proofErr w:type="spellEnd"/>
      <w:r w:rsidRPr="008B40A0">
        <w:rPr>
          <w:rFonts w:ascii="Arial" w:eastAsiaTheme="minorHAnsi" w:hAnsi="Arial" w:cs="Arial"/>
        </w:rPr>
        <w:t xml:space="preserve">, que actualmente </w:t>
      </w:r>
      <w:r w:rsidR="00AF113D" w:rsidRPr="008B40A0">
        <w:rPr>
          <w:rFonts w:ascii="Arial" w:eastAsiaTheme="minorHAnsi" w:hAnsi="Arial" w:cs="Arial"/>
        </w:rPr>
        <w:t>está resuelto en los códigos.</w:t>
      </w:r>
    </w:p>
    <w:p w:rsidR="00124264" w:rsidRPr="008B40A0" w:rsidRDefault="00124264"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Para </w:t>
      </w:r>
      <w:proofErr w:type="spellStart"/>
      <w:r w:rsidRPr="008B40A0">
        <w:rPr>
          <w:rFonts w:ascii="Arial" w:eastAsiaTheme="minorHAnsi" w:hAnsi="Arial" w:cs="Arial"/>
        </w:rPr>
        <w:t>Sentis</w:t>
      </w:r>
      <w:proofErr w:type="spellEnd"/>
      <w:r w:rsidRPr="008B40A0">
        <w:rPr>
          <w:rFonts w:ascii="Arial" w:eastAsiaTheme="minorHAnsi" w:hAnsi="Arial" w:cs="Arial"/>
        </w:rPr>
        <w:t xml:space="preserve"> </w:t>
      </w:r>
      <w:proofErr w:type="spellStart"/>
      <w:r w:rsidRPr="008B40A0">
        <w:rPr>
          <w:rFonts w:ascii="Arial" w:eastAsiaTheme="minorHAnsi" w:hAnsi="Arial" w:cs="Arial"/>
        </w:rPr>
        <w:t>Melendo</w:t>
      </w:r>
      <w:proofErr w:type="spellEnd"/>
      <w:r w:rsidRPr="008B40A0">
        <w:rPr>
          <w:rFonts w:ascii="Arial" w:eastAsiaTheme="minorHAnsi" w:hAnsi="Arial" w:cs="Arial"/>
        </w:rPr>
        <w:t xml:space="preserve"> el resultado más importante de la distinción entre fuentes y medios de prueba es respecto a la aplicación del principio dispositivo y el de oficialidad. Entiende que las partes disponen de las fuentes pero el juez de los medios, que los puede manejar según su discreción.</w:t>
      </w:r>
    </w:p>
    <w:p w:rsidR="00124264" w:rsidRPr="008B40A0" w:rsidRDefault="000E6214"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La afirmación de que la clasificación solo puede hacerse de las fuentes no de los medios es lo que le permite hacer esta distinción</w:t>
      </w:r>
      <w:r w:rsidR="00B702E6" w:rsidRPr="008B40A0">
        <w:rPr>
          <w:rFonts w:ascii="Arial" w:eastAsiaTheme="minorHAnsi" w:hAnsi="Arial" w:cs="Arial"/>
        </w:rPr>
        <w:t>, lo cual es criticado por Briseño Sierra</w:t>
      </w:r>
      <w:r w:rsidR="00B702E6" w:rsidRPr="008B40A0">
        <w:rPr>
          <w:rStyle w:val="Refdenotaalpie"/>
          <w:rFonts w:ascii="Arial" w:hAnsi="Arial" w:cs="Arial"/>
        </w:rPr>
        <w:footnoteReference w:id="11"/>
      </w:r>
    </w:p>
    <w:p w:rsidR="00B93D5F" w:rsidRPr="008B40A0" w:rsidRDefault="00B93D5F" w:rsidP="008B40A0">
      <w:pPr>
        <w:autoSpaceDE w:val="0"/>
        <w:autoSpaceDN w:val="0"/>
        <w:adjustRightInd w:val="0"/>
        <w:spacing w:after="120" w:line="240" w:lineRule="auto"/>
        <w:jc w:val="both"/>
        <w:rPr>
          <w:rFonts w:ascii="Arial" w:hAnsi="Arial" w:cs="Arial"/>
        </w:rPr>
      </w:pPr>
    </w:p>
    <w:p w:rsidR="00D64179" w:rsidRPr="008B40A0" w:rsidRDefault="00B93D5F" w:rsidP="008B40A0">
      <w:pPr>
        <w:autoSpaceDE w:val="0"/>
        <w:autoSpaceDN w:val="0"/>
        <w:adjustRightInd w:val="0"/>
        <w:spacing w:after="120" w:line="240" w:lineRule="auto"/>
        <w:jc w:val="both"/>
        <w:rPr>
          <w:rFonts w:ascii="Arial" w:eastAsiaTheme="minorHAnsi" w:hAnsi="Arial" w:cs="Arial"/>
          <w:b/>
          <w:smallCaps/>
        </w:rPr>
      </w:pPr>
      <w:r w:rsidRPr="008B40A0">
        <w:rPr>
          <w:rFonts w:ascii="Arial" w:eastAsiaTheme="minorHAnsi" w:hAnsi="Arial" w:cs="Arial"/>
          <w:b/>
          <w:smallCaps/>
        </w:rPr>
        <w:t xml:space="preserve">7. </w:t>
      </w:r>
      <w:r w:rsidR="00D64179" w:rsidRPr="008B40A0">
        <w:rPr>
          <w:rFonts w:ascii="Arial" w:eastAsiaTheme="minorHAnsi" w:hAnsi="Arial" w:cs="Arial"/>
          <w:b/>
          <w:smallCaps/>
        </w:rPr>
        <w:t>Briseño Sierra. La clasificación desde otro punto de vista.</w:t>
      </w:r>
    </w:p>
    <w:p w:rsidR="00893A47" w:rsidRPr="008B40A0" w:rsidRDefault="00893A4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Señala Briseño Sierra que confirmar es dotar a la pretensión de eficiencia fáctica, lo que importa es confirmar lo afirmado.</w:t>
      </w:r>
    </w:p>
    <w:p w:rsidR="00893A47" w:rsidRPr="008B40A0" w:rsidRDefault="00893A47"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Advierte que la cuestión se centra en la vinculación que tiene la prueba con la confirmación y que a lo largo de la historia quien afirma ha venido obligado a ofrecer los medios de eficiencia que lleven a la confirmación. Dice que: “</w:t>
      </w:r>
      <w:r w:rsidRPr="008B40A0">
        <w:rPr>
          <w:rFonts w:ascii="Arial" w:eastAsiaTheme="minorHAnsi" w:hAnsi="Arial" w:cs="Arial"/>
          <w:i/>
        </w:rPr>
        <w:t xml:space="preserve">Al confirmar, pues, se suelen aplicar medios e instrumentos que no son propiamente probatorios, sobre todo si se piensa con la doctrina mayoritaria, que probar es encontrar la verdad de los hechos pretéritos, porque en este plano, alcanzar un grado de certeza es bastante difícil. Lo que acontece frecuentemente, es que con el nombre de prueba se realizan convicciones, </w:t>
      </w:r>
      <w:proofErr w:type="spellStart"/>
      <w:r w:rsidRPr="008B40A0">
        <w:rPr>
          <w:rFonts w:ascii="Arial" w:eastAsiaTheme="minorHAnsi" w:hAnsi="Arial" w:cs="Arial"/>
          <w:i/>
        </w:rPr>
        <w:t>acreditamientos</w:t>
      </w:r>
      <w:proofErr w:type="spellEnd"/>
      <w:r w:rsidRPr="008B40A0">
        <w:rPr>
          <w:rFonts w:ascii="Arial" w:eastAsiaTheme="minorHAnsi" w:hAnsi="Arial" w:cs="Arial"/>
          <w:i/>
        </w:rPr>
        <w:t xml:space="preserve"> y mostraciones, que influyen en el ánimo de los individuos, y ante la falta de otro medio, se </w:t>
      </w:r>
      <w:r w:rsidR="00CA67BC" w:rsidRPr="008B40A0">
        <w:rPr>
          <w:rFonts w:ascii="Arial" w:eastAsiaTheme="minorHAnsi" w:hAnsi="Arial" w:cs="Arial"/>
          <w:i/>
        </w:rPr>
        <w:t>acogen</w:t>
      </w:r>
      <w:r w:rsidRPr="008B40A0">
        <w:rPr>
          <w:rFonts w:ascii="Arial" w:eastAsiaTheme="minorHAnsi" w:hAnsi="Arial" w:cs="Arial"/>
          <w:i/>
        </w:rPr>
        <w:t xml:space="preserve"> los resultados circunstanciales</w:t>
      </w:r>
      <w:proofErr w:type="gramStart"/>
      <w:r w:rsidRPr="008B40A0">
        <w:rPr>
          <w:rFonts w:ascii="Arial" w:eastAsiaTheme="minorHAnsi" w:hAnsi="Arial" w:cs="Arial"/>
        </w:rPr>
        <w:t xml:space="preserve">” </w:t>
      </w:r>
      <w:proofErr w:type="gramEnd"/>
      <w:r w:rsidR="00B93D5F" w:rsidRPr="008B40A0">
        <w:rPr>
          <w:rStyle w:val="Refdenotaalpie"/>
          <w:rFonts w:ascii="Arial" w:hAnsi="Arial" w:cs="Arial"/>
        </w:rPr>
        <w:footnoteReference w:id="12"/>
      </w:r>
      <w:r w:rsidR="00B93D5F" w:rsidRPr="008B40A0">
        <w:rPr>
          <w:rFonts w:ascii="Arial" w:eastAsiaTheme="minorHAnsi" w:hAnsi="Arial" w:cs="Arial"/>
        </w:rPr>
        <w:t>.</w:t>
      </w:r>
    </w:p>
    <w:p w:rsidR="00D847B0" w:rsidRPr="008B40A0" w:rsidRDefault="00D847B0"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Luego, dice que la prueba “</w:t>
      </w:r>
      <w:r w:rsidRPr="008B40A0">
        <w:rPr>
          <w:rFonts w:ascii="Arial" w:eastAsiaTheme="minorHAnsi" w:hAnsi="Arial" w:cs="Arial"/>
          <w:i/>
        </w:rPr>
        <w:t xml:space="preserve">no es ni la credibilidad ni la convicción, ni la inferencia de </w:t>
      </w:r>
      <w:r w:rsidR="00CA67BC" w:rsidRPr="008B40A0">
        <w:rPr>
          <w:rFonts w:ascii="Arial" w:eastAsiaTheme="minorHAnsi" w:hAnsi="Arial" w:cs="Arial"/>
          <w:i/>
        </w:rPr>
        <w:t>indicios</w:t>
      </w:r>
      <w:r w:rsidRPr="008B40A0">
        <w:rPr>
          <w:rFonts w:ascii="Arial" w:eastAsiaTheme="minorHAnsi" w:hAnsi="Arial" w:cs="Arial"/>
          <w:i/>
        </w:rPr>
        <w:t xml:space="preserve"> o ciencia privada, sino la verificación</w:t>
      </w:r>
      <w:r w:rsidRPr="008B40A0">
        <w:rPr>
          <w:rFonts w:ascii="Arial" w:eastAsiaTheme="minorHAnsi" w:hAnsi="Arial" w:cs="Arial"/>
        </w:rPr>
        <w:t>”.</w:t>
      </w:r>
    </w:p>
    <w:p w:rsidR="00D847B0" w:rsidRPr="008B40A0" w:rsidRDefault="00D847B0"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Define la prueba como “</w:t>
      </w:r>
      <w:r w:rsidRPr="008B40A0">
        <w:rPr>
          <w:rFonts w:ascii="Arial" w:eastAsiaTheme="minorHAnsi" w:hAnsi="Arial" w:cs="Arial"/>
          <w:i/>
        </w:rPr>
        <w:t>la eficiente producción de un objeto de conocimiento mediante la aplicación de la formula dada por su propia legalidad científica</w:t>
      </w:r>
      <w:r w:rsidRPr="008B40A0">
        <w:rPr>
          <w:rFonts w:ascii="Arial" w:eastAsiaTheme="minorHAnsi" w:hAnsi="Arial" w:cs="Arial"/>
        </w:rPr>
        <w:t xml:space="preserve"> […] </w:t>
      </w:r>
      <w:r w:rsidRPr="008B40A0">
        <w:rPr>
          <w:rFonts w:ascii="Arial" w:eastAsiaTheme="minorHAnsi" w:hAnsi="Arial" w:cs="Arial"/>
          <w:i/>
        </w:rPr>
        <w:t xml:space="preserve">en pocas </w:t>
      </w:r>
      <w:r w:rsidR="00B93D5F" w:rsidRPr="008B40A0">
        <w:rPr>
          <w:rFonts w:ascii="Arial" w:eastAsiaTheme="minorHAnsi" w:hAnsi="Arial" w:cs="Arial"/>
          <w:i/>
        </w:rPr>
        <w:t>circunstancias</w:t>
      </w:r>
      <w:r w:rsidRPr="008B40A0">
        <w:rPr>
          <w:rFonts w:ascii="Arial" w:eastAsiaTheme="minorHAnsi" w:hAnsi="Arial" w:cs="Arial"/>
          <w:i/>
        </w:rPr>
        <w:t xml:space="preserve"> jurídicas se puede encontrar la prueba</w:t>
      </w:r>
      <w:r w:rsidRPr="008B40A0">
        <w:rPr>
          <w:rFonts w:ascii="Arial" w:eastAsiaTheme="minorHAnsi" w:hAnsi="Arial" w:cs="Arial"/>
        </w:rPr>
        <w:t xml:space="preserve"> […] </w:t>
      </w:r>
      <w:r w:rsidRPr="008B40A0">
        <w:rPr>
          <w:rFonts w:ascii="Arial" w:eastAsiaTheme="minorHAnsi" w:hAnsi="Arial" w:cs="Arial"/>
          <w:i/>
        </w:rPr>
        <w:t>De ahí que el campo de la prueba sea reducido</w:t>
      </w:r>
      <w:r w:rsidRPr="008B40A0">
        <w:rPr>
          <w:rFonts w:ascii="Arial" w:eastAsiaTheme="minorHAnsi" w:hAnsi="Arial" w:cs="Arial"/>
        </w:rPr>
        <w:t>”</w:t>
      </w:r>
    </w:p>
    <w:p w:rsidR="00124264" w:rsidRPr="008B40A0" w:rsidRDefault="00D847B0"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Posteriormente, se refiere la mostración criticando la concepción de Carnelutti </w:t>
      </w:r>
      <w:r w:rsidR="0077240D" w:rsidRPr="008B40A0">
        <w:rPr>
          <w:rFonts w:ascii="Arial" w:eastAsiaTheme="minorHAnsi" w:hAnsi="Arial" w:cs="Arial"/>
        </w:rPr>
        <w:t xml:space="preserve">respecto al resultado de la prueba directa e indirecta, que es la persuasión del juez en el reconocimiento. Dice que el principal riesgo es confundir la percepción propiamente dicha con la inferencia </w:t>
      </w:r>
      <w:r w:rsidR="00B93D5F" w:rsidRPr="008B40A0">
        <w:rPr>
          <w:rFonts w:ascii="Arial" w:eastAsiaTheme="minorHAnsi" w:hAnsi="Arial" w:cs="Arial"/>
        </w:rPr>
        <w:t>inconsciente</w:t>
      </w:r>
      <w:r w:rsidR="0077240D" w:rsidRPr="008B40A0">
        <w:rPr>
          <w:rFonts w:ascii="Arial" w:eastAsiaTheme="minorHAnsi" w:hAnsi="Arial" w:cs="Arial"/>
        </w:rPr>
        <w:t>, Entiende que en el reconocimiento, hay mostración (donde hay una percepción) que no es prueba, no hay verificación.</w:t>
      </w:r>
    </w:p>
    <w:p w:rsidR="0077240D" w:rsidRPr="008B40A0" w:rsidRDefault="0077240D"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En tercer lugar aparece la </w:t>
      </w:r>
      <w:r w:rsidR="00B93D5F" w:rsidRPr="008B40A0">
        <w:rPr>
          <w:rFonts w:ascii="Arial" w:eastAsiaTheme="minorHAnsi" w:hAnsi="Arial" w:cs="Arial"/>
        </w:rPr>
        <w:t>convicción</w:t>
      </w:r>
      <w:r w:rsidRPr="008B40A0">
        <w:rPr>
          <w:rFonts w:ascii="Arial" w:eastAsiaTheme="minorHAnsi" w:hAnsi="Arial" w:cs="Arial"/>
        </w:rPr>
        <w:t xml:space="preserve">, que tampoco es prueba y hace al convencimiento. Entiende por convicción la inclinación del </w:t>
      </w:r>
      <w:r w:rsidR="00B702E6" w:rsidRPr="008B40A0">
        <w:rPr>
          <w:rFonts w:ascii="Arial" w:eastAsiaTheme="minorHAnsi" w:hAnsi="Arial" w:cs="Arial"/>
        </w:rPr>
        <w:t>ánimo</w:t>
      </w:r>
      <w:r w:rsidRPr="008B40A0">
        <w:rPr>
          <w:rFonts w:ascii="Arial" w:eastAsiaTheme="minorHAnsi" w:hAnsi="Arial" w:cs="Arial"/>
        </w:rPr>
        <w:t xml:space="preserve"> hac</w:t>
      </w:r>
      <w:r w:rsidR="006547E5" w:rsidRPr="008B40A0">
        <w:rPr>
          <w:rFonts w:ascii="Arial" w:eastAsiaTheme="minorHAnsi" w:hAnsi="Arial" w:cs="Arial"/>
        </w:rPr>
        <w:t xml:space="preserve">ia una afirmación </w:t>
      </w:r>
      <w:r w:rsidR="006547E5" w:rsidRPr="008B40A0">
        <w:rPr>
          <w:rFonts w:ascii="Arial" w:eastAsiaTheme="minorHAnsi" w:hAnsi="Arial" w:cs="Arial"/>
        </w:rPr>
        <w:lastRenderedPageBreak/>
        <w:t>inverificable y que los medios para lograrla son la confesión, los testigos y la fama pública.</w:t>
      </w:r>
    </w:p>
    <w:p w:rsidR="00B140E8" w:rsidRPr="008B40A0" w:rsidRDefault="006547E5"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Luego aparece el </w:t>
      </w:r>
      <w:proofErr w:type="spellStart"/>
      <w:r w:rsidRPr="008B40A0">
        <w:rPr>
          <w:rFonts w:ascii="Arial" w:eastAsiaTheme="minorHAnsi" w:hAnsi="Arial" w:cs="Arial"/>
        </w:rPr>
        <w:t>acreditamiento</w:t>
      </w:r>
      <w:proofErr w:type="spellEnd"/>
      <w:r w:rsidRPr="008B40A0">
        <w:rPr>
          <w:rFonts w:ascii="Arial" w:eastAsiaTheme="minorHAnsi" w:hAnsi="Arial" w:cs="Arial"/>
        </w:rPr>
        <w:t xml:space="preserve"> que surge del documento, instrumento y monumento</w:t>
      </w:r>
      <w:r w:rsidR="00B140E8" w:rsidRPr="008B40A0">
        <w:rPr>
          <w:rFonts w:ascii="Arial" w:eastAsiaTheme="minorHAnsi" w:hAnsi="Arial" w:cs="Arial"/>
        </w:rPr>
        <w:t>. Dice que los documentos contienen proposiciones que basta leer para comprender, las conductas tienen un simbolismo que permanece en el tiempo.</w:t>
      </w:r>
    </w:p>
    <w:p w:rsidR="00B140E8" w:rsidRPr="008B40A0" w:rsidRDefault="00B140E8"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Y de allí que debe efectuarse un replanteamiento del problema.</w:t>
      </w:r>
    </w:p>
    <w:p w:rsidR="00B140E8" w:rsidRPr="008B40A0" w:rsidRDefault="00B140E8"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Entonces Briseño va clasificar a los medios en a) medios de prueba (la pericia); b) medios de </w:t>
      </w:r>
      <w:proofErr w:type="spellStart"/>
      <w:r w:rsidRPr="008B40A0">
        <w:rPr>
          <w:rFonts w:ascii="Arial" w:eastAsiaTheme="minorHAnsi" w:hAnsi="Arial" w:cs="Arial"/>
        </w:rPr>
        <w:t>acreditamiento</w:t>
      </w:r>
      <w:proofErr w:type="spellEnd"/>
      <w:r w:rsidRPr="008B40A0">
        <w:rPr>
          <w:rFonts w:ascii="Arial" w:eastAsiaTheme="minorHAnsi" w:hAnsi="Arial" w:cs="Arial"/>
        </w:rPr>
        <w:t>; c) medios de mostración y d) medios de convicción.</w:t>
      </w:r>
    </w:p>
    <w:p w:rsidR="00B140E8" w:rsidRPr="008B40A0" w:rsidRDefault="00B140E8"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Dice “</w:t>
      </w:r>
      <w:r w:rsidRPr="008B40A0">
        <w:rPr>
          <w:rFonts w:ascii="Arial" w:eastAsiaTheme="minorHAnsi" w:hAnsi="Arial" w:cs="Arial"/>
          <w:i/>
        </w:rPr>
        <w:t>la naturaleza de los medios de confirmación, influye, no solo en la concepción y finalidad, sino en la pertinencia subjetiva: de las partes, de terceros o del juez, y en su diligenciamiento. Con todo, hay notas comunes a diversos elementos, y esto posibilita la clasificación, que puede tomar cualquiera de los puntos de vista enunciados: la índole del medio confirmatorio, su finalidad, su procedencia subjetiva o su modo de sustanciar</w:t>
      </w:r>
      <w:proofErr w:type="gramStart"/>
      <w:r w:rsidRPr="008B40A0">
        <w:rPr>
          <w:rFonts w:ascii="Arial" w:eastAsiaTheme="minorHAnsi" w:hAnsi="Arial" w:cs="Arial"/>
        </w:rPr>
        <w:t xml:space="preserve">” </w:t>
      </w:r>
      <w:proofErr w:type="gramEnd"/>
      <w:r w:rsidR="00B93D5F" w:rsidRPr="008B40A0">
        <w:rPr>
          <w:rStyle w:val="Refdenotaalpie"/>
          <w:rFonts w:ascii="Arial" w:hAnsi="Arial" w:cs="Arial"/>
        </w:rPr>
        <w:footnoteReference w:id="13"/>
      </w:r>
      <w:r w:rsidR="00B93D5F" w:rsidRPr="008B40A0">
        <w:rPr>
          <w:rFonts w:ascii="Arial" w:eastAsiaTheme="minorHAnsi" w:hAnsi="Arial" w:cs="Arial"/>
        </w:rPr>
        <w:t>.</w:t>
      </w:r>
    </w:p>
    <w:p w:rsidR="00B140E8" w:rsidRPr="008B40A0" w:rsidRDefault="00E41AF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Aclara que “</w:t>
      </w:r>
      <w:r w:rsidRPr="008B40A0">
        <w:rPr>
          <w:rFonts w:ascii="Arial" w:eastAsiaTheme="minorHAnsi" w:hAnsi="Arial" w:cs="Arial"/>
          <w:i/>
        </w:rPr>
        <w:t xml:space="preserve">No parece haber absoluta conformidad en las clasificaciones sobre los medios de prueba, tal vez porque no se </w:t>
      </w:r>
      <w:r w:rsidR="00B93D5F" w:rsidRPr="008B40A0">
        <w:rPr>
          <w:rFonts w:ascii="Arial" w:eastAsiaTheme="minorHAnsi" w:hAnsi="Arial" w:cs="Arial"/>
          <w:i/>
        </w:rPr>
        <w:t>está</w:t>
      </w:r>
      <w:r w:rsidRPr="008B40A0">
        <w:rPr>
          <w:rFonts w:ascii="Arial" w:eastAsiaTheme="minorHAnsi" w:hAnsi="Arial" w:cs="Arial"/>
          <w:i/>
        </w:rPr>
        <w:t xml:space="preserve"> hablando siempre de la prueba sino de los medios de confirmación</w:t>
      </w:r>
      <w:r w:rsidRPr="008B40A0">
        <w:rPr>
          <w:rFonts w:ascii="Arial" w:eastAsiaTheme="minorHAnsi" w:hAnsi="Arial" w:cs="Arial"/>
        </w:rPr>
        <w:t xml:space="preserve"> […] </w:t>
      </w:r>
      <w:r w:rsidRPr="008B40A0">
        <w:rPr>
          <w:rFonts w:ascii="Arial" w:eastAsiaTheme="minorHAnsi" w:hAnsi="Arial" w:cs="Arial"/>
          <w:i/>
        </w:rPr>
        <w:t xml:space="preserve">De los medios de confirmatorios no se puede hacer una clasificación, olvidando su peculiar naturaleza. Entre la prueba y la convicción, el </w:t>
      </w:r>
      <w:proofErr w:type="spellStart"/>
      <w:r w:rsidRPr="008B40A0">
        <w:rPr>
          <w:rFonts w:ascii="Arial" w:eastAsiaTheme="minorHAnsi" w:hAnsi="Arial" w:cs="Arial"/>
          <w:i/>
        </w:rPr>
        <w:t>acreditamiento</w:t>
      </w:r>
      <w:proofErr w:type="spellEnd"/>
      <w:r w:rsidRPr="008B40A0">
        <w:rPr>
          <w:rFonts w:ascii="Arial" w:eastAsiaTheme="minorHAnsi" w:hAnsi="Arial" w:cs="Arial"/>
          <w:i/>
        </w:rPr>
        <w:t xml:space="preserve"> y la mostración, se levantan tajantes diferencias</w:t>
      </w:r>
      <w:r w:rsidRPr="008B40A0">
        <w:rPr>
          <w:rFonts w:ascii="Arial" w:eastAsiaTheme="minorHAnsi" w:hAnsi="Arial" w:cs="Arial"/>
        </w:rPr>
        <w:t xml:space="preserve"> […]”</w:t>
      </w:r>
    </w:p>
    <w:p w:rsidR="00E41AF2" w:rsidRPr="008B40A0" w:rsidRDefault="00E41AF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Resalta que la clasificación de los medios que se haga depende por entero de la división que se </w:t>
      </w:r>
      <w:r w:rsidR="00B93D5F" w:rsidRPr="008B40A0">
        <w:rPr>
          <w:rFonts w:ascii="Arial" w:eastAsiaTheme="minorHAnsi" w:hAnsi="Arial" w:cs="Arial"/>
        </w:rPr>
        <w:t>efectué</w:t>
      </w:r>
      <w:r w:rsidRPr="008B40A0">
        <w:rPr>
          <w:rFonts w:ascii="Arial" w:eastAsiaTheme="minorHAnsi" w:hAnsi="Arial" w:cs="Arial"/>
        </w:rPr>
        <w:t xml:space="preserve"> dentro de la confirmación procesal, entonces comprende la prueba, la convicción, el </w:t>
      </w:r>
      <w:proofErr w:type="spellStart"/>
      <w:r w:rsidRPr="008B40A0">
        <w:rPr>
          <w:rFonts w:ascii="Arial" w:eastAsiaTheme="minorHAnsi" w:hAnsi="Arial" w:cs="Arial"/>
        </w:rPr>
        <w:t>acreditamento</w:t>
      </w:r>
      <w:proofErr w:type="spellEnd"/>
      <w:r w:rsidRPr="008B40A0">
        <w:rPr>
          <w:rFonts w:ascii="Arial" w:eastAsiaTheme="minorHAnsi" w:hAnsi="Arial" w:cs="Arial"/>
        </w:rPr>
        <w:t xml:space="preserve"> y la mostración.</w:t>
      </w:r>
    </w:p>
    <w:p w:rsidR="00E41AF2" w:rsidRPr="008B40A0" w:rsidRDefault="00E41AF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Entonces mirando exclusivamente  la consistencia de </w:t>
      </w:r>
      <w:proofErr w:type="gramStart"/>
      <w:r w:rsidRPr="008B40A0">
        <w:rPr>
          <w:rFonts w:ascii="Arial" w:eastAsiaTheme="minorHAnsi" w:hAnsi="Arial" w:cs="Arial"/>
        </w:rPr>
        <w:t>los medios habla</w:t>
      </w:r>
      <w:proofErr w:type="gramEnd"/>
      <w:r w:rsidRPr="008B40A0">
        <w:rPr>
          <w:rFonts w:ascii="Arial" w:eastAsiaTheme="minorHAnsi" w:hAnsi="Arial" w:cs="Arial"/>
        </w:rPr>
        <w:t xml:space="preserve"> de:</w:t>
      </w:r>
    </w:p>
    <w:p w:rsidR="00E41AF2" w:rsidRPr="008B40A0" w:rsidRDefault="00E41AF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a) verificaciones, las que pueden ofrecerse en resultados (cuando la pericia llega a un producto que científica o técnicamente prueba una hipótesis) o explicaciones (cuando la confrontación de dos objetos permite la inferencia lógica adecuada a la técnica o ciencia);</w:t>
      </w:r>
    </w:p>
    <w:p w:rsidR="00E41AF2" w:rsidRPr="008B40A0" w:rsidRDefault="00E41AF2"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b) medios de convicción externos o internos. Si son llevados al juzgador como las declaraciones de las partes o testigos, o </w:t>
      </w:r>
      <w:r w:rsidR="00FA51CC" w:rsidRPr="008B40A0">
        <w:rPr>
          <w:rFonts w:ascii="Arial" w:eastAsiaTheme="minorHAnsi" w:hAnsi="Arial" w:cs="Arial"/>
        </w:rPr>
        <w:t>internamente por las máximas de la experiencia;</w:t>
      </w:r>
    </w:p>
    <w:p w:rsidR="00FA51CC" w:rsidRPr="008B40A0" w:rsidRDefault="00FA51C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 xml:space="preserve">c) el </w:t>
      </w:r>
      <w:proofErr w:type="spellStart"/>
      <w:r w:rsidRPr="008B40A0">
        <w:rPr>
          <w:rFonts w:ascii="Arial" w:eastAsiaTheme="minorHAnsi" w:hAnsi="Arial" w:cs="Arial"/>
        </w:rPr>
        <w:t>acreditamiento</w:t>
      </w:r>
      <w:proofErr w:type="spellEnd"/>
      <w:r w:rsidRPr="008B40A0">
        <w:rPr>
          <w:rFonts w:ascii="Arial" w:eastAsiaTheme="minorHAnsi" w:hAnsi="Arial" w:cs="Arial"/>
        </w:rPr>
        <w:t xml:space="preserve"> considerando los documentos que se incorporan al proceso o los que se producen en el mismo.</w:t>
      </w:r>
    </w:p>
    <w:p w:rsidR="00B93D5F" w:rsidRPr="008B40A0" w:rsidRDefault="00FA51CC" w:rsidP="008B40A0">
      <w:pPr>
        <w:autoSpaceDE w:val="0"/>
        <w:autoSpaceDN w:val="0"/>
        <w:adjustRightInd w:val="0"/>
        <w:spacing w:after="120" w:line="240" w:lineRule="auto"/>
        <w:jc w:val="both"/>
        <w:rPr>
          <w:rFonts w:ascii="Arial" w:eastAsiaTheme="minorHAnsi" w:hAnsi="Arial" w:cs="Arial"/>
        </w:rPr>
      </w:pPr>
      <w:r w:rsidRPr="008B40A0">
        <w:rPr>
          <w:rFonts w:ascii="Arial" w:eastAsiaTheme="minorHAnsi" w:hAnsi="Arial" w:cs="Arial"/>
        </w:rPr>
        <w:t>d) los reconocimientos.</w:t>
      </w:r>
    </w:p>
    <w:p w:rsidR="002E1D99" w:rsidRPr="008B40A0" w:rsidRDefault="002E1D99" w:rsidP="008B40A0">
      <w:pPr>
        <w:autoSpaceDE w:val="0"/>
        <w:autoSpaceDN w:val="0"/>
        <w:adjustRightInd w:val="0"/>
        <w:spacing w:after="120" w:line="240" w:lineRule="auto"/>
        <w:jc w:val="both"/>
        <w:rPr>
          <w:rFonts w:ascii="Arial" w:eastAsiaTheme="minorHAnsi" w:hAnsi="Arial" w:cs="Arial"/>
          <w:b/>
          <w:smallCaps/>
        </w:rPr>
      </w:pPr>
    </w:p>
    <w:p w:rsidR="00B93D5F" w:rsidRPr="008B40A0" w:rsidRDefault="00B93D5F" w:rsidP="008B40A0">
      <w:pPr>
        <w:autoSpaceDE w:val="0"/>
        <w:autoSpaceDN w:val="0"/>
        <w:adjustRightInd w:val="0"/>
        <w:spacing w:after="120" w:line="240" w:lineRule="auto"/>
        <w:jc w:val="both"/>
        <w:rPr>
          <w:rFonts w:ascii="Arial" w:eastAsiaTheme="minorHAnsi" w:hAnsi="Arial" w:cs="Arial"/>
          <w:smallCaps/>
        </w:rPr>
      </w:pPr>
      <w:r w:rsidRPr="008B40A0">
        <w:rPr>
          <w:rFonts w:ascii="Arial" w:eastAsiaTheme="minorHAnsi" w:hAnsi="Arial" w:cs="Arial"/>
          <w:b/>
          <w:smallCaps/>
        </w:rPr>
        <w:t>8. La importancia de la clasificación y su recepción en el Código Procesal Modelo del IPDP</w:t>
      </w:r>
      <w:r w:rsidR="003F55E3" w:rsidRPr="008B40A0">
        <w:rPr>
          <w:rFonts w:ascii="Arial" w:hAnsi="Arial" w:cs="Arial"/>
          <w:b/>
          <w:i/>
          <w:iCs/>
          <w:smallCaps/>
        </w:rPr>
        <w:t xml:space="preserve">. </w:t>
      </w:r>
    </w:p>
    <w:p w:rsidR="00B93D5F" w:rsidRPr="008B40A0" w:rsidRDefault="00B93D5F" w:rsidP="008B40A0">
      <w:pPr>
        <w:autoSpaceDE w:val="0"/>
        <w:autoSpaceDN w:val="0"/>
        <w:adjustRightInd w:val="0"/>
        <w:spacing w:after="120" w:line="240" w:lineRule="auto"/>
        <w:jc w:val="both"/>
        <w:rPr>
          <w:rFonts w:ascii="Arial" w:hAnsi="Arial" w:cs="Arial"/>
          <w:iCs/>
        </w:rPr>
      </w:pPr>
      <w:r w:rsidRPr="008B40A0">
        <w:rPr>
          <w:rFonts w:ascii="Arial" w:hAnsi="Arial" w:cs="Arial"/>
          <w:iCs/>
        </w:rPr>
        <w:t>Adolfo Alvarado Velloso</w:t>
      </w:r>
      <w:r w:rsidR="003F55E3" w:rsidRPr="008B40A0">
        <w:rPr>
          <w:rFonts w:ascii="Arial" w:hAnsi="Arial" w:cs="Arial"/>
          <w:iCs/>
        </w:rPr>
        <w:t xml:space="preserve"> parte de señalar que </w:t>
      </w:r>
      <w:r w:rsidR="003F55E3" w:rsidRPr="008B40A0">
        <w:rPr>
          <w:rFonts w:ascii="Arial" w:hAnsi="Arial" w:cs="Arial"/>
        </w:rPr>
        <w:t xml:space="preserve">el vocablo </w:t>
      </w:r>
      <w:r w:rsidR="003F55E3" w:rsidRPr="008B40A0">
        <w:rPr>
          <w:rFonts w:ascii="Arial" w:hAnsi="Arial" w:cs="Arial"/>
          <w:iCs/>
        </w:rPr>
        <w:t xml:space="preserve">prueba </w:t>
      </w:r>
      <w:r w:rsidR="003F55E3" w:rsidRPr="008B40A0">
        <w:rPr>
          <w:rFonts w:ascii="Arial" w:hAnsi="Arial" w:cs="Arial"/>
        </w:rPr>
        <w:t xml:space="preserve">también ostenta carácter </w:t>
      </w:r>
      <w:proofErr w:type="spellStart"/>
      <w:r w:rsidR="003F55E3" w:rsidRPr="008B40A0">
        <w:rPr>
          <w:rFonts w:ascii="Arial" w:hAnsi="Arial" w:cs="Arial"/>
        </w:rPr>
        <w:t>multívoco</w:t>
      </w:r>
      <w:proofErr w:type="spellEnd"/>
      <w:r w:rsidR="003F55E3" w:rsidRPr="008B40A0">
        <w:rPr>
          <w:rFonts w:ascii="Arial" w:hAnsi="Arial" w:cs="Arial"/>
        </w:rPr>
        <w:t xml:space="preserve"> y en señala que hay quienes le asignan a la palabra </w:t>
      </w:r>
      <w:r w:rsidR="003F55E3" w:rsidRPr="008B40A0">
        <w:rPr>
          <w:rFonts w:ascii="Arial" w:hAnsi="Arial" w:cs="Arial"/>
          <w:iCs/>
        </w:rPr>
        <w:t xml:space="preserve">prueba </w:t>
      </w:r>
      <w:r w:rsidR="003F55E3" w:rsidRPr="008B40A0">
        <w:rPr>
          <w:rFonts w:ascii="Arial" w:hAnsi="Arial" w:cs="Arial"/>
        </w:rPr>
        <w:t>un exacto significado científico (</w:t>
      </w:r>
      <w:r w:rsidR="003F55E3" w:rsidRPr="008B40A0">
        <w:rPr>
          <w:rFonts w:ascii="Arial" w:hAnsi="Arial" w:cs="Arial"/>
          <w:iCs/>
        </w:rPr>
        <w:t xml:space="preserve">aseveración incontestable </w:t>
      </w:r>
      <w:r w:rsidR="003F55E3" w:rsidRPr="008B40A0">
        <w:rPr>
          <w:rFonts w:ascii="Arial" w:hAnsi="Arial" w:cs="Arial"/>
        </w:rPr>
        <w:t xml:space="preserve">y, como tal, </w:t>
      </w:r>
      <w:r w:rsidR="003F55E3" w:rsidRPr="008B40A0">
        <w:rPr>
          <w:rFonts w:ascii="Arial" w:hAnsi="Arial" w:cs="Arial"/>
          <w:iCs/>
        </w:rPr>
        <w:t>no opinable</w:t>
      </w:r>
      <w:r w:rsidR="003F55E3" w:rsidRPr="008B40A0">
        <w:rPr>
          <w:rFonts w:ascii="Arial" w:hAnsi="Arial" w:cs="Arial"/>
        </w:rPr>
        <w:t xml:space="preserve">), muchos otros —ingresando ya en el campo del puro subjetivismo y, por ende, de la </w:t>
      </w:r>
      <w:proofErr w:type="spellStart"/>
      <w:r w:rsidR="003F55E3" w:rsidRPr="008B40A0">
        <w:rPr>
          <w:rFonts w:ascii="Arial" w:hAnsi="Arial" w:cs="Arial"/>
        </w:rPr>
        <w:t>opinabilidad</w:t>
      </w:r>
      <w:proofErr w:type="spellEnd"/>
      <w:r w:rsidR="003F55E3" w:rsidRPr="008B40A0">
        <w:rPr>
          <w:rFonts w:ascii="Arial" w:hAnsi="Arial" w:cs="Arial"/>
        </w:rPr>
        <w:t xml:space="preserve">— hablan de: </w:t>
      </w:r>
      <w:r w:rsidR="003F55E3" w:rsidRPr="008B40A0">
        <w:rPr>
          <w:rFonts w:ascii="Arial" w:hAnsi="Arial" w:cs="Arial"/>
          <w:iCs/>
        </w:rPr>
        <w:t xml:space="preserve">acreditación </w:t>
      </w:r>
      <w:r w:rsidR="003F55E3" w:rsidRPr="008B40A0">
        <w:rPr>
          <w:rFonts w:ascii="Arial" w:hAnsi="Arial" w:cs="Arial"/>
        </w:rPr>
        <w:t xml:space="preserve">(hacer digna de crédito alguna cosa), y de </w:t>
      </w:r>
      <w:r w:rsidR="003F55E3" w:rsidRPr="008B40A0">
        <w:rPr>
          <w:rFonts w:ascii="Arial" w:hAnsi="Arial" w:cs="Arial"/>
          <w:iCs/>
        </w:rPr>
        <w:t xml:space="preserve">verificación </w:t>
      </w:r>
      <w:r w:rsidR="003F55E3" w:rsidRPr="008B40A0">
        <w:rPr>
          <w:rFonts w:ascii="Arial" w:hAnsi="Arial" w:cs="Arial"/>
        </w:rPr>
        <w:t xml:space="preserve">(es comprobar la verdad de algo), y de </w:t>
      </w:r>
      <w:r w:rsidR="003F55E3" w:rsidRPr="008B40A0">
        <w:rPr>
          <w:rFonts w:ascii="Arial" w:hAnsi="Arial" w:cs="Arial"/>
          <w:iCs/>
        </w:rPr>
        <w:t xml:space="preserve">comprobación </w:t>
      </w:r>
      <w:r w:rsidR="003F55E3" w:rsidRPr="008B40A0">
        <w:rPr>
          <w:rFonts w:ascii="Arial" w:hAnsi="Arial" w:cs="Arial"/>
        </w:rPr>
        <w:t xml:space="preserve">(es revisar la verdad o exactitud de un hecho), y de </w:t>
      </w:r>
      <w:r w:rsidR="003F55E3" w:rsidRPr="008B40A0">
        <w:rPr>
          <w:rFonts w:ascii="Arial" w:hAnsi="Arial" w:cs="Arial"/>
          <w:iCs/>
        </w:rPr>
        <w:t>búsqueda de la verdad real</w:t>
      </w:r>
      <w:r w:rsidR="003F55E3" w:rsidRPr="008B40A0">
        <w:rPr>
          <w:rFonts w:ascii="Arial" w:hAnsi="Arial" w:cs="Arial"/>
        </w:rPr>
        <w:t xml:space="preserve">, de </w:t>
      </w:r>
      <w:r w:rsidR="003F55E3" w:rsidRPr="008B40A0">
        <w:rPr>
          <w:rFonts w:ascii="Arial" w:hAnsi="Arial" w:cs="Arial"/>
          <w:iCs/>
        </w:rPr>
        <w:t xml:space="preserve">certeza </w:t>
      </w:r>
      <w:r w:rsidR="003F55E3" w:rsidRPr="008B40A0">
        <w:rPr>
          <w:rFonts w:ascii="Arial" w:hAnsi="Arial" w:cs="Arial"/>
        </w:rPr>
        <w:t xml:space="preserve">(conocimiento </w:t>
      </w:r>
      <w:r w:rsidR="003F55E3" w:rsidRPr="008B40A0">
        <w:rPr>
          <w:rFonts w:ascii="Arial" w:hAnsi="Arial" w:cs="Arial"/>
        </w:rPr>
        <w:lastRenderedPageBreak/>
        <w:t xml:space="preserve">seguro y claro de alguna cosa), y de </w:t>
      </w:r>
      <w:r w:rsidR="003F55E3" w:rsidRPr="008B40A0">
        <w:rPr>
          <w:rFonts w:ascii="Arial" w:hAnsi="Arial" w:cs="Arial"/>
          <w:iCs/>
        </w:rPr>
        <w:t xml:space="preserve">convicción </w:t>
      </w:r>
      <w:r w:rsidR="003F55E3" w:rsidRPr="008B40A0">
        <w:rPr>
          <w:rFonts w:ascii="Arial" w:hAnsi="Arial" w:cs="Arial"/>
        </w:rPr>
        <w:t xml:space="preserve">(resultado de precisar a uno, con razones eficaces, a que mude de dictamen o abandone el que sostenía por convencimiento logrado a base de tales razones; en otras palabras, aceptar una cosa de manera tal que, racionalmente, no pueda ser negada), etcétera. </w:t>
      </w:r>
    </w:p>
    <w:p w:rsidR="00B93D5F" w:rsidRPr="008B40A0" w:rsidRDefault="003F55E3" w:rsidP="008B40A0">
      <w:pPr>
        <w:autoSpaceDE w:val="0"/>
        <w:autoSpaceDN w:val="0"/>
        <w:adjustRightInd w:val="0"/>
        <w:spacing w:after="120" w:line="240" w:lineRule="auto"/>
        <w:jc w:val="both"/>
        <w:rPr>
          <w:rFonts w:ascii="Arial" w:hAnsi="Arial" w:cs="Arial"/>
          <w:iCs/>
        </w:rPr>
      </w:pPr>
      <w:r w:rsidRPr="008B40A0">
        <w:rPr>
          <w:rFonts w:ascii="Arial" w:hAnsi="Arial" w:cs="Arial"/>
        </w:rPr>
        <w:t xml:space="preserve">En el plano de la pura lógica, cuando una </w:t>
      </w:r>
      <w:r w:rsidRPr="008B40A0">
        <w:rPr>
          <w:rFonts w:ascii="Arial" w:hAnsi="Arial" w:cs="Arial"/>
          <w:iCs/>
        </w:rPr>
        <w:t>afirmación</w:t>
      </w:r>
      <w:r w:rsidRPr="008B40A0">
        <w:rPr>
          <w:rFonts w:ascii="Arial" w:hAnsi="Arial" w:cs="Arial"/>
        </w:rPr>
        <w:t xml:space="preserve"> es </w:t>
      </w:r>
      <w:r w:rsidRPr="008B40A0">
        <w:rPr>
          <w:rFonts w:ascii="Arial" w:hAnsi="Arial" w:cs="Arial"/>
          <w:iCs/>
        </w:rPr>
        <w:t xml:space="preserve">contestada </w:t>
      </w:r>
      <w:r w:rsidRPr="008B40A0">
        <w:rPr>
          <w:rFonts w:ascii="Arial" w:hAnsi="Arial" w:cs="Arial"/>
        </w:rPr>
        <w:t xml:space="preserve">pierde de inmediato la calidad de </w:t>
      </w:r>
      <w:r w:rsidRPr="008B40A0">
        <w:rPr>
          <w:rFonts w:ascii="Arial" w:hAnsi="Arial" w:cs="Arial"/>
          <w:iCs/>
        </w:rPr>
        <w:t xml:space="preserve">verdad definitiva </w:t>
      </w:r>
      <w:r w:rsidRPr="008B40A0">
        <w:rPr>
          <w:rFonts w:ascii="Arial" w:hAnsi="Arial" w:cs="Arial"/>
        </w:rPr>
        <w:t xml:space="preserve">se convierte, automáticamente, en una </w:t>
      </w:r>
      <w:r w:rsidRPr="008B40A0">
        <w:rPr>
          <w:rFonts w:ascii="Arial" w:hAnsi="Arial" w:cs="Arial"/>
          <w:iCs/>
        </w:rPr>
        <w:t xml:space="preserve">simple proposición </w:t>
      </w:r>
      <w:r w:rsidRPr="008B40A0">
        <w:rPr>
          <w:rFonts w:ascii="Arial" w:hAnsi="Arial" w:cs="Arial"/>
        </w:rPr>
        <w:t xml:space="preserve">que requiere ser </w:t>
      </w:r>
      <w:r w:rsidRPr="008B40A0">
        <w:rPr>
          <w:rFonts w:ascii="Arial" w:hAnsi="Arial" w:cs="Arial"/>
          <w:iCs/>
        </w:rPr>
        <w:t xml:space="preserve">demostrada </w:t>
      </w:r>
      <w:r w:rsidRPr="008B40A0">
        <w:rPr>
          <w:rFonts w:ascii="Arial" w:hAnsi="Arial" w:cs="Arial"/>
        </w:rPr>
        <w:t xml:space="preserve">por quien desea sostenerla. </w:t>
      </w:r>
    </w:p>
    <w:p w:rsidR="00B93D5F" w:rsidRPr="008B40A0" w:rsidRDefault="003F55E3" w:rsidP="008B40A0">
      <w:pPr>
        <w:autoSpaceDE w:val="0"/>
        <w:autoSpaceDN w:val="0"/>
        <w:adjustRightInd w:val="0"/>
        <w:spacing w:after="120" w:line="240" w:lineRule="auto"/>
        <w:jc w:val="both"/>
        <w:rPr>
          <w:rFonts w:ascii="Arial" w:hAnsi="Arial" w:cs="Arial"/>
          <w:iCs/>
        </w:rPr>
      </w:pPr>
      <w:r w:rsidRPr="008B40A0">
        <w:rPr>
          <w:rFonts w:ascii="Arial" w:hAnsi="Arial" w:cs="Arial"/>
        </w:rPr>
        <w:t xml:space="preserve">Por otra parte, </w:t>
      </w:r>
      <w:r w:rsidRPr="008B40A0">
        <w:rPr>
          <w:rFonts w:ascii="Arial" w:hAnsi="Arial" w:cs="Arial"/>
          <w:iCs/>
        </w:rPr>
        <w:t>existen afirmaciones científicas definitivamente incontestables</w:t>
      </w:r>
      <w:r w:rsidRPr="008B40A0">
        <w:rPr>
          <w:rFonts w:ascii="Arial" w:hAnsi="Arial" w:cs="Arial"/>
        </w:rPr>
        <w:t xml:space="preserve">, hay una </w:t>
      </w:r>
      <w:r w:rsidRPr="008B40A0">
        <w:rPr>
          <w:rFonts w:ascii="Arial" w:hAnsi="Arial" w:cs="Arial"/>
          <w:iCs/>
        </w:rPr>
        <w:t xml:space="preserve">prueba científica </w:t>
      </w:r>
      <w:r w:rsidRPr="008B40A0">
        <w:rPr>
          <w:rFonts w:ascii="Arial" w:hAnsi="Arial" w:cs="Arial"/>
        </w:rPr>
        <w:t xml:space="preserve">acerca de la proposición. </w:t>
      </w:r>
    </w:p>
    <w:p w:rsidR="00B93D5F" w:rsidRPr="008B40A0" w:rsidRDefault="003F55E3" w:rsidP="008B40A0">
      <w:pPr>
        <w:autoSpaceDE w:val="0"/>
        <w:autoSpaceDN w:val="0"/>
        <w:adjustRightInd w:val="0"/>
        <w:spacing w:after="120" w:line="240" w:lineRule="auto"/>
        <w:jc w:val="both"/>
        <w:rPr>
          <w:rFonts w:ascii="Arial" w:hAnsi="Arial" w:cs="Arial"/>
          <w:iCs/>
        </w:rPr>
      </w:pPr>
      <w:r w:rsidRPr="008B40A0">
        <w:rPr>
          <w:rFonts w:ascii="Arial" w:hAnsi="Arial" w:cs="Arial"/>
        </w:rPr>
        <w:t xml:space="preserve">Esta enorme diferencia conceptual existente entre los diversos </w:t>
      </w:r>
      <w:r w:rsidRPr="008B40A0">
        <w:rPr>
          <w:rFonts w:ascii="Arial" w:hAnsi="Arial" w:cs="Arial"/>
          <w:i/>
          <w:iCs/>
        </w:rPr>
        <w:t xml:space="preserve">medios de prueba </w:t>
      </w:r>
      <w:r w:rsidRPr="008B40A0">
        <w:rPr>
          <w:rFonts w:ascii="Arial" w:hAnsi="Arial" w:cs="Arial"/>
        </w:rPr>
        <w:t xml:space="preserve">hace que la más moderna doctrina ponga énfasis en que, en esencia, nada prueba sino que tan solo permite llegar a un solo resultado: el convencimiento del juzgador. </w:t>
      </w:r>
      <w:r w:rsidR="00B702E6" w:rsidRPr="008B40A0">
        <w:rPr>
          <w:rFonts w:ascii="Arial" w:hAnsi="Arial" w:cs="Arial"/>
        </w:rPr>
        <w:t>A esto es</w:t>
      </w:r>
      <w:r w:rsidRPr="008B40A0">
        <w:rPr>
          <w:rFonts w:ascii="Arial" w:hAnsi="Arial" w:cs="Arial"/>
        </w:rPr>
        <w:t xml:space="preserve"> lo que el código llama </w:t>
      </w:r>
      <w:r w:rsidRPr="008B40A0">
        <w:rPr>
          <w:rFonts w:ascii="Arial" w:hAnsi="Arial" w:cs="Arial"/>
          <w:i/>
          <w:iCs/>
        </w:rPr>
        <w:t>medios de convicción</w:t>
      </w:r>
      <w:r w:rsidRPr="008B40A0">
        <w:rPr>
          <w:rFonts w:ascii="Arial" w:hAnsi="Arial" w:cs="Arial"/>
        </w:rPr>
        <w:t>.</w:t>
      </w:r>
    </w:p>
    <w:p w:rsidR="00B93D5F" w:rsidRPr="008B40A0" w:rsidRDefault="003F55E3" w:rsidP="008B40A0">
      <w:pPr>
        <w:autoSpaceDE w:val="0"/>
        <w:autoSpaceDN w:val="0"/>
        <w:adjustRightInd w:val="0"/>
        <w:spacing w:after="120" w:line="240" w:lineRule="auto"/>
        <w:jc w:val="both"/>
        <w:rPr>
          <w:rFonts w:ascii="Arial" w:hAnsi="Arial" w:cs="Arial"/>
        </w:rPr>
      </w:pPr>
      <w:r w:rsidRPr="008B40A0">
        <w:rPr>
          <w:rFonts w:ascii="Arial" w:hAnsi="Arial" w:cs="Arial"/>
        </w:rPr>
        <w:t>Por ello el CPC Modelo del IPDP establece que:</w:t>
      </w:r>
      <w:r w:rsidR="00B93D5F" w:rsidRPr="008B40A0">
        <w:rPr>
          <w:rFonts w:ascii="Arial" w:hAnsi="Arial" w:cs="Arial"/>
        </w:rPr>
        <w:t xml:space="preserve"> </w:t>
      </w:r>
    </w:p>
    <w:p w:rsidR="003F55E3" w:rsidRPr="008B40A0" w:rsidRDefault="00B93D5F" w:rsidP="008B40A0">
      <w:pPr>
        <w:autoSpaceDE w:val="0"/>
        <w:autoSpaceDN w:val="0"/>
        <w:adjustRightInd w:val="0"/>
        <w:spacing w:after="120" w:line="240" w:lineRule="auto"/>
        <w:jc w:val="both"/>
        <w:rPr>
          <w:rFonts w:ascii="Arial" w:hAnsi="Arial" w:cs="Arial"/>
          <w:iCs/>
        </w:rPr>
      </w:pPr>
      <w:r w:rsidRPr="008B40A0">
        <w:rPr>
          <w:rFonts w:ascii="Arial" w:hAnsi="Arial" w:cs="Arial"/>
        </w:rPr>
        <w:t>Artículo 394 Concepto de Prueba</w:t>
      </w:r>
    </w:p>
    <w:p w:rsidR="003F55E3" w:rsidRPr="008B40A0" w:rsidRDefault="00B93D5F" w:rsidP="003538F5">
      <w:pPr>
        <w:autoSpaceDE w:val="0"/>
        <w:autoSpaceDN w:val="0"/>
        <w:adjustRightInd w:val="0"/>
        <w:spacing w:after="120" w:line="240" w:lineRule="auto"/>
        <w:ind w:left="567"/>
        <w:jc w:val="both"/>
        <w:rPr>
          <w:rFonts w:ascii="Arial" w:hAnsi="Arial" w:cs="Arial"/>
        </w:rPr>
      </w:pPr>
      <w:r w:rsidRPr="008B40A0">
        <w:rPr>
          <w:rFonts w:ascii="Arial" w:hAnsi="Arial" w:cs="Arial"/>
        </w:rPr>
        <w:t>“</w:t>
      </w:r>
      <w:r w:rsidR="003F55E3" w:rsidRPr="008B40A0">
        <w:rPr>
          <w:rFonts w:ascii="Arial" w:hAnsi="Arial" w:cs="Arial"/>
          <w:i/>
        </w:rPr>
        <w:t>Se denomina prueba tanto a la tarea de probar como al resultado de ella: el hecho probado. Consiste en la actividad que debe cumplir la parte interesada en ello y dentro del estadio oportuno para lograr formar convicción en el juez a</w:t>
      </w:r>
      <w:r w:rsidRPr="008B40A0">
        <w:rPr>
          <w:rFonts w:ascii="Arial" w:hAnsi="Arial" w:cs="Arial"/>
          <w:i/>
        </w:rPr>
        <w:t>cerca de la razón que la asiste</w:t>
      </w:r>
      <w:r w:rsidRPr="008B40A0">
        <w:rPr>
          <w:rFonts w:ascii="Arial" w:hAnsi="Arial" w:cs="Arial"/>
        </w:rPr>
        <w:t>”.</w:t>
      </w:r>
    </w:p>
    <w:p w:rsidR="003F55E3" w:rsidRPr="008B40A0" w:rsidRDefault="00B93D5F" w:rsidP="003538F5">
      <w:pPr>
        <w:autoSpaceDE w:val="0"/>
        <w:autoSpaceDN w:val="0"/>
        <w:adjustRightInd w:val="0"/>
        <w:spacing w:after="120" w:line="240" w:lineRule="auto"/>
        <w:ind w:left="567"/>
        <w:jc w:val="both"/>
        <w:rPr>
          <w:rFonts w:ascii="Arial" w:hAnsi="Arial" w:cs="Arial"/>
        </w:rPr>
      </w:pPr>
      <w:r w:rsidRPr="008B40A0">
        <w:rPr>
          <w:rFonts w:ascii="Arial" w:hAnsi="Arial" w:cs="Arial"/>
        </w:rPr>
        <w:t>Se destaca que es</w:t>
      </w:r>
      <w:r w:rsidR="003F55E3" w:rsidRPr="008B40A0">
        <w:rPr>
          <w:rFonts w:ascii="Arial" w:hAnsi="Arial" w:cs="Arial"/>
        </w:rPr>
        <w:t xml:space="preserve"> “</w:t>
      </w:r>
      <w:r w:rsidR="003F55E3" w:rsidRPr="008B40A0">
        <w:rPr>
          <w:rFonts w:ascii="Arial" w:hAnsi="Arial" w:cs="Arial"/>
          <w:i/>
        </w:rPr>
        <w:t>tarea de la parte interesada</w:t>
      </w:r>
      <w:r w:rsidR="003F55E3" w:rsidRPr="008B40A0">
        <w:rPr>
          <w:rFonts w:ascii="Arial" w:hAnsi="Arial" w:cs="Arial"/>
        </w:rPr>
        <w:t>” y para “</w:t>
      </w:r>
      <w:r w:rsidR="003F55E3" w:rsidRPr="008B40A0">
        <w:rPr>
          <w:rFonts w:ascii="Arial" w:hAnsi="Arial" w:cs="Arial"/>
          <w:i/>
        </w:rPr>
        <w:t>lograr convicción del juez</w:t>
      </w:r>
      <w:r w:rsidR="003F55E3" w:rsidRPr="008B40A0">
        <w:rPr>
          <w:rFonts w:ascii="Arial" w:hAnsi="Arial" w:cs="Arial"/>
        </w:rPr>
        <w:t>”</w:t>
      </w:r>
      <w:r w:rsidRPr="008B40A0">
        <w:rPr>
          <w:rFonts w:ascii="Arial" w:hAnsi="Arial" w:cs="Arial"/>
        </w:rPr>
        <w:t>.</w:t>
      </w:r>
    </w:p>
    <w:p w:rsidR="003F55E3" w:rsidRPr="008B40A0" w:rsidRDefault="00B93D5F" w:rsidP="003538F5">
      <w:pPr>
        <w:autoSpaceDE w:val="0"/>
        <w:autoSpaceDN w:val="0"/>
        <w:adjustRightInd w:val="0"/>
        <w:spacing w:after="120" w:line="240" w:lineRule="auto"/>
        <w:jc w:val="both"/>
        <w:rPr>
          <w:rFonts w:ascii="Arial" w:hAnsi="Arial" w:cs="Arial"/>
        </w:rPr>
      </w:pPr>
      <w:r w:rsidRPr="008B40A0">
        <w:rPr>
          <w:rFonts w:ascii="Arial" w:hAnsi="Arial" w:cs="Arial"/>
        </w:rPr>
        <w:t>Luego el Artículo 397 Fuentes de Prueba</w:t>
      </w:r>
    </w:p>
    <w:p w:rsidR="003F55E3" w:rsidRPr="008B40A0" w:rsidRDefault="00B702E6" w:rsidP="003538F5">
      <w:pPr>
        <w:autoSpaceDE w:val="0"/>
        <w:autoSpaceDN w:val="0"/>
        <w:adjustRightInd w:val="0"/>
        <w:spacing w:after="120" w:line="240" w:lineRule="auto"/>
        <w:ind w:left="567"/>
        <w:jc w:val="both"/>
        <w:rPr>
          <w:rFonts w:ascii="Arial" w:hAnsi="Arial" w:cs="Arial"/>
          <w:i/>
        </w:rPr>
      </w:pPr>
      <w:r w:rsidRPr="008B40A0">
        <w:rPr>
          <w:rFonts w:ascii="Arial" w:hAnsi="Arial" w:cs="Arial"/>
        </w:rPr>
        <w:t>“</w:t>
      </w:r>
      <w:r w:rsidR="003F55E3" w:rsidRPr="008B40A0">
        <w:rPr>
          <w:rFonts w:ascii="Arial" w:hAnsi="Arial" w:cs="Arial"/>
          <w:i/>
        </w:rPr>
        <w:t>Las fuentes de la prueba son:</w:t>
      </w:r>
    </w:p>
    <w:p w:rsidR="003F55E3" w:rsidRPr="008B40A0" w:rsidRDefault="003F55E3" w:rsidP="003538F5">
      <w:pPr>
        <w:autoSpaceDE w:val="0"/>
        <w:autoSpaceDN w:val="0"/>
        <w:adjustRightInd w:val="0"/>
        <w:spacing w:after="120" w:line="240" w:lineRule="auto"/>
        <w:ind w:left="567"/>
        <w:jc w:val="both"/>
        <w:rPr>
          <w:rFonts w:ascii="Arial" w:hAnsi="Arial" w:cs="Arial"/>
          <w:i/>
        </w:rPr>
      </w:pPr>
      <w:r w:rsidRPr="008B40A0">
        <w:rPr>
          <w:rFonts w:ascii="Arial" w:hAnsi="Arial" w:cs="Arial"/>
          <w:i/>
        </w:rPr>
        <w:t>1) las personas físicas que conocen los hechos y pueden declarar acerca de su existencia y modalidades: las propias partes litigantes y los terceros no interesados en el resultado final del litigio;</w:t>
      </w:r>
    </w:p>
    <w:p w:rsidR="003F55E3" w:rsidRPr="008B40A0" w:rsidRDefault="003F55E3" w:rsidP="003538F5">
      <w:pPr>
        <w:autoSpaceDE w:val="0"/>
        <w:autoSpaceDN w:val="0"/>
        <w:adjustRightInd w:val="0"/>
        <w:spacing w:after="120" w:line="240" w:lineRule="auto"/>
        <w:ind w:left="567"/>
        <w:jc w:val="both"/>
        <w:rPr>
          <w:rFonts w:ascii="Arial" w:hAnsi="Arial" w:cs="Arial"/>
          <w:i/>
        </w:rPr>
      </w:pPr>
      <w:r w:rsidRPr="008B40A0">
        <w:rPr>
          <w:rFonts w:ascii="Arial" w:hAnsi="Arial" w:cs="Arial"/>
          <w:i/>
        </w:rPr>
        <w:t>2) las personas jurídicas681, respecto de constancias registradas en los libros que la ley les ordena llevar en debidas condiciones;</w:t>
      </w:r>
    </w:p>
    <w:p w:rsidR="003F55E3" w:rsidRPr="008B40A0" w:rsidRDefault="003F55E3" w:rsidP="003538F5">
      <w:pPr>
        <w:autoSpaceDE w:val="0"/>
        <w:autoSpaceDN w:val="0"/>
        <w:adjustRightInd w:val="0"/>
        <w:spacing w:after="120" w:line="240" w:lineRule="auto"/>
        <w:ind w:left="567"/>
        <w:jc w:val="both"/>
        <w:rPr>
          <w:rFonts w:ascii="Arial" w:hAnsi="Arial" w:cs="Arial"/>
          <w:i/>
        </w:rPr>
      </w:pPr>
      <w:r w:rsidRPr="008B40A0">
        <w:rPr>
          <w:rFonts w:ascii="Arial" w:hAnsi="Arial" w:cs="Arial"/>
          <w:i/>
        </w:rPr>
        <w:t>3) los documentos;</w:t>
      </w:r>
    </w:p>
    <w:p w:rsidR="003F55E3" w:rsidRPr="008B40A0" w:rsidRDefault="003F55E3" w:rsidP="003538F5">
      <w:pPr>
        <w:autoSpaceDE w:val="0"/>
        <w:autoSpaceDN w:val="0"/>
        <w:adjustRightInd w:val="0"/>
        <w:spacing w:after="120" w:line="240" w:lineRule="auto"/>
        <w:ind w:left="567"/>
        <w:jc w:val="both"/>
        <w:rPr>
          <w:rFonts w:ascii="Arial" w:hAnsi="Arial" w:cs="Arial"/>
          <w:i/>
        </w:rPr>
      </w:pPr>
      <w:r w:rsidRPr="008B40A0">
        <w:rPr>
          <w:rFonts w:ascii="Arial" w:hAnsi="Arial" w:cs="Arial"/>
          <w:i/>
        </w:rPr>
        <w:t>4) los lugares, cosas o personas.</w:t>
      </w:r>
    </w:p>
    <w:p w:rsidR="003F55E3" w:rsidRPr="008B40A0" w:rsidRDefault="003F55E3" w:rsidP="003538F5">
      <w:pPr>
        <w:autoSpaceDE w:val="0"/>
        <w:autoSpaceDN w:val="0"/>
        <w:adjustRightInd w:val="0"/>
        <w:spacing w:after="120" w:line="240" w:lineRule="auto"/>
        <w:ind w:left="567"/>
        <w:jc w:val="both"/>
        <w:rPr>
          <w:rFonts w:ascii="Arial" w:hAnsi="Arial" w:cs="Arial"/>
          <w:i/>
        </w:rPr>
      </w:pPr>
      <w:r w:rsidRPr="008B40A0">
        <w:rPr>
          <w:rFonts w:ascii="Arial" w:hAnsi="Arial" w:cs="Arial"/>
          <w:i/>
        </w:rPr>
        <w:t>El juez nunca es fuente de prueba. Por ende, no debe:</w:t>
      </w:r>
    </w:p>
    <w:p w:rsidR="003F55E3" w:rsidRPr="008B40A0" w:rsidRDefault="003F55E3" w:rsidP="003538F5">
      <w:pPr>
        <w:autoSpaceDE w:val="0"/>
        <w:autoSpaceDN w:val="0"/>
        <w:adjustRightInd w:val="0"/>
        <w:spacing w:after="120" w:line="240" w:lineRule="auto"/>
        <w:ind w:left="567"/>
        <w:jc w:val="both"/>
        <w:rPr>
          <w:rFonts w:ascii="Arial" w:hAnsi="Arial" w:cs="Arial"/>
          <w:i/>
        </w:rPr>
      </w:pPr>
      <w:r w:rsidRPr="008B40A0">
        <w:rPr>
          <w:rFonts w:ascii="Arial" w:hAnsi="Arial" w:cs="Arial"/>
          <w:i/>
        </w:rPr>
        <w:t>1) fallar a base del conocimiento personal que tiene de los hechos a juzgar;</w:t>
      </w:r>
    </w:p>
    <w:p w:rsidR="003F55E3" w:rsidRPr="008B40A0" w:rsidRDefault="003F55E3" w:rsidP="003538F5">
      <w:pPr>
        <w:autoSpaceDE w:val="0"/>
        <w:autoSpaceDN w:val="0"/>
        <w:adjustRightInd w:val="0"/>
        <w:spacing w:after="120" w:line="240" w:lineRule="auto"/>
        <w:ind w:left="567"/>
        <w:jc w:val="both"/>
        <w:rPr>
          <w:rFonts w:ascii="Arial" w:hAnsi="Arial" w:cs="Arial"/>
        </w:rPr>
      </w:pPr>
      <w:r w:rsidRPr="008B40A0">
        <w:rPr>
          <w:rFonts w:ascii="Arial" w:hAnsi="Arial" w:cs="Arial"/>
          <w:i/>
        </w:rPr>
        <w:t xml:space="preserve">2) </w:t>
      </w:r>
      <w:proofErr w:type="gramStart"/>
      <w:r w:rsidRPr="008B40A0">
        <w:rPr>
          <w:rFonts w:ascii="Arial" w:hAnsi="Arial" w:cs="Arial"/>
          <w:i/>
        </w:rPr>
        <w:t>ordenar</w:t>
      </w:r>
      <w:proofErr w:type="gramEnd"/>
      <w:r w:rsidRPr="008B40A0">
        <w:rPr>
          <w:rFonts w:ascii="Arial" w:hAnsi="Arial" w:cs="Arial"/>
          <w:i/>
        </w:rPr>
        <w:t xml:space="preserve"> oficiosamente medidas probatoria</w:t>
      </w:r>
      <w:r w:rsidRPr="008B40A0">
        <w:rPr>
          <w:rFonts w:ascii="Arial" w:hAnsi="Arial" w:cs="Arial"/>
        </w:rPr>
        <w:t>.</w:t>
      </w:r>
      <w:r w:rsidR="00B702E6" w:rsidRPr="008B40A0">
        <w:rPr>
          <w:rFonts w:ascii="Arial" w:hAnsi="Arial" w:cs="Arial"/>
        </w:rPr>
        <w:t>”</w:t>
      </w:r>
    </w:p>
    <w:p w:rsidR="003F55E3" w:rsidRPr="008B40A0" w:rsidRDefault="003F55E3" w:rsidP="008B40A0">
      <w:pPr>
        <w:autoSpaceDE w:val="0"/>
        <w:autoSpaceDN w:val="0"/>
        <w:adjustRightInd w:val="0"/>
        <w:spacing w:after="120" w:line="240" w:lineRule="auto"/>
        <w:jc w:val="both"/>
        <w:rPr>
          <w:rFonts w:ascii="Arial" w:hAnsi="Arial" w:cs="Arial"/>
        </w:rPr>
      </w:pPr>
      <w:r w:rsidRPr="008B40A0">
        <w:rPr>
          <w:rFonts w:ascii="Arial" w:hAnsi="Arial" w:cs="Arial"/>
          <w:iCs/>
        </w:rPr>
        <w:t xml:space="preserve">Aclara Adolfo Alvarado Vellosos que los medios de probar refieren a  la pregunta ¿cómo se prueba? Y generalmente en los códigos procesales se enumeran: documentos </w:t>
      </w:r>
      <w:r w:rsidRPr="008B40A0">
        <w:rPr>
          <w:rFonts w:ascii="Arial" w:hAnsi="Arial" w:cs="Arial"/>
        </w:rPr>
        <w:t xml:space="preserve">(o prueba </w:t>
      </w:r>
      <w:r w:rsidRPr="008B40A0">
        <w:rPr>
          <w:rFonts w:ascii="Arial" w:hAnsi="Arial" w:cs="Arial"/>
          <w:iCs/>
        </w:rPr>
        <w:t>documental</w:t>
      </w:r>
      <w:r w:rsidRPr="008B40A0">
        <w:rPr>
          <w:rFonts w:ascii="Arial" w:hAnsi="Arial" w:cs="Arial"/>
        </w:rPr>
        <w:t xml:space="preserve">), </w:t>
      </w:r>
      <w:r w:rsidRPr="008B40A0">
        <w:rPr>
          <w:rFonts w:ascii="Arial" w:hAnsi="Arial" w:cs="Arial"/>
          <w:iCs/>
        </w:rPr>
        <w:t xml:space="preserve">confesión </w:t>
      </w:r>
      <w:r w:rsidRPr="008B40A0">
        <w:rPr>
          <w:rFonts w:ascii="Arial" w:hAnsi="Arial" w:cs="Arial"/>
        </w:rPr>
        <w:t xml:space="preserve">(o prueba </w:t>
      </w:r>
      <w:r w:rsidRPr="008B40A0">
        <w:rPr>
          <w:rFonts w:ascii="Arial" w:hAnsi="Arial" w:cs="Arial"/>
          <w:iCs/>
        </w:rPr>
        <w:t xml:space="preserve">confesional </w:t>
      </w:r>
      <w:r w:rsidRPr="008B40A0">
        <w:rPr>
          <w:rFonts w:ascii="Arial" w:hAnsi="Arial" w:cs="Arial"/>
        </w:rPr>
        <w:t xml:space="preserve">o de </w:t>
      </w:r>
      <w:r w:rsidRPr="008B40A0">
        <w:rPr>
          <w:rFonts w:ascii="Arial" w:hAnsi="Arial" w:cs="Arial"/>
          <w:iCs/>
        </w:rPr>
        <w:t>declaración de parte</w:t>
      </w:r>
      <w:r w:rsidRPr="008B40A0">
        <w:rPr>
          <w:rFonts w:ascii="Arial" w:hAnsi="Arial" w:cs="Arial"/>
        </w:rPr>
        <w:t xml:space="preserve">), </w:t>
      </w:r>
      <w:r w:rsidRPr="008B40A0">
        <w:rPr>
          <w:rFonts w:ascii="Arial" w:hAnsi="Arial" w:cs="Arial"/>
          <w:iCs/>
        </w:rPr>
        <w:t xml:space="preserve">testimonio </w:t>
      </w:r>
      <w:r w:rsidRPr="008B40A0">
        <w:rPr>
          <w:rFonts w:ascii="Arial" w:hAnsi="Arial" w:cs="Arial"/>
        </w:rPr>
        <w:t xml:space="preserve">(o prueba </w:t>
      </w:r>
      <w:r w:rsidRPr="008B40A0">
        <w:rPr>
          <w:rFonts w:ascii="Arial" w:hAnsi="Arial" w:cs="Arial"/>
          <w:iCs/>
        </w:rPr>
        <w:t>testimonial</w:t>
      </w:r>
      <w:r w:rsidRPr="008B40A0">
        <w:rPr>
          <w:rFonts w:ascii="Arial" w:hAnsi="Arial" w:cs="Arial"/>
        </w:rPr>
        <w:t xml:space="preserve">),  peritaje (o prueba </w:t>
      </w:r>
      <w:r w:rsidRPr="008B40A0">
        <w:rPr>
          <w:rFonts w:ascii="Arial" w:hAnsi="Arial" w:cs="Arial"/>
          <w:iCs/>
        </w:rPr>
        <w:t>pericial</w:t>
      </w:r>
      <w:r w:rsidRPr="008B40A0">
        <w:rPr>
          <w:rFonts w:ascii="Arial" w:hAnsi="Arial" w:cs="Arial"/>
        </w:rPr>
        <w:t xml:space="preserve">), </w:t>
      </w:r>
      <w:r w:rsidRPr="008B40A0">
        <w:rPr>
          <w:rFonts w:ascii="Arial" w:hAnsi="Arial" w:cs="Arial"/>
          <w:iCs/>
        </w:rPr>
        <w:t xml:space="preserve">informes </w:t>
      </w:r>
      <w:r w:rsidRPr="008B40A0">
        <w:rPr>
          <w:rFonts w:ascii="Arial" w:hAnsi="Arial" w:cs="Arial"/>
        </w:rPr>
        <w:t xml:space="preserve">(o prueba </w:t>
      </w:r>
      <w:r w:rsidRPr="008B40A0">
        <w:rPr>
          <w:rFonts w:ascii="Arial" w:hAnsi="Arial" w:cs="Arial"/>
          <w:iCs/>
        </w:rPr>
        <w:t>informativa</w:t>
      </w:r>
      <w:r w:rsidRPr="008B40A0">
        <w:rPr>
          <w:rFonts w:ascii="Arial" w:hAnsi="Arial" w:cs="Arial"/>
        </w:rPr>
        <w:t xml:space="preserve">), </w:t>
      </w:r>
      <w:r w:rsidRPr="008B40A0">
        <w:rPr>
          <w:rFonts w:ascii="Arial" w:hAnsi="Arial" w:cs="Arial"/>
          <w:iCs/>
        </w:rPr>
        <w:t xml:space="preserve">presunciones </w:t>
      </w:r>
      <w:r w:rsidRPr="008B40A0">
        <w:rPr>
          <w:rFonts w:ascii="Arial" w:hAnsi="Arial" w:cs="Arial"/>
        </w:rPr>
        <w:t xml:space="preserve">(o prueba </w:t>
      </w:r>
      <w:proofErr w:type="spellStart"/>
      <w:r w:rsidRPr="008B40A0">
        <w:rPr>
          <w:rFonts w:ascii="Arial" w:hAnsi="Arial" w:cs="Arial"/>
          <w:iCs/>
        </w:rPr>
        <w:t>presuncional</w:t>
      </w:r>
      <w:proofErr w:type="spellEnd"/>
      <w:r w:rsidRPr="008B40A0">
        <w:rPr>
          <w:rFonts w:ascii="Arial" w:hAnsi="Arial" w:cs="Arial"/>
          <w:iCs/>
        </w:rPr>
        <w:t xml:space="preserve"> </w:t>
      </w:r>
      <w:r w:rsidRPr="008B40A0">
        <w:rPr>
          <w:rFonts w:ascii="Arial" w:hAnsi="Arial" w:cs="Arial"/>
        </w:rPr>
        <w:t xml:space="preserve">o </w:t>
      </w:r>
      <w:r w:rsidRPr="008B40A0">
        <w:rPr>
          <w:rFonts w:ascii="Arial" w:hAnsi="Arial" w:cs="Arial"/>
          <w:iCs/>
        </w:rPr>
        <w:t>indiciaria</w:t>
      </w:r>
      <w:r w:rsidRPr="008B40A0">
        <w:rPr>
          <w:rFonts w:ascii="Arial" w:hAnsi="Arial" w:cs="Arial"/>
        </w:rPr>
        <w:t xml:space="preserve">) y </w:t>
      </w:r>
      <w:r w:rsidRPr="008B40A0">
        <w:rPr>
          <w:rFonts w:ascii="Arial" w:hAnsi="Arial" w:cs="Arial"/>
          <w:iCs/>
        </w:rPr>
        <w:t xml:space="preserve">reconocimiento </w:t>
      </w:r>
      <w:r w:rsidRPr="008B40A0">
        <w:rPr>
          <w:rFonts w:ascii="Arial" w:hAnsi="Arial" w:cs="Arial"/>
        </w:rPr>
        <w:t xml:space="preserve">(o prueba de </w:t>
      </w:r>
      <w:r w:rsidRPr="008B40A0">
        <w:rPr>
          <w:rFonts w:ascii="Arial" w:hAnsi="Arial" w:cs="Arial"/>
          <w:iCs/>
        </w:rPr>
        <w:t>inspección ocular</w:t>
      </w:r>
      <w:r w:rsidRPr="008B40A0">
        <w:rPr>
          <w:rFonts w:ascii="Arial" w:hAnsi="Arial" w:cs="Arial"/>
        </w:rPr>
        <w:t>).</w:t>
      </w:r>
    </w:p>
    <w:p w:rsidR="003F55E3" w:rsidRPr="008B40A0" w:rsidRDefault="003F55E3" w:rsidP="008B40A0">
      <w:pPr>
        <w:autoSpaceDE w:val="0"/>
        <w:autoSpaceDN w:val="0"/>
        <w:adjustRightInd w:val="0"/>
        <w:spacing w:after="120" w:line="240" w:lineRule="auto"/>
        <w:jc w:val="both"/>
        <w:rPr>
          <w:rFonts w:ascii="Arial" w:hAnsi="Arial" w:cs="Arial"/>
        </w:rPr>
      </w:pPr>
      <w:r w:rsidRPr="008B40A0">
        <w:rPr>
          <w:rFonts w:ascii="Arial" w:hAnsi="Arial" w:cs="Arial"/>
        </w:rPr>
        <w:t>Empero, señala que no resultan suficientes para lograr la cabal captación de los conceptos que involucran.</w:t>
      </w:r>
    </w:p>
    <w:p w:rsidR="003F55E3" w:rsidRPr="008B40A0" w:rsidRDefault="003F55E3" w:rsidP="008B40A0">
      <w:pPr>
        <w:autoSpaceDE w:val="0"/>
        <w:autoSpaceDN w:val="0"/>
        <w:adjustRightInd w:val="0"/>
        <w:spacing w:after="120" w:line="240" w:lineRule="auto"/>
        <w:jc w:val="both"/>
        <w:rPr>
          <w:rFonts w:ascii="Arial" w:hAnsi="Arial" w:cs="Arial"/>
        </w:rPr>
      </w:pPr>
      <w:r w:rsidRPr="008B40A0">
        <w:rPr>
          <w:rFonts w:ascii="Arial" w:hAnsi="Arial" w:cs="Arial"/>
        </w:rPr>
        <w:lastRenderedPageBreak/>
        <w:t xml:space="preserve">Siguiendo a Briseño Sierra propone sistematizarlos, a partir de advertir que el juez, para tomar contacto con los medios de prueba que le presentan las partes, tiene que: </w:t>
      </w:r>
      <w:r w:rsidRPr="008B40A0">
        <w:rPr>
          <w:rFonts w:ascii="Arial" w:hAnsi="Arial" w:cs="Arial"/>
          <w:iCs/>
        </w:rPr>
        <w:t>Ver (</w:t>
      </w:r>
      <w:r w:rsidRPr="008B40A0">
        <w:rPr>
          <w:rFonts w:ascii="Arial" w:hAnsi="Arial" w:cs="Arial"/>
        </w:rPr>
        <w:t xml:space="preserve">experimentos, análisis, documentos, registros, informes, personas, lugares y cosas), </w:t>
      </w:r>
      <w:r w:rsidRPr="008B40A0">
        <w:rPr>
          <w:rFonts w:ascii="Arial" w:hAnsi="Arial" w:cs="Arial"/>
          <w:iCs/>
        </w:rPr>
        <w:t xml:space="preserve">oír </w:t>
      </w:r>
      <w:r w:rsidRPr="008B40A0">
        <w:rPr>
          <w:rFonts w:ascii="Arial" w:hAnsi="Arial" w:cs="Arial"/>
        </w:rPr>
        <w:t xml:space="preserve">(declaraciones de partes y de terceros), y </w:t>
      </w:r>
      <w:r w:rsidRPr="008B40A0">
        <w:rPr>
          <w:rFonts w:ascii="Arial" w:hAnsi="Arial" w:cs="Arial"/>
          <w:iCs/>
        </w:rPr>
        <w:t xml:space="preserve">razonar </w:t>
      </w:r>
      <w:r w:rsidRPr="008B40A0">
        <w:rPr>
          <w:rFonts w:ascii="Arial" w:hAnsi="Arial" w:cs="Arial"/>
        </w:rPr>
        <w:t xml:space="preserve">y </w:t>
      </w:r>
      <w:r w:rsidRPr="008B40A0">
        <w:rPr>
          <w:rFonts w:ascii="Arial" w:hAnsi="Arial" w:cs="Arial"/>
          <w:iCs/>
        </w:rPr>
        <w:t xml:space="preserve">deducir </w:t>
      </w:r>
      <w:r w:rsidRPr="008B40A0">
        <w:rPr>
          <w:rFonts w:ascii="Arial" w:hAnsi="Arial" w:cs="Arial"/>
        </w:rPr>
        <w:t xml:space="preserve">o </w:t>
      </w:r>
      <w:r w:rsidRPr="008B40A0">
        <w:rPr>
          <w:rFonts w:ascii="Arial" w:hAnsi="Arial" w:cs="Arial"/>
          <w:iCs/>
        </w:rPr>
        <w:t>inferir (</w:t>
      </w:r>
      <w:r w:rsidRPr="008B40A0">
        <w:rPr>
          <w:rFonts w:ascii="Arial" w:hAnsi="Arial" w:cs="Arial"/>
        </w:rPr>
        <w:t xml:space="preserve">hechos desconocidos a partir de hechos conocidos para poder </w:t>
      </w:r>
      <w:r w:rsidRPr="008B40A0">
        <w:rPr>
          <w:rFonts w:ascii="Arial" w:hAnsi="Arial" w:cs="Arial"/>
          <w:iCs/>
        </w:rPr>
        <w:t>presumir)</w:t>
      </w:r>
      <w:r w:rsidRPr="008B40A0">
        <w:rPr>
          <w:rFonts w:ascii="Arial" w:hAnsi="Arial" w:cs="Arial"/>
        </w:rPr>
        <w:t>.</w:t>
      </w:r>
    </w:p>
    <w:p w:rsidR="003F55E3" w:rsidRPr="008B40A0" w:rsidRDefault="003F55E3" w:rsidP="008B40A0">
      <w:pPr>
        <w:autoSpaceDE w:val="0"/>
        <w:autoSpaceDN w:val="0"/>
        <w:adjustRightInd w:val="0"/>
        <w:spacing w:after="120" w:line="240" w:lineRule="auto"/>
        <w:jc w:val="both"/>
        <w:rPr>
          <w:rFonts w:ascii="Arial" w:hAnsi="Arial" w:cs="Arial"/>
        </w:rPr>
      </w:pPr>
      <w:r w:rsidRPr="008B40A0">
        <w:rPr>
          <w:rFonts w:ascii="Arial" w:hAnsi="Arial" w:cs="Arial"/>
        </w:rPr>
        <w:t xml:space="preserve">Y a partir de considerar que  no todo lo que ve, oye y razona tiene o puede tener objetivamente la misma entidad probatoria. </w:t>
      </w:r>
    </w:p>
    <w:p w:rsidR="003F55E3" w:rsidRPr="008B40A0" w:rsidRDefault="003F55E3" w:rsidP="008B40A0">
      <w:pPr>
        <w:autoSpaceDE w:val="0"/>
        <w:autoSpaceDN w:val="0"/>
        <w:adjustRightInd w:val="0"/>
        <w:spacing w:after="120" w:line="240" w:lineRule="auto"/>
        <w:jc w:val="both"/>
        <w:rPr>
          <w:rFonts w:ascii="Arial" w:hAnsi="Arial" w:cs="Arial"/>
        </w:rPr>
      </w:pPr>
      <w:r w:rsidRPr="008B40A0">
        <w:rPr>
          <w:rFonts w:ascii="Arial" w:hAnsi="Arial" w:cs="Arial"/>
        </w:rPr>
        <w:t>Por eso, para comprender como funciona un sistema procesal con pautas objetivas que hagan previsible el eventual resultado del litigio Briseño Sierra explica la prueba procesal enumerando los medios conforme al grado de eficacia probatoria que ostentan, se de nominan: de  c</w:t>
      </w:r>
      <w:r w:rsidRPr="008B40A0">
        <w:rPr>
          <w:rFonts w:ascii="Arial" w:hAnsi="Arial" w:cs="Arial"/>
          <w:i/>
          <w:iCs/>
        </w:rPr>
        <w:t xml:space="preserve">omprobación </w:t>
      </w:r>
      <w:r w:rsidRPr="008B40A0">
        <w:rPr>
          <w:rFonts w:ascii="Arial" w:hAnsi="Arial" w:cs="Arial"/>
        </w:rPr>
        <w:t xml:space="preserve">(producen </w:t>
      </w:r>
      <w:r w:rsidRPr="008B40A0">
        <w:rPr>
          <w:rFonts w:ascii="Arial" w:hAnsi="Arial" w:cs="Arial"/>
          <w:i/>
          <w:iCs/>
        </w:rPr>
        <w:t>certeza</w:t>
      </w:r>
      <w:r w:rsidRPr="008B40A0">
        <w:rPr>
          <w:rFonts w:ascii="Arial" w:hAnsi="Arial" w:cs="Arial"/>
        </w:rPr>
        <w:t xml:space="preserve">), de </w:t>
      </w:r>
      <w:r w:rsidRPr="008B40A0">
        <w:rPr>
          <w:rFonts w:ascii="Arial" w:hAnsi="Arial" w:cs="Arial"/>
          <w:i/>
          <w:iCs/>
        </w:rPr>
        <w:t xml:space="preserve">acreditación </w:t>
      </w:r>
      <w:r w:rsidRPr="008B40A0">
        <w:rPr>
          <w:rFonts w:ascii="Arial" w:hAnsi="Arial" w:cs="Arial"/>
        </w:rPr>
        <w:t xml:space="preserve">(producen </w:t>
      </w:r>
      <w:r w:rsidRPr="008B40A0">
        <w:rPr>
          <w:rFonts w:ascii="Arial" w:hAnsi="Arial" w:cs="Arial"/>
          <w:i/>
          <w:iCs/>
        </w:rPr>
        <w:t>verosimilitud</w:t>
      </w:r>
      <w:r w:rsidRPr="008B40A0">
        <w:rPr>
          <w:rFonts w:ascii="Arial" w:hAnsi="Arial" w:cs="Arial"/>
        </w:rPr>
        <w:t xml:space="preserve">), de </w:t>
      </w:r>
      <w:r w:rsidRPr="008B40A0">
        <w:rPr>
          <w:rFonts w:ascii="Arial" w:hAnsi="Arial" w:cs="Arial"/>
          <w:i/>
          <w:iCs/>
        </w:rPr>
        <w:t xml:space="preserve">mostración </w:t>
      </w:r>
      <w:r w:rsidRPr="008B40A0">
        <w:rPr>
          <w:rFonts w:ascii="Arial" w:hAnsi="Arial" w:cs="Arial"/>
        </w:rPr>
        <w:t xml:space="preserve">(producen </w:t>
      </w:r>
      <w:r w:rsidRPr="008B40A0">
        <w:rPr>
          <w:rFonts w:ascii="Arial" w:hAnsi="Arial" w:cs="Arial"/>
          <w:i/>
          <w:iCs/>
        </w:rPr>
        <w:t>percepción</w:t>
      </w:r>
      <w:r w:rsidRPr="008B40A0">
        <w:rPr>
          <w:rFonts w:ascii="Arial" w:hAnsi="Arial" w:cs="Arial"/>
        </w:rPr>
        <w:t xml:space="preserve">) y de </w:t>
      </w:r>
      <w:r w:rsidRPr="008B40A0">
        <w:rPr>
          <w:rFonts w:ascii="Arial" w:hAnsi="Arial" w:cs="Arial"/>
          <w:i/>
          <w:iCs/>
        </w:rPr>
        <w:t xml:space="preserve">convicción </w:t>
      </w:r>
      <w:r w:rsidRPr="008B40A0">
        <w:rPr>
          <w:rFonts w:ascii="Arial" w:hAnsi="Arial" w:cs="Arial"/>
        </w:rPr>
        <w:t xml:space="preserve">(producen </w:t>
      </w:r>
      <w:r w:rsidRPr="008B40A0">
        <w:rPr>
          <w:rFonts w:ascii="Arial" w:hAnsi="Arial" w:cs="Arial"/>
          <w:i/>
          <w:iCs/>
        </w:rPr>
        <w:t>probabilidad</w:t>
      </w:r>
      <w:r w:rsidRPr="008B40A0">
        <w:rPr>
          <w:rFonts w:ascii="Arial" w:hAnsi="Arial" w:cs="Arial"/>
        </w:rPr>
        <w:t xml:space="preserve">). </w:t>
      </w:r>
    </w:p>
    <w:p w:rsidR="003F55E3" w:rsidRPr="008B40A0" w:rsidRDefault="003C1F5D" w:rsidP="008B40A0">
      <w:pPr>
        <w:autoSpaceDE w:val="0"/>
        <w:autoSpaceDN w:val="0"/>
        <w:adjustRightInd w:val="0"/>
        <w:spacing w:after="120" w:line="240" w:lineRule="auto"/>
        <w:jc w:val="both"/>
        <w:rPr>
          <w:rFonts w:ascii="Arial" w:hAnsi="Arial" w:cs="Arial"/>
        </w:rPr>
      </w:pPr>
      <w:r w:rsidRPr="008B40A0">
        <w:rPr>
          <w:rFonts w:ascii="Arial" w:hAnsi="Arial" w:cs="Arial"/>
        </w:rPr>
        <w:t xml:space="preserve">En consecuencia se establece: </w:t>
      </w:r>
      <w:bookmarkStart w:id="0" w:name="_GoBack"/>
      <w:r w:rsidRPr="008B40A0">
        <w:rPr>
          <w:rFonts w:ascii="Arial" w:hAnsi="Arial" w:cs="Arial"/>
        </w:rPr>
        <w:t>Artículo 423 Medios de Prueba</w:t>
      </w:r>
    </w:p>
    <w:p w:rsidR="003F55E3" w:rsidRPr="008B40A0" w:rsidRDefault="00B702E6" w:rsidP="003538F5">
      <w:pPr>
        <w:tabs>
          <w:tab w:val="left" w:pos="567"/>
        </w:tabs>
        <w:autoSpaceDE w:val="0"/>
        <w:autoSpaceDN w:val="0"/>
        <w:adjustRightInd w:val="0"/>
        <w:spacing w:after="120" w:line="240" w:lineRule="auto"/>
        <w:ind w:left="567"/>
        <w:jc w:val="both"/>
        <w:rPr>
          <w:rFonts w:ascii="Arial" w:hAnsi="Arial" w:cs="Arial"/>
          <w:i/>
        </w:rPr>
      </w:pPr>
      <w:r w:rsidRPr="008B40A0">
        <w:rPr>
          <w:rFonts w:ascii="Arial" w:hAnsi="Arial" w:cs="Arial"/>
        </w:rPr>
        <w:t>“</w:t>
      </w:r>
      <w:r w:rsidR="003F55E3" w:rsidRPr="008B40A0">
        <w:rPr>
          <w:rFonts w:ascii="Arial" w:hAnsi="Arial" w:cs="Arial"/>
          <w:i/>
        </w:rPr>
        <w:t>Los medios de prueba son:</w:t>
      </w:r>
    </w:p>
    <w:p w:rsidR="003F55E3" w:rsidRPr="008B40A0" w:rsidRDefault="003F55E3" w:rsidP="003538F5">
      <w:pPr>
        <w:tabs>
          <w:tab w:val="left" w:pos="567"/>
        </w:tabs>
        <w:autoSpaceDE w:val="0"/>
        <w:autoSpaceDN w:val="0"/>
        <w:adjustRightInd w:val="0"/>
        <w:spacing w:after="120" w:line="240" w:lineRule="auto"/>
        <w:ind w:left="567"/>
        <w:jc w:val="both"/>
        <w:rPr>
          <w:rFonts w:ascii="Arial" w:hAnsi="Arial" w:cs="Arial"/>
          <w:i/>
        </w:rPr>
      </w:pPr>
      <w:r w:rsidRPr="008B40A0">
        <w:rPr>
          <w:rFonts w:ascii="Arial" w:hAnsi="Arial" w:cs="Arial"/>
          <w:i/>
        </w:rPr>
        <w:t>1) de comprobación;</w:t>
      </w:r>
    </w:p>
    <w:p w:rsidR="003F55E3" w:rsidRPr="008B40A0" w:rsidRDefault="003F55E3" w:rsidP="003538F5">
      <w:pPr>
        <w:tabs>
          <w:tab w:val="left" w:pos="567"/>
        </w:tabs>
        <w:autoSpaceDE w:val="0"/>
        <w:autoSpaceDN w:val="0"/>
        <w:adjustRightInd w:val="0"/>
        <w:spacing w:after="120" w:line="240" w:lineRule="auto"/>
        <w:ind w:left="567"/>
        <w:jc w:val="both"/>
        <w:rPr>
          <w:rFonts w:ascii="Arial" w:hAnsi="Arial" w:cs="Arial"/>
          <w:i/>
        </w:rPr>
      </w:pPr>
      <w:r w:rsidRPr="008B40A0">
        <w:rPr>
          <w:rFonts w:ascii="Arial" w:hAnsi="Arial" w:cs="Arial"/>
          <w:i/>
        </w:rPr>
        <w:t>2) de acreditación;</w:t>
      </w:r>
    </w:p>
    <w:p w:rsidR="003F55E3" w:rsidRPr="008B40A0" w:rsidRDefault="003F55E3" w:rsidP="003538F5">
      <w:pPr>
        <w:tabs>
          <w:tab w:val="left" w:pos="567"/>
        </w:tabs>
        <w:autoSpaceDE w:val="0"/>
        <w:autoSpaceDN w:val="0"/>
        <w:adjustRightInd w:val="0"/>
        <w:spacing w:after="120" w:line="240" w:lineRule="auto"/>
        <w:ind w:left="567"/>
        <w:jc w:val="both"/>
        <w:rPr>
          <w:rFonts w:ascii="Arial" w:hAnsi="Arial" w:cs="Arial"/>
          <w:i/>
        </w:rPr>
      </w:pPr>
      <w:r w:rsidRPr="008B40A0">
        <w:rPr>
          <w:rFonts w:ascii="Arial" w:hAnsi="Arial" w:cs="Arial"/>
          <w:i/>
        </w:rPr>
        <w:t>3) de mostración;</w:t>
      </w:r>
    </w:p>
    <w:p w:rsidR="003F55E3" w:rsidRPr="008B40A0" w:rsidRDefault="003F55E3" w:rsidP="003538F5">
      <w:pPr>
        <w:tabs>
          <w:tab w:val="left" w:pos="567"/>
        </w:tabs>
        <w:autoSpaceDE w:val="0"/>
        <w:autoSpaceDN w:val="0"/>
        <w:adjustRightInd w:val="0"/>
        <w:spacing w:after="120" w:line="240" w:lineRule="auto"/>
        <w:ind w:left="567"/>
        <w:jc w:val="both"/>
        <w:rPr>
          <w:rFonts w:ascii="Arial" w:hAnsi="Arial" w:cs="Arial"/>
        </w:rPr>
      </w:pPr>
      <w:r w:rsidRPr="008B40A0">
        <w:rPr>
          <w:rFonts w:ascii="Arial" w:hAnsi="Arial" w:cs="Arial"/>
          <w:i/>
        </w:rPr>
        <w:t xml:space="preserve">4) </w:t>
      </w:r>
      <w:proofErr w:type="gramStart"/>
      <w:r w:rsidRPr="008B40A0">
        <w:rPr>
          <w:rFonts w:ascii="Arial" w:hAnsi="Arial" w:cs="Arial"/>
          <w:i/>
        </w:rPr>
        <w:t>de</w:t>
      </w:r>
      <w:proofErr w:type="gramEnd"/>
      <w:r w:rsidRPr="008B40A0">
        <w:rPr>
          <w:rFonts w:ascii="Arial" w:hAnsi="Arial" w:cs="Arial"/>
          <w:i/>
        </w:rPr>
        <w:t xml:space="preserve"> convicción</w:t>
      </w:r>
      <w:r w:rsidRPr="008B40A0">
        <w:rPr>
          <w:rFonts w:ascii="Arial" w:hAnsi="Arial" w:cs="Arial"/>
        </w:rPr>
        <w:t>.</w:t>
      </w:r>
      <w:r w:rsidR="00B702E6" w:rsidRPr="008B40A0">
        <w:rPr>
          <w:rFonts w:ascii="Arial" w:hAnsi="Arial" w:cs="Arial"/>
        </w:rPr>
        <w:t>”</w:t>
      </w:r>
    </w:p>
    <w:bookmarkEnd w:id="0"/>
    <w:p w:rsidR="003F55E3" w:rsidRPr="008B40A0" w:rsidRDefault="003C1F5D" w:rsidP="008B40A0">
      <w:pPr>
        <w:autoSpaceDE w:val="0"/>
        <w:autoSpaceDN w:val="0"/>
        <w:adjustRightInd w:val="0"/>
        <w:spacing w:after="120" w:line="240" w:lineRule="auto"/>
        <w:jc w:val="both"/>
        <w:rPr>
          <w:rFonts w:ascii="Arial" w:hAnsi="Arial" w:cs="Arial"/>
        </w:rPr>
      </w:pPr>
      <w:r w:rsidRPr="008B40A0">
        <w:rPr>
          <w:rFonts w:ascii="Arial" w:hAnsi="Arial" w:cs="Arial"/>
        </w:rPr>
        <w:t xml:space="preserve">Los primeros producen certeza, </w:t>
      </w:r>
      <w:proofErr w:type="gramStart"/>
      <w:r w:rsidRPr="008B40A0">
        <w:rPr>
          <w:rFonts w:ascii="Arial" w:hAnsi="Arial" w:cs="Arial"/>
        </w:rPr>
        <w:t>los</w:t>
      </w:r>
      <w:proofErr w:type="gramEnd"/>
      <w:r w:rsidRPr="008B40A0">
        <w:rPr>
          <w:rFonts w:ascii="Arial" w:hAnsi="Arial" w:cs="Arial"/>
        </w:rPr>
        <w:t xml:space="preserve"> </w:t>
      </w:r>
      <w:r w:rsidR="003538F5">
        <w:rPr>
          <w:rFonts w:ascii="Arial" w:hAnsi="Arial" w:cs="Arial"/>
        </w:rPr>
        <w:t>siguientes</w:t>
      </w:r>
      <w:r w:rsidRPr="008B40A0">
        <w:rPr>
          <w:rFonts w:ascii="Arial" w:hAnsi="Arial" w:cs="Arial"/>
        </w:rPr>
        <w:t xml:space="preserve"> verosimilitud, percepción y probabilidad.</w:t>
      </w:r>
    </w:p>
    <w:p w:rsidR="003F55E3" w:rsidRPr="008B40A0" w:rsidRDefault="003F55E3" w:rsidP="008B40A0">
      <w:pPr>
        <w:autoSpaceDE w:val="0"/>
        <w:autoSpaceDN w:val="0"/>
        <w:adjustRightInd w:val="0"/>
        <w:spacing w:after="120" w:line="240" w:lineRule="auto"/>
        <w:jc w:val="both"/>
        <w:rPr>
          <w:rFonts w:ascii="Arial" w:hAnsi="Arial" w:cs="Arial"/>
        </w:rPr>
      </w:pPr>
    </w:p>
    <w:p w:rsidR="003F55E3" w:rsidRPr="008B40A0" w:rsidRDefault="003C1F5D" w:rsidP="008B40A0">
      <w:pPr>
        <w:autoSpaceDE w:val="0"/>
        <w:autoSpaceDN w:val="0"/>
        <w:adjustRightInd w:val="0"/>
        <w:spacing w:after="120" w:line="240" w:lineRule="auto"/>
        <w:jc w:val="both"/>
        <w:rPr>
          <w:rFonts w:ascii="Arial" w:hAnsi="Arial" w:cs="Arial"/>
          <w:b/>
          <w:smallCaps/>
        </w:rPr>
      </w:pPr>
      <w:r w:rsidRPr="008B40A0">
        <w:rPr>
          <w:rFonts w:ascii="Arial" w:hAnsi="Arial" w:cs="Arial"/>
          <w:b/>
          <w:smallCaps/>
        </w:rPr>
        <w:t>9. Conclusión.</w:t>
      </w:r>
    </w:p>
    <w:p w:rsidR="003C1F5D" w:rsidRPr="008B40A0" w:rsidRDefault="00B702E6" w:rsidP="008B40A0">
      <w:pPr>
        <w:autoSpaceDE w:val="0"/>
        <w:autoSpaceDN w:val="0"/>
        <w:adjustRightInd w:val="0"/>
        <w:spacing w:after="120" w:line="240" w:lineRule="auto"/>
        <w:jc w:val="both"/>
        <w:rPr>
          <w:rFonts w:ascii="Arial" w:hAnsi="Arial" w:cs="Arial"/>
          <w:lang w:val="es-ES"/>
        </w:rPr>
      </w:pPr>
      <w:r w:rsidRPr="008B40A0">
        <w:rPr>
          <w:rFonts w:ascii="Arial" w:eastAsiaTheme="minorHAnsi" w:hAnsi="Arial" w:cs="Arial"/>
        </w:rPr>
        <w:t xml:space="preserve">En conclusión, a partir del marco señalado: </w:t>
      </w:r>
      <w:r w:rsidRPr="008B40A0">
        <w:rPr>
          <w:rFonts w:ascii="Arial" w:hAnsi="Arial" w:cs="Arial"/>
          <w:lang w:val="es-ES"/>
        </w:rPr>
        <w:t>“</w:t>
      </w:r>
      <w:r w:rsidRPr="008B40A0">
        <w:rPr>
          <w:rFonts w:ascii="Arial" w:hAnsi="Arial" w:cs="Arial"/>
          <w:i/>
          <w:lang w:val="es-ES"/>
        </w:rPr>
        <w:t>la prueba es libertad</w:t>
      </w:r>
      <w:r w:rsidRPr="008B40A0">
        <w:rPr>
          <w:rFonts w:ascii="Arial" w:hAnsi="Arial" w:cs="Arial"/>
          <w:lang w:val="es-ES"/>
        </w:rPr>
        <w:t>”; “</w:t>
      </w:r>
      <w:r w:rsidRPr="008B40A0">
        <w:rPr>
          <w:rFonts w:ascii="Arial" w:hAnsi="Arial" w:cs="Arial"/>
          <w:i/>
          <w:lang w:val="es-ES"/>
        </w:rPr>
        <w:t>proceso eficaz respetando las garantías constitucionales</w:t>
      </w:r>
      <w:r w:rsidRPr="008B40A0">
        <w:rPr>
          <w:rFonts w:ascii="Arial" w:hAnsi="Arial" w:cs="Arial"/>
          <w:lang w:val="es-ES"/>
        </w:rPr>
        <w:t>”; “</w:t>
      </w:r>
      <w:r w:rsidRPr="008B40A0">
        <w:rPr>
          <w:rFonts w:ascii="Arial" w:hAnsi="Arial" w:cs="Arial"/>
          <w:i/>
          <w:lang w:val="es-ES"/>
        </w:rPr>
        <w:t>nueva enseñanza</w:t>
      </w:r>
      <w:r w:rsidR="003E6EEC" w:rsidRPr="008B40A0">
        <w:rPr>
          <w:rFonts w:ascii="Arial" w:hAnsi="Arial" w:cs="Arial"/>
          <w:lang w:val="es-ES"/>
        </w:rPr>
        <w:t>” se puede encontrar una</w:t>
      </w:r>
      <w:r w:rsidRPr="008B40A0">
        <w:rPr>
          <w:rFonts w:ascii="Arial" w:hAnsi="Arial" w:cs="Arial"/>
          <w:lang w:val="es-ES"/>
        </w:rPr>
        <w:t xml:space="preserve"> “</w:t>
      </w:r>
      <w:r w:rsidRPr="008B40A0">
        <w:rPr>
          <w:rFonts w:ascii="Arial" w:hAnsi="Arial" w:cs="Arial"/>
          <w:i/>
          <w:lang w:val="es-ES"/>
        </w:rPr>
        <w:t>utilidad de una correcta clasificación de los medios de prueba</w:t>
      </w:r>
      <w:r w:rsidRPr="008B40A0">
        <w:rPr>
          <w:rFonts w:ascii="Arial" w:hAnsi="Arial" w:cs="Arial"/>
          <w:lang w:val="es-ES"/>
        </w:rPr>
        <w:t>” y “</w:t>
      </w:r>
      <w:r w:rsidRPr="008B40A0">
        <w:rPr>
          <w:rFonts w:ascii="Arial" w:hAnsi="Arial" w:cs="Arial"/>
          <w:i/>
          <w:lang w:val="es-ES"/>
        </w:rPr>
        <w:t>una nueva legislación</w:t>
      </w:r>
      <w:r w:rsidR="003E6EEC" w:rsidRPr="008B40A0">
        <w:rPr>
          <w:rFonts w:ascii="Arial" w:hAnsi="Arial" w:cs="Arial"/>
          <w:lang w:val="es-ES"/>
        </w:rPr>
        <w:t>” a través de una sistematización de los conceptos clasificando los medios de prueba a partir de su grado de eficacia probatoria</w:t>
      </w:r>
      <w:r w:rsidR="008A1C10" w:rsidRPr="008B40A0">
        <w:rPr>
          <w:rFonts w:ascii="Arial" w:hAnsi="Arial" w:cs="Arial"/>
          <w:lang w:val="es-ES"/>
        </w:rPr>
        <w:t xml:space="preserve"> permitiendo de esta manera su real comprensión.</w:t>
      </w:r>
    </w:p>
    <w:p w:rsidR="008A1C10" w:rsidRPr="008B40A0" w:rsidRDefault="008B40A0" w:rsidP="008B40A0">
      <w:pPr>
        <w:autoSpaceDE w:val="0"/>
        <w:autoSpaceDN w:val="0"/>
        <w:adjustRightInd w:val="0"/>
        <w:spacing w:after="120" w:line="240" w:lineRule="auto"/>
        <w:jc w:val="both"/>
        <w:rPr>
          <w:rFonts w:ascii="Arial" w:hAnsi="Arial" w:cs="Arial"/>
        </w:rPr>
      </w:pPr>
      <w:r w:rsidRPr="008B40A0">
        <w:rPr>
          <w:rFonts w:ascii="Arial" w:hAnsi="Arial" w:cs="Arial"/>
          <w:lang w:val="es-ES"/>
        </w:rPr>
        <w:t xml:space="preserve">Ello, como dice </w:t>
      </w:r>
      <w:r w:rsidRPr="008B40A0">
        <w:rPr>
          <w:rFonts w:ascii="Arial" w:hAnsi="Arial" w:cs="Arial"/>
          <w:smallCaps/>
          <w:lang w:val="es-ES"/>
        </w:rPr>
        <w:t>Adolfo Alvarado Velloso</w:t>
      </w:r>
      <w:r w:rsidRPr="008B40A0">
        <w:rPr>
          <w:rFonts w:ascii="Arial" w:hAnsi="Arial" w:cs="Arial"/>
          <w:lang w:val="es-ES"/>
        </w:rPr>
        <w:t xml:space="preserve">, con la finalidad de </w:t>
      </w:r>
      <w:r w:rsidRPr="008B40A0">
        <w:rPr>
          <w:rFonts w:ascii="Arial" w:hAnsi="Arial" w:cs="Arial"/>
        </w:rPr>
        <w:t>sistematizar adecuadamente los conceptos para que, una vez repensados y comprendidos</w:t>
      </w:r>
      <w:r w:rsidRPr="008B40A0">
        <w:rPr>
          <w:rFonts w:ascii="Arial" w:hAnsi="Arial" w:cs="Arial"/>
        </w:rPr>
        <w:t>.</w:t>
      </w:r>
    </w:p>
    <w:p w:rsidR="00B702E6" w:rsidRPr="008B40A0" w:rsidRDefault="00B702E6" w:rsidP="008B40A0">
      <w:pPr>
        <w:autoSpaceDE w:val="0"/>
        <w:autoSpaceDN w:val="0"/>
        <w:adjustRightInd w:val="0"/>
        <w:spacing w:after="120" w:line="240" w:lineRule="auto"/>
        <w:jc w:val="both"/>
        <w:rPr>
          <w:rFonts w:ascii="Arial" w:eastAsiaTheme="minorHAnsi" w:hAnsi="Arial" w:cs="Arial"/>
        </w:rPr>
      </w:pPr>
    </w:p>
    <w:p w:rsidR="00B702E6" w:rsidRPr="008B40A0" w:rsidRDefault="00B702E6" w:rsidP="008B40A0">
      <w:pPr>
        <w:autoSpaceDE w:val="0"/>
        <w:autoSpaceDN w:val="0"/>
        <w:adjustRightInd w:val="0"/>
        <w:spacing w:after="120" w:line="240" w:lineRule="auto"/>
        <w:jc w:val="both"/>
        <w:rPr>
          <w:rFonts w:ascii="Arial" w:eastAsiaTheme="minorHAnsi" w:hAnsi="Arial" w:cs="Arial"/>
        </w:rPr>
      </w:pPr>
    </w:p>
    <w:sectPr w:rsidR="00B702E6" w:rsidRPr="008B40A0" w:rsidSect="00955822">
      <w:pgSz w:w="11907" w:h="16840" w:code="9"/>
      <w:pgMar w:top="2268" w:right="1134" w:bottom="1418" w:left="2268" w:header="720" w:footer="72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EF9" w:rsidRDefault="00665EF9" w:rsidP="0063029B">
      <w:pPr>
        <w:spacing w:after="0" w:line="240" w:lineRule="auto"/>
      </w:pPr>
      <w:r>
        <w:separator/>
      </w:r>
    </w:p>
  </w:endnote>
  <w:endnote w:type="continuationSeparator" w:id="0">
    <w:p w:rsidR="00665EF9" w:rsidRDefault="00665EF9" w:rsidP="0063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EF9" w:rsidRDefault="00665EF9" w:rsidP="0063029B">
      <w:pPr>
        <w:spacing w:after="0" w:line="240" w:lineRule="auto"/>
      </w:pPr>
      <w:r>
        <w:separator/>
      </w:r>
    </w:p>
  </w:footnote>
  <w:footnote w:type="continuationSeparator" w:id="0">
    <w:p w:rsidR="00665EF9" w:rsidRDefault="00665EF9" w:rsidP="0063029B">
      <w:pPr>
        <w:spacing w:after="0" w:line="240" w:lineRule="auto"/>
      </w:pPr>
      <w:r>
        <w:continuationSeparator/>
      </w:r>
    </w:p>
  </w:footnote>
  <w:footnote w:id="1">
    <w:p w:rsidR="000B7494" w:rsidRPr="008B40A0" w:rsidRDefault="000B7494" w:rsidP="003538F5">
      <w:pPr>
        <w:pStyle w:val="Textonotapie"/>
        <w:jc w:val="both"/>
        <w:rPr>
          <w:rFonts w:ascii="Arial" w:hAnsi="Arial" w:cs="Arial"/>
        </w:rPr>
      </w:pPr>
      <w:r w:rsidRPr="008B40A0">
        <w:rPr>
          <w:rStyle w:val="Refdenotaalpie"/>
          <w:rFonts w:ascii="Arial" w:hAnsi="Arial" w:cs="Arial"/>
        </w:rPr>
        <w:footnoteRef/>
      </w:r>
      <w:r w:rsidRPr="008B40A0">
        <w:rPr>
          <w:rFonts w:ascii="Arial" w:hAnsi="Arial" w:cs="Arial"/>
        </w:rPr>
        <w:t xml:space="preserve"> Escrito provisorio. Se aclara que el presente texto se encuentra aún en proceso de elaboración. Se presenta anticipadamente este borrador con el único fin de posibilitar el conocimiento de los principales puntos, algunos de ellos polémicos y opinables que se discutirán con motivo del XVII Congreso Nacional de Derecho Procesal Garantista, Azul 2 y 3 de noviembre de 2023.</w:t>
      </w:r>
    </w:p>
  </w:footnote>
  <w:footnote w:id="2">
    <w:p w:rsidR="00C27B6C" w:rsidRPr="008B40A0" w:rsidRDefault="00C27B6C" w:rsidP="003538F5">
      <w:pPr>
        <w:autoSpaceDE w:val="0"/>
        <w:autoSpaceDN w:val="0"/>
        <w:adjustRightInd w:val="0"/>
        <w:spacing w:after="0" w:line="240" w:lineRule="auto"/>
        <w:jc w:val="both"/>
        <w:rPr>
          <w:rFonts w:ascii="Arial" w:eastAsiaTheme="minorHAnsi"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w:t>
      </w:r>
      <w:proofErr w:type="spellStart"/>
      <w:r w:rsidRPr="008B40A0">
        <w:rPr>
          <w:rFonts w:ascii="Arial" w:eastAsiaTheme="minorHAnsi" w:hAnsi="Arial" w:cs="Arial"/>
          <w:sz w:val="20"/>
          <w:szCs w:val="20"/>
        </w:rPr>
        <w:t>Carrió</w:t>
      </w:r>
      <w:proofErr w:type="spellEnd"/>
      <w:r w:rsidRPr="008B40A0">
        <w:rPr>
          <w:rFonts w:ascii="Arial" w:eastAsiaTheme="minorHAnsi" w:hAnsi="Arial" w:cs="Arial"/>
          <w:sz w:val="20"/>
          <w:szCs w:val="20"/>
        </w:rPr>
        <w:t xml:space="preserve">, Genaro, </w:t>
      </w:r>
      <w:r w:rsidRPr="008B40A0">
        <w:rPr>
          <w:rFonts w:ascii="Arial" w:eastAsiaTheme="minorHAnsi" w:hAnsi="Arial" w:cs="Arial"/>
          <w:i/>
          <w:sz w:val="20"/>
          <w:szCs w:val="20"/>
        </w:rPr>
        <w:t>Notas sobre derecho y lenguaje</w:t>
      </w:r>
      <w:r w:rsidRPr="008B40A0">
        <w:rPr>
          <w:rFonts w:ascii="Arial" w:eastAsiaTheme="minorHAnsi" w:hAnsi="Arial" w:cs="Arial"/>
          <w:sz w:val="20"/>
          <w:szCs w:val="20"/>
        </w:rPr>
        <w:t xml:space="preserve">, </w:t>
      </w:r>
      <w:proofErr w:type="spellStart"/>
      <w:r w:rsidRPr="008B40A0">
        <w:rPr>
          <w:rFonts w:ascii="Arial" w:eastAsiaTheme="minorHAnsi" w:hAnsi="Arial" w:cs="Arial"/>
          <w:sz w:val="20"/>
          <w:szCs w:val="20"/>
        </w:rPr>
        <w:t>Abeledo</w:t>
      </w:r>
      <w:proofErr w:type="spellEnd"/>
      <w:r w:rsidRPr="008B40A0">
        <w:rPr>
          <w:rFonts w:ascii="Arial" w:eastAsiaTheme="minorHAnsi" w:hAnsi="Arial" w:cs="Arial"/>
          <w:sz w:val="20"/>
          <w:szCs w:val="20"/>
        </w:rPr>
        <w:t xml:space="preserve"> </w:t>
      </w:r>
      <w:proofErr w:type="spellStart"/>
      <w:r w:rsidRPr="008B40A0">
        <w:rPr>
          <w:rFonts w:ascii="Arial" w:eastAsiaTheme="minorHAnsi" w:hAnsi="Arial" w:cs="Arial"/>
          <w:sz w:val="20"/>
          <w:szCs w:val="20"/>
        </w:rPr>
        <w:t>Perrot</w:t>
      </w:r>
      <w:proofErr w:type="spellEnd"/>
      <w:r w:rsidRPr="008B40A0">
        <w:rPr>
          <w:rFonts w:ascii="Arial" w:eastAsiaTheme="minorHAnsi" w:hAnsi="Arial" w:cs="Arial"/>
          <w:sz w:val="20"/>
          <w:szCs w:val="20"/>
        </w:rPr>
        <w:t>, Buenos Aires 1986, p. 98</w:t>
      </w:r>
      <w:r w:rsidRPr="008B40A0">
        <w:rPr>
          <w:rFonts w:ascii="Arial" w:hAnsi="Arial" w:cs="Arial"/>
          <w:sz w:val="20"/>
          <w:szCs w:val="20"/>
        </w:rPr>
        <w:t>.</w:t>
      </w:r>
    </w:p>
  </w:footnote>
  <w:footnote w:id="3">
    <w:p w:rsidR="002026F1" w:rsidRPr="008B40A0" w:rsidRDefault="002026F1"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w:t>
      </w:r>
      <w:proofErr w:type="spellStart"/>
      <w:r w:rsidRPr="008B40A0">
        <w:rPr>
          <w:rFonts w:ascii="Arial" w:hAnsi="Arial" w:cs="Arial"/>
          <w:sz w:val="20"/>
          <w:szCs w:val="20"/>
        </w:rPr>
        <w:t>Abal</w:t>
      </w:r>
      <w:proofErr w:type="spellEnd"/>
      <w:r w:rsidRPr="008B40A0">
        <w:rPr>
          <w:rFonts w:ascii="Arial" w:hAnsi="Arial" w:cs="Arial"/>
          <w:sz w:val="20"/>
          <w:szCs w:val="20"/>
        </w:rPr>
        <w:t xml:space="preserve"> </w:t>
      </w:r>
      <w:proofErr w:type="spellStart"/>
      <w:r w:rsidRPr="008B40A0">
        <w:rPr>
          <w:rFonts w:ascii="Arial" w:hAnsi="Arial" w:cs="Arial"/>
          <w:sz w:val="20"/>
          <w:szCs w:val="20"/>
        </w:rPr>
        <w:t>Oliú</w:t>
      </w:r>
      <w:proofErr w:type="spellEnd"/>
      <w:r w:rsidRPr="008B40A0">
        <w:rPr>
          <w:rFonts w:ascii="Arial" w:hAnsi="Arial" w:cs="Arial"/>
          <w:sz w:val="20"/>
          <w:szCs w:val="20"/>
        </w:rPr>
        <w:t xml:space="preserve">, Alejandro, </w:t>
      </w:r>
      <w:r w:rsidRPr="008B40A0">
        <w:rPr>
          <w:rFonts w:ascii="Arial" w:hAnsi="Arial" w:cs="Arial"/>
          <w:i/>
          <w:sz w:val="20"/>
          <w:szCs w:val="20"/>
        </w:rPr>
        <w:t>Derecho Procesal</w:t>
      </w:r>
      <w:r w:rsidRPr="008B40A0">
        <w:rPr>
          <w:rFonts w:ascii="Arial" w:hAnsi="Arial" w:cs="Arial"/>
          <w:sz w:val="20"/>
          <w:szCs w:val="20"/>
        </w:rPr>
        <w:t>, Tomo IV, Fundación de Cultura Universitaria, Montevideo 2014, p. 52.</w:t>
      </w:r>
    </w:p>
  </w:footnote>
  <w:footnote w:id="4">
    <w:p w:rsidR="00C27B6C" w:rsidRPr="008B40A0" w:rsidRDefault="00C27B6C"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Carnelutti, Francesco, </w:t>
      </w:r>
      <w:r w:rsidRPr="008B40A0">
        <w:rPr>
          <w:rFonts w:ascii="Arial" w:hAnsi="Arial" w:cs="Arial"/>
          <w:i/>
          <w:sz w:val="20"/>
          <w:szCs w:val="20"/>
        </w:rPr>
        <w:t>La Prueba Civil</w:t>
      </w:r>
      <w:r w:rsidRPr="008B40A0">
        <w:rPr>
          <w:rFonts w:ascii="Arial" w:hAnsi="Arial" w:cs="Arial"/>
          <w:sz w:val="20"/>
          <w:szCs w:val="20"/>
        </w:rPr>
        <w:t xml:space="preserve">, </w:t>
      </w:r>
      <w:proofErr w:type="spellStart"/>
      <w:r w:rsidRPr="008B40A0">
        <w:rPr>
          <w:rFonts w:ascii="Arial" w:hAnsi="Arial" w:cs="Arial"/>
          <w:sz w:val="20"/>
          <w:szCs w:val="20"/>
        </w:rPr>
        <w:t>Depalma</w:t>
      </w:r>
      <w:proofErr w:type="spellEnd"/>
      <w:r w:rsidRPr="008B40A0">
        <w:rPr>
          <w:rFonts w:ascii="Arial" w:hAnsi="Arial" w:cs="Arial"/>
          <w:sz w:val="20"/>
          <w:szCs w:val="20"/>
        </w:rPr>
        <w:t>, Buenos Aires 1982.</w:t>
      </w:r>
    </w:p>
  </w:footnote>
  <w:footnote w:id="5">
    <w:p w:rsidR="00C27B6C" w:rsidRPr="008B40A0" w:rsidRDefault="00C27B6C"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Ob. cit., p. 19.</w:t>
      </w:r>
    </w:p>
  </w:footnote>
  <w:footnote w:id="6">
    <w:p w:rsidR="00C27B6C" w:rsidRPr="008B40A0" w:rsidRDefault="00C27B6C"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Ob. cit., p. 22.</w:t>
      </w:r>
    </w:p>
  </w:footnote>
  <w:footnote w:id="7">
    <w:p w:rsidR="00C27B6C" w:rsidRPr="008B40A0" w:rsidRDefault="00C27B6C"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Ob. cit., p. 24.</w:t>
      </w:r>
    </w:p>
  </w:footnote>
  <w:footnote w:id="8">
    <w:p w:rsidR="00C27B6C" w:rsidRPr="008B40A0" w:rsidRDefault="00C27B6C"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Ob. cit., p. 27.</w:t>
      </w:r>
    </w:p>
  </w:footnote>
  <w:footnote w:id="9">
    <w:p w:rsidR="00C27B6C" w:rsidRPr="008B40A0" w:rsidRDefault="00C27B6C"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Ob. cit., p. 71.</w:t>
      </w:r>
    </w:p>
  </w:footnote>
  <w:footnote w:id="10">
    <w:p w:rsidR="00B93D5F" w:rsidRPr="008B40A0" w:rsidRDefault="00B93D5F" w:rsidP="003538F5">
      <w:pPr>
        <w:autoSpaceDE w:val="0"/>
        <w:autoSpaceDN w:val="0"/>
        <w:adjustRightInd w:val="0"/>
        <w:spacing w:after="0" w:line="240" w:lineRule="auto"/>
        <w:jc w:val="both"/>
        <w:rPr>
          <w:rFonts w:ascii="Arial" w:eastAsiaTheme="minorHAnsi"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w:t>
      </w:r>
      <w:r w:rsidRPr="008B40A0">
        <w:rPr>
          <w:rFonts w:ascii="Arial" w:eastAsiaTheme="minorHAnsi" w:hAnsi="Arial" w:cs="Arial"/>
          <w:sz w:val="20"/>
          <w:szCs w:val="20"/>
        </w:rPr>
        <w:t xml:space="preserve">Sentís </w:t>
      </w:r>
      <w:proofErr w:type="spellStart"/>
      <w:r w:rsidRPr="008B40A0">
        <w:rPr>
          <w:rFonts w:ascii="Arial" w:eastAsiaTheme="minorHAnsi" w:hAnsi="Arial" w:cs="Arial"/>
          <w:sz w:val="20"/>
          <w:szCs w:val="20"/>
        </w:rPr>
        <w:t>Melendo</w:t>
      </w:r>
      <w:proofErr w:type="spellEnd"/>
      <w:r w:rsidRPr="008B40A0">
        <w:rPr>
          <w:rFonts w:ascii="Arial" w:eastAsiaTheme="minorHAnsi" w:hAnsi="Arial" w:cs="Arial"/>
          <w:sz w:val="20"/>
          <w:szCs w:val="20"/>
        </w:rPr>
        <w:t xml:space="preserve">, Santiago, </w:t>
      </w:r>
      <w:r w:rsidRPr="008B40A0">
        <w:rPr>
          <w:rFonts w:ascii="Arial" w:eastAsiaTheme="minorHAnsi" w:hAnsi="Arial" w:cs="Arial"/>
          <w:i/>
          <w:sz w:val="20"/>
          <w:szCs w:val="20"/>
        </w:rPr>
        <w:t>Fuentes y medios de prueba</w:t>
      </w:r>
      <w:r w:rsidRPr="008B40A0">
        <w:rPr>
          <w:rFonts w:ascii="Arial" w:eastAsiaTheme="minorHAnsi" w:hAnsi="Arial" w:cs="Arial"/>
          <w:sz w:val="20"/>
          <w:szCs w:val="20"/>
        </w:rPr>
        <w:t>, Revista Argentina de Derecho Procesal, N° 02, La Ley 1968</w:t>
      </w:r>
      <w:r w:rsidRPr="008B40A0">
        <w:rPr>
          <w:rFonts w:ascii="Arial" w:hAnsi="Arial" w:cs="Arial"/>
          <w:sz w:val="20"/>
          <w:szCs w:val="20"/>
        </w:rPr>
        <w:t>.</w:t>
      </w:r>
    </w:p>
  </w:footnote>
  <w:footnote w:id="11">
    <w:p w:rsidR="00B702E6" w:rsidRPr="008B40A0" w:rsidRDefault="00B702E6" w:rsidP="003538F5">
      <w:pPr>
        <w:autoSpaceDE w:val="0"/>
        <w:autoSpaceDN w:val="0"/>
        <w:adjustRightInd w:val="0"/>
        <w:spacing w:after="0" w:line="240" w:lineRule="auto"/>
        <w:jc w:val="both"/>
        <w:rPr>
          <w:rFonts w:ascii="Arial" w:eastAsiaTheme="minorHAnsi"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Briseño Sierra, Humberto,</w:t>
      </w:r>
      <w:r w:rsidRPr="008B40A0">
        <w:rPr>
          <w:rFonts w:ascii="Arial" w:eastAsiaTheme="minorHAnsi" w:hAnsi="Arial" w:cs="Arial"/>
          <w:sz w:val="20"/>
          <w:szCs w:val="20"/>
        </w:rPr>
        <w:t xml:space="preserve"> </w:t>
      </w:r>
      <w:r w:rsidRPr="008B40A0">
        <w:rPr>
          <w:rFonts w:ascii="Arial" w:eastAsiaTheme="minorHAnsi" w:hAnsi="Arial" w:cs="Arial"/>
          <w:i/>
          <w:sz w:val="20"/>
          <w:szCs w:val="20"/>
        </w:rPr>
        <w:t>Derecho Procesal</w:t>
      </w:r>
      <w:r w:rsidRPr="008B40A0">
        <w:rPr>
          <w:rFonts w:ascii="Arial" w:eastAsiaTheme="minorHAnsi" w:hAnsi="Arial" w:cs="Arial"/>
          <w:sz w:val="20"/>
          <w:szCs w:val="20"/>
        </w:rPr>
        <w:t>, Vol. IV, México 1970, p. 387</w:t>
      </w:r>
      <w:r w:rsidRPr="008B40A0">
        <w:rPr>
          <w:rFonts w:ascii="Arial" w:hAnsi="Arial" w:cs="Arial"/>
          <w:sz w:val="20"/>
          <w:szCs w:val="20"/>
        </w:rPr>
        <w:t>.</w:t>
      </w:r>
    </w:p>
  </w:footnote>
  <w:footnote w:id="12">
    <w:p w:rsidR="00B93D5F" w:rsidRPr="008B40A0" w:rsidRDefault="00B93D5F"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Ob. cit., p. 137.</w:t>
      </w:r>
    </w:p>
  </w:footnote>
  <w:footnote w:id="13">
    <w:p w:rsidR="00B93D5F" w:rsidRPr="008B40A0" w:rsidRDefault="00B93D5F" w:rsidP="003538F5">
      <w:pPr>
        <w:pStyle w:val="Piedepgina"/>
        <w:rPr>
          <w:rFonts w:ascii="Arial" w:hAnsi="Arial" w:cs="Arial"/>
          <w:sz w:val="20"/>
          <w:szCs w:val="20"/>
        </w:rPr>
      </w:pPr>
      <w:r w:rsidRPr="008B40A0">
        <w:rPr>
          <w:rStyle w:val="Refdenotaalpie"/>
          <w:rFonts w:ascii="Arial" w:hAnsi="Arial" w:cs="Arial"/>
          <w:sz w:val="20"/>
          <w:szCs w:val="20"/>
        </w:rPr>
        <w:footnoteRef/>
      </w:r>
      <w:r w:rsidRPr="008B40A0">
        <w:rPr>
          <w:rFonts w:ascii="Arial" w:hAnsi="Arial" w:cs="Arial"/>
          <w:sz w:val="20"/>
          <w:szCs w:val="20"/>
        </w:rPr>
        <w:t xml:space="preserve"> Ob. cit., p. 397.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403"/>
    <w:rsid w:val="00061CC1"/>
    <w:rsid w:val="00062F1E"/>
    <w:rsid w:val="00072A9B"/>
    <w:rsid w:val="000B52D7"/>
    <w:rsid w:val="000B7494"/>
    <w:rsid w:val="000E6214"/>
    <w:rsid w:val="000F2D13"/>
    <w:rsid w:val="000F5196"/>
    <w:rsid w:val="00124264"/>
    <w:rsid w:val="001A1713"/>
    <w:rsid w:val="002026F1"/>
    <w:rsid w:val="00217DFB"/>
    <w:rsid w:val="002E1D99"/>
    <w:rsid w:val="00352355"/>
    <w:rsid w:val="00352AD7"/>
    <w:rsid w:val="003538F5"/>
    <w:rsid w:val="003905A0"/>
    <w:rsid w:val="00393957"/>
    <w:rsid w:val="003C1F5D"/>
    <w:rsid w:val="003E6EEC"/>
    <w:rsid w:val="003F01C9"/>
    <w:rsid w:val="003F55E3"/>
    <w:rsid w:val="0046756A"/>
    <w:rsid w:val="004B3A03"/>
    <w:rsid w:val="00572471"/>
    <w:rsid w:val="005908BF"/>
    <w:rsid w:val="005D777B"/>
    <w:rsid w:val="00600729"/>
    <w:rsid w:val="0063029B"/>
    <w:rsid w:val="006547E5"/>
    <w:rsid w:val="0066306C"/>
    <w:rsid w:val="00665EF9"/>
    <w:rsid w:val="00674D91"/>
    <w:rsid w:val="006753E2"/>
    <w:rsid w:val="006D2AC5"/>
    <w:rsid w:val="006D4225"/>
    <w:rsid w:val="00711EBA"/>
    <w:rsid w:val="00721CB2"/>
    <w:rsid w:val="00744B2E"/>
    <w:rsid w:val="0077240D"/>
    <w:rsid w:val="00893A47"/>
    <w:rsid w:val="008A1C10"/>
    <w:rsid w:val="008A7F6C"/>
    <w:rsid w:val="008B40A0"/>
    <w:rsid w:val="0095177F"/>
    <w:rsid w:val="00955822"/>
    <w:rsid w:val="0096744D"/>
    <w:rsid w:val="009E5E0F"/>
    <w:rsid w:val="00A44CEA"/>
    <w:rsid w:val="00A92A55"/>
    <w:rsid w:val="00AD0472"/>
    <w:rsid w:val="00AE7403"/>
    <w:rsid w:val="00AF113D"/>
    <w:rsid w:val="00B10D38"/>
    <w:rsid w:val="00B119FB"/>
    <w:rsid w:val="00B140E8"/>
    <w:rsid w:val="00B2424F"/>
    <w:rsid w:val="00B65522"/>
    <w:rsid w:val="00B702E6"/>
    <w:rsid w:val="00B73FF8"/>
    <w:rsid w:val="00B82E8D"/>
    <w:rsid w:val="00B93D5F"/>
    <w:rsid w:val="00BF43B3"/>
    <w:rsid w:val="00C27B6C"/>
    <w:rsid w:val="00CA67BC"/>
    <w:rsid w:val="00CB2FD5"/>
    <w:rsid w:val="00CF5CF9"/>
    <w:rsid w:val="00D64179"/>
    <w:rsid w:val="00D847B0"/>
    <w:rsid w:val="00DC27FF"/>
    <w:rsid w:val="00E3182B"/>
    <w:rsid w:val="00E41AF2"/>
    <w:rsid w:val="00E45ABA"/>
    <w:rsid w:val="00FA51C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403"/>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02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029B"/>
    <w:rPr>
      <w:rFonts w:ascii="Calibri" w:eastAsia="Calibri" w:hAnsi="Calibri" w:cs="Times New Roman"/>
    </w:rPr>
  </w:style>
  <w:style w:type="paragraph" w:styleId="Piedepgina">
    <w:name w:val="footer"/>
    <w:basedOn w:val="Normal"/>
    <w:link w:val="PiedepginaCar"/>
    <w:uiPriority w:val="99"/>
    <w:unhideWhenUsed/>
    <w:rsid w:val="006302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029B"/>
    <w:rPr>
      <w:rFonts w:ascii="Calibri" w:eastAsia="Calibri" w:hAnsi="Calibri" w:cs="Times New Roman"/>
    </w:rPr>
  </w:style>
  <w:style w:type="paragraph" w:styleId="Textodeglobo">
    <w:name w:val="Balloon Text"/>
    <w:basedOn w:val="Normal"/>
    <w:link w:val="TextodegloboCar"/>
    <w:uiPriority w:val="99"/>
    <w:semiHidden/>
    <w:unhideWhenUsed/>
    <w:rsid w:val="006302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029B"/>
    <w:rPr>
      <w:rFonts w:ascii="Tahoma" w:eastAsia="Calibri" w:hAnsi="Tahoma" w:cs="Tahoma"/>
      <w:sz w:val="16"/>
      <w:szCs w:val="16"/>
    </w:rPr>
  </w:style>
  <w:style w:type="paragraph" w:styleId="Textonotapie">
    <w:name w:val="footnote text"/>
    <w:aliases w:val="Footnote reference,FA Fu,Footnote Text Char Char Char Char Char,Footnote Text Char Char Char Char,Footnote Text Char Char Char, Car Car Car Car, Car Car Car Car Ca, Car Car Car Car Ca Car Car Car Car, Car Car Car Car Ca Car Car Car,fn, Ca"/>
    <w:basedOn w:val="Normal"/>
    <w:link w:val="TextonotapieCar"/>
    <w:semiHidden/>
    <w:qFormat/>
    <w:rsid w:val="002026F1"/>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reference Car,FA Fu Car,Footnote Text Char Char Char Char Char Car,Footnote Text Char Char Char Char Car,Footnote Text Char Char Char Car, Car Car Car Car Car, Car Car Car Car Ca Car, Car Car Car Car Ca Car Car Car Car Car"/>
    <w:basedOn w:val="Fuentedeprrafopredeter"/>
    <w:link w:val="Textonotapie"/>
    <w:semiHidden/>
    <w:rsid w:val="002026F1"/>
    <w:rPr>
      <w:rFonts w:ascii="Times New Roman" w:eastAsia="Times New Roman" w:hAnsi="Times New Roman" w:cs="Times New Roman"/>
      <w:sz w:val="20"/>
      <w:szCs w:val="20"/>
      <w:lang w:val="es-ES" w:eastAsia="es-ES"/>
    </w:rPr>
  </w:style>
  <w:style w:type="character" w:styleId="Refdenotaalpie">
    <w:name w:val="footnote reference"/>
    <w:aliases w:val="Ref,de nota al pie,Texto de nota al pie,Appel note de bas de page,Footnotes refss,Footnote number,referencia nota al pie,BVI fnr,f,4_G,16 Point,Superscript 6 Point,Texto nota al pie,Footnote Reference Char3"/>
    <w:semiHidden/>
    <w:rsid w:val="002026F1"/>
    <w:rPr>
      <w:vertAlign w:val="superscript"/>
    </w:rPr>
  </w:style>
  <w:style w:type="paragraph" w:styleId="Prrafodelista">
    <w:name w:val="List Paragraph"/>
    <w:basedOn w:val="Normal"/>
    <w:uiPriority w:val="34"/>
    <w:qFormat/>
    <w:rsid w:val="00E41AF2"/>
    <w:pPr>
      <w:ind w:left="720"/>
      <w:contextualSpacing/>
    </w:pPr>
  </w:style>
  <w:style w:type="character" w:styleId="Hipervnculo">
    <w:name w:val="Hyperlink"/>
    <w:basedOn w:val="Fuentedeprrafopredeter"/>
    <w:uiPriority w:val="99"/>
    <w:semiHidden/>
    <w:unhideWhenUsed/>
    <w:rsid w:val="00AF11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403"/>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02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029B"/>
    <w:rPr>
      <w:rFonts w:ascii="Calibri" w:eastAsia="Calibri" w:hAnsi="Calibri" w:cs="Times New Roman"/>
    </w:rPr>
  </w:style>
  <w:style w:type="paragraph" w:styleId="Piedepgina">
    <w:name w:val="footer"/>
    <w:basedOn w:val="Normal"/>
    <w:link w:val="PiedepginaCar"/>
    <w:uiPriority w:val="99"/>
    <w:unhideWhenUsed/>
    <w:rsid w:val="006302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029B"/>
    <w:rPr>
      <w:rFonts w:ascii="Calibri" w:eastAsia="Calibri" w:hAnsi="Calibri" w:cs="Times New Roman"/>
    </w:rPr>
  </w:style>
  <w:style w:type="paragraph" w:styleId="Textodeglobo">
    <w:name w:val="Balloon Text"/>
    <w:basedOn w:val="Normal"/>
    <w:link w:val="TextodegloboCar"/>
    <w:uiPriority w:val="99"/>
    <w:semiHidden/>
    <w:unhideWhenUsed/>
    <w:rsid w:val="006302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029B"/>
    <w:rPr>
      <w:rFonts w:ascii="Tahoma" w:eastAsia="Calibri" w:hAnsi="Tahoma" w:cs="Tahoma"/>
      <w:sz w:val="16"/>
      <w:szCs w:val="16"/>
    </w:rPr>
  </w:style>
  <w:style w:type="paragraph" w:styleId="Textonotapie">
    <w:name w:val="footnote text"/>
    <w:aliases w:val="Footnote reference,FA Fu,Footnote Text Char Char Char Char Char,Footnote Text Char Char Char Char,Footnote Text Char Char Char, Car Car Car Car, Car Car Car Car Ca, Car Car Car Car Ca Car Car Car Car, Car Car Car Car Ca Car Car Car,fn, Ca"/>
    <w:basedOn w:val="Normal"/>
    <w:link w:val="TextonotapieCar"/>
    <w:semiHidden/>
    <w:qFormat/>
    <w:rsid w:val="002026F1"/>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reference Car,FA Fu Car,Footnote Text Char Char Char Char Char Car,Footnote Text Char Char Char Char Car,Footnote Text Char Char Char Car, Car Car Car Car Car, Car Car Car Car Ca Car, Car Car Car Car Ca Car Car Car Car Car"/>
    <w:basedOn w:val="Fuentedeprrafopredeter"/>
    <w:link w:val="Textonotapie"/>
    <w:semiHidden/>
    <w:rsid w:val="002026F1"/>
    <w:rPr>
      <w:rFonts w:ascii="Times New Roman" w:eastAsia="Times New Roman" w:hAnsi="Times New Roman" w:cs="Times New Roman"/>
      <w:sz w:val="20"/>
      <w:szCs w:val="20"/>
      <w:lang w:val="es-ES" w:eastAsia="es-ES"/>
    </w:rPr>
  </w:style>
  <w:style w:type="character" w:styleId="Refdenotaalpie">
    <w:name w:val="footnote reference"/>
    <w:aliases w:val="Ref,de nota al pie,Texto de nota al pie,Appel note de bas de page,Footnotes refss,Footnote number,referencia nota al pie,BVI fnr,f,4_G,16 Point,Superscript 6 Point,Texto nota al pie,Footnote Reference Char3"/>
    <w:semiHidden/>
    <w:rsid w:val="002026F1"/>
    <w:rPr>
      <w:vertAlign w:val="superscript"/>
    </w:rPr>
  </w:style>
  <w:style w:type="paragraph" w:styleId="Prrafodelista">
    <w:name w:val="List Paragraph"/>
    <w:basedOn w:val="Normal"/>
    <w:uiPriority w:val="34"/>
    <w:qFormat/>
    <w:rsid w:val="00E41AF2"/>
    <w:pPr>
      <w:ind w:left="720"/>
      <w:contextualSpacing/>
    </w:pPr>
  </w:style>
  <w:style w:type="character" w:styleId="Hipervnculo">
    <w:name w:val="Hyperlink"/>
    <w:basedOn w:val="Fuentedeprrafopredeter"/>
    <w:uiPriority w:val="99"/>
    <w:semiHidden/>
    <w:unhideWhenUsed/>
    <w:rsid w:val="00AF11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12</Pages>
  <Words>5178</Words>
  <Characters>28479</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dc:creator>
  <cp:lastModifiedBy>JP</cp:lastModifiedBy>
  <cp:revision>3</cp:revision>
  <cp:lastPrinted>2023-10-30T17:54:00Z</cp:lastPrinted>
  <dcterms:created xsi:type="dcterms:W3CDTF">2023-10-30T15:23:00Z</dcterms:created>
  <dcterms:modified xsi:type="dcterms:W3CDTF">2023-10-30T17:54:00Z</dcterms:modified>
</cp:coreProperties>
</file>