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75E" w:rsidRDefault="00DB175E" w:rsidP="00262485">
      <w:pPr>
        <w:jc w:val="center"/>
        <w:rPr>
          <w:rFonts w:ascii="Times New Roman" w:eastAsia="Times New Roman" w:hAnsi="Times New Roman" w:cs="Times New Roman"/>
          <w:bCs/>
          <w:smallCaps/>
          <w:spacing w:val="-3"/>
          <w:szCs w:val="24"/>
          <w:lang w:val="es-CO" w:eastAsia="es-AR"/>
        </w:rPr>
      </w:pPr>
    </w:p>
    <w:p w:rsidR="0018068E" w:rsidRDefault="0018068E" w:rsidP="00262485">
      <w:pPr>
        <w:jc w:val="center"/>
        <w:rPr>
          <w:rFonts w:ascii="Times New Roman" w:eastAsia="Times New Roman" w:hAnsi="Times New Roman" w:cs="Times New Roman"/>
          <w:bCs/>
          <w:smallCaps/>
          <w:spacing w:val="-3"/>
          <w:szCs w:val="24"/>
          <w:lang w:val="es-CO" w:eastAsia="es-AR"/>
        </w:rPr>
      </w:pPr>
      <w:r w:rsidRPr="0018068E">
        <w:rPr>
          <w:rFonts w:ascii="Times New Roman" w:eastAsia="Times New Roman" w:hAnsi="Times New Roman" w:cs="Times New Roman"/>
          <w:bCs/>
          <w:smallCaps/>
          <w:spacing w:val="-3"/>
          <w:szCs w:val="24"/>
          <w:lang w:val="es-CO" w:eastAsia="es-AR"/>
        </w:rPr>
        <w:t xml:space="preserve">XVII CONGRESO NACIONAL </w:t>
      </w:r>
    </w:p>
    <w:p w:rsidR="0018068E" w:rsidRDefault="0018068E" w:rsidP="00262485">
      <w:pPr>
        <w:jc w:val="center"/>
        <w:rPr>
          <w:rFonts w:ascii="Times New Roman" w:eastAsia="Times New Roman" w:hAnsi="Times New Roman" w:cs="Times New Roman"/>
          <w:bCs/>
          <w:smallCaps/>
          <w:spacing w:val="-3"/>
          <w:szCs w:val="24"/>
          <w:lang w:val="es-CO" w:eastAsia="es-AR"/>
        </w:rPr>
      </w:pPr>
      <w:r w:rsidRPr="0018068E">
        <w:rPr>
          <w:rFonts w:ascii="Times New Roman" w:eastAsia="Times New Roman" w:hAnsi="Times New Roman" w:cs="Times New Roman"/>
          <w:bCs/>
          <w:smallCaps/>
          <w:spacing w:val="-3"/>
          <w:szCs w:val="24"/>
          <w:lang w:val="es-CO" w:eastAsia="es-AR"/>
        </w:rPr>
        <w:t xml:space="preserve">DE DERECHO PROCESAL </w:t>
      </w:r>
    </w:p>
    <w:p w:rsidR="0018068E" w:rsidRDefault="0018068E" w:rsidP="00262485">
      <w:pPr>
        <w:jc w:val="center"/>
        <w:rPr>
          <w:rFonts w:ascii="Times New Roman" w:eastAsia="Times New Roman" w:hAnsi="Times New Roman" w:cs="Times New Roman"/>
          <w:bCs/>
          <w:smallCaps/>
          <w:spacing w:val="-3"/>
          <w:szCs w:val="24"/>
          <w:lang w:val="es-CO" w:eastAsia="es-AR"/>
        </w:rPr>
      </w:pPr>
      <w:r w:rsidRPr="0018068E">
        <w:rPr>
          <w:rFonts w:ascii="Times New Roman" w:eastAsia="Times New Roman" w:hAnsi="Times New Roman" w:cs="Times New Roman"/>
          <w:bCs/>
          <w:smallCaps/>
          <w:spacing w:val="-3"/>
          <w:szCs w:val="24"/>
          <w:lang w:val="es-CO" w:eastAsia="es-AR"/>
        </w:rPr>
        <w:t>GARANTISTA 2022</w:t>
      </w:r>
    </w:p>
    <w:p w:rsidR="0018068E" w:rsidRPr="00DB175E" w:rsidRDefault="00DB175E" w:rsidP="00B57E15">
      <w:pPr>
        <w:ind w:firstLine="567"/>
        <w:rPr>
          <w:rFonts w:ascii="Times New Roman" w:eastAsia="Times New Roman" w:hAnsi="Times New Roman" w:cs="Times New Roman"/>
          <w:bCs/>
          <w:i/>
          <w:spacing w:val="-3"/>
          <w:szCs w:val="24"/>
          <w:lang w:val="es-CO" w:eastAsia="es-AR"/>
        </w:rPr>
      </w:pPr>
      <w:r w:rsidRPr="00DB175E">
        <w:rPr>
          <w:rFonts w:ascii="Times New Roman" w:eastAsia="Times New Roman" w:hAnsi="Times New Roman" w:cs="Times New Roman"/>
          <w:bCs/>
          <w:i/>
          <w:spacing w:val="-3"/>
          <w:szCs w:val="24"/>
          <w:lang w:val="es-CO" w:eastAsia="es-AR"/>
        </w:rPr>
        <w:tab/>
      </w:r>
      <w:r w:rsidRPr="00DB175E">
        <w:rPr>
          <w:rFonts w:ascii="Times New Roman" w:eastAsia="Times New Roman" w:hAnsi="Times New Roman" w:cs="Times New Roman"/>
          <w:bCs/>
          <w:i/>
          <w:spacing w:val="-3"/>
          <w:szCs w:val="24"/>
          <w:lang w:val="es-CO" w:eastAsia="es-AR"/>
        </w:rPr>
        <w:tab/>
      </w:r>
      <w:r w:rsidRPr="00DB175E">
        <w:rPr>
          <w:rFonts w:ascii="Times New Roman" w:eastAsia="Times New Roman" w:hAnsi="Times New Roman" w:cs="Times New Roman"/>
          <w:bCs/>
          <w:i/>
          <w:spacing w:val="-3"/>
          <w:szCs w:val="24"/>
          <w:lang w:val="es-CO" w:eastAsia="es-AR"/>
        </w:rPr>
        <w:tab/>
      </w:r>
      <w:r w:rsidRPr="00DB175E">
        <w:rPr>
          <w:rFonts w:ascii="Times New Roman" w:eastAsia="Times New Roman" w:hAnsi="Times New Roman" w:cs="Times New Roman"/>
          <w:bCs/>
          <w:i/>
          <w:spacing w:val="-3"/>
          <w:szCs w:val="24"/>
          <w:lang w:val="es-CO" w:eastAsia="es-AR"/>
        </w:rPr>
        <w:tab/>
      </w:r>
      <w:r w:rsidRPr="00DB175E">
        <w:rPr>
          <w:rFonts w:ascii="Times New Roman" w:eastAsia="Times New Roman" w:hAnsi="Times New Roman" w:cs="Times New Roman"/>
          <w:bCs/>
          <w:i/>
          <w:spacing w:val="-3"/>
          <w:szCs w:val="24"/>
          <w:lang w:val="es-CO" w:eastAsia="es-AR"/>
        </w:rPr>
        <w:tab/>
      </w:r>
      <w:r w:rsidRPr="00DB175E">
        <w:rPr>
          <w:rFonts w:ascii="Times New Roman" w:eastAsia="Times New Roman" w:hAnsi="Times New Roman" w:cs="Times New Roman"/>
          <w:bCs/>
          <w:i/>
          <w:spacing w:val="-3"/>
          <w:szCs w:val="24"/>
          <w:lang w:val="es-CO" w:eastAsia="es-AR"/>
        </w:rPr>
        <w:tab/>
      </w:r>
    </w:p>
    <w:p w:rsidR="0018068E" w:rsidRDefault="0018068E" w:rsidP="0018068E">
      <w:pPr>
        <w:ind w:firstLine="567"/>
        <w:jc w:val="center"/>
        <w:rPr>
          <w:rFonts w:ascii="Times New Roman" w:eastAsia="Times New Roman" w:hAnsi="Times New Roman" w:cs="Times New Roman"/>
          <w:b w:val="0"/>
          <w:bCs/>
          <w:smallCaps/>
          <w:spacing w:val="-3"/>
          <w:szCs w:val="24"/>
          <w:u w:val="single"/>
          <w:lang w:val="es-CO" w:eastAsia="es-AR"/>
        </w:rPr>
      </w:pPr>
      <w:r w:rsidRPr="0018068E">
        <w:rPr>
          <w:rFonts w:ascii="Times New Roman" w:eastAsia="Times New Roman" w:hAnsi="Times New Roman" w:cs="Times New Roman"/>
          <w:b w:val="0"/>
          <w:bCs/>
          <w:smallCaps/>
          <w:spacing w:val="-3"/>
          <w:szCs w:val="24"/>
          <w:u w:val="single"/>
          <w:lang w:val="es-CO" w:eastAsia="es-AR"/>
        </w:rPr>
        <w:t>El acceso a</w:t>
      </w:r>
      <w:r>
        <w:rPr>
          <w:rFonts w:ascii="Times New Roman" w:eastAsia="Times New Roman" w:hAnsi="Times New Roman" w:cs="Times New Roman"/>
          <w:b w:val="0"/>
          <w:bCs/>
          <w:smallCaps/>
          <w:spacing w:val="-3"/>
          <w:szCs w:val="24"/>
          <w:u w:val="single"/>
          <w:lang w:val="es-CO" w:eastAsia="es-AR"/>
        </w:rPr>
        <w:t>l proceso</w:t>
      </w:r>
      <w:r w:rsidRPr="0018068E">
        <w:rPr>
          <w:rFonts w:ascii="Times New Roman" w:eastAsia="Times New Roman" w:hAnsi="Times New Roman" w:cs="Times New Roman"/>
          <w:b w:val="0"/>
          <w:bCs/>
          <w:smallCaps/>
          <w:spacing w:val="-3"/>
          <w:szCs w:val="24"/>
          <w:u w:val="single"/>
          <w:lang w:val="es-CO" w:eastAsia="es-AR"/>
        </w:rPr>
        <w:t xml:space="preserve"> en los juicios contra el estado</w:t>
      </w:r>
    </w:p>
    <w:p w:rsidR="008F7A31" w:rsidRDefault="008F7A31" w:rsidP="000D029A">
      <w:pPr>
        <w:ind w:firstLine="567"/>
        <w:rPr>
          <w:rFonts w:ascii="Times New Roman" w:eastAsia="Times New Roman" w:hAnsi="Times New Roman" w:cs="Times New Roman"/>
          <w:b w:val="0"/>
          <w:bCs/>
          <w:spacing w:val="-3"/>
          <w:szCs w:val="24"/>
          <w:lang w:val="es-CO" w:eastAsia="es-AR"/>
        </w:rPr>
      </w:pPr>
    </w:p>
    <w:p w:rsidR="00C44F15"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 xml:space="preserve">Cuando en el título expreso </w:t>
      </w:r>
      <w:r w:rsidRPr="000D029A">
        <w:rPr>
          <w:rFonts w:ascii="Times New Roman" w:eastAsia="Times New Roman" w:hAnsi="Times New Roman" w:cs="Times New Roman"/>
          <w:b w:val="0"/>
          <w:bCs/>
          <w:i/>
          <w:spacing w:val="-3"/>
          <w:szCs w:val="24"/>
          <w:lang w:val="es-CO" w:eastAsia="es-AR"/>
        </w:rPr>
        <w:t>acceso al proceso</w:t>
      </w:r>
      <w:r w:rsidRPr="000D029A">
        <w:rPr>
          <w:rFonts w:ascii="Times New Roman" w:eastAsia="Times New Roman" w:hAnsi="Times New Roman" w:cs="Times New Roman"/>
          <w:b w:val="0"/>
          <w:bCs/>
          <w:spacing w:val="-3"/>
          <w:szCs w:val="24"/>
          <w:lang w:val="es-CO" w:eastAsia="es-AR"/>
        </w:rPr>
        <w:t xml:space="preserve"> me ref</w:t>
      </w:r>
      <w:r>
        <w:rPr>
          <w:rFonts w:ascii="Times New Roman" w:eastAsia="Times New Roman" w:hAnsi="Times New Roman" w:cs="Times New Roman"/>
          <w:b w:val="0"/>
          <w:bCs/>
          <w:spacing w:val="-3"/>
          <w:szCs w:val="24"/>
          <w:lang w:val="es-CO" w:eastAsia="es-AR"/>
        </w:rPr>
        <w:t>i</w:t>
      </w:r>
      <w:r w:rsidRPr="000D029A">
        <w:rPr>
          <w:rFonts w:ascii="Times New Roman" w:eastAsia="Times New Roman" w:hAnsi="Times New Roman" w:cs="Times New Roman"/>
          <w:b w:val="0"/>
          <w:bCs/>
          <w:spacing w:val="-3"/>
          <w:szCs w:val="24"/>
          <w:lang w:val="es-CO" w:eastAsia="es-AR"/>
        </w:rPr>
        <w:t xml:space="preserve">ero en términos alvaradianos a lo que habitualmente se denomina </w:t>
      </w:r>
      <w:r w:rsidRPr="000D029A">
        <w:rPr>
          <w:rFonts w:ascii="Times New Roman" w:eastAsia="Times New Roman" w:hAnsi="Times New Roman" w:cs="Times New Roman"/>
          <w:b w:val="0"/>
          <w:bCs/>
          <w:i/>
          <w:spacing w:val="-3"/>
          <w:szCs w:val="24"/>
          <w:lang w:val="es-CO" w:eastAsia="es-AR"/>
        </w:rPr>
        <w:t>acceso a la justicia</w:t>
      </w:r>
      <w:r w:rsidRPr="000D029A">
        <w:rPr>
          <w:rFonts w:ascii="Times New Roman" w:eastAsia="Times New Roman" w:hAnsi="Times New Roman" w:cs="Times New Roman"/>
          <w:b w:val="0"/>
          <w:bCs/>
          <w:spacing w:val="-3"/>
          <w:szCs w:val="24"/>
          <w:lang w:val="es-CO" w:eastAsia="es-AR"/>
        </w:rPr>
        <w:t xml:space="preserve">, que no es más ni menos </w:t>
      </w:r>
      <w:r w:rsidR="00D01573">
        <w:rPr>
          <w:rFonts w:ascii="Times New Roman" w:eastAsia="Times New Roman" w:hAnsi="Times New Roman" w:cs="Times New Roman"/>
          <w:b w:val="0"/>
          <w:bCs/>
          <w:spacing w:val="-3"/>
          <w:szCs w:val="24"/>
          <w:lang w:val="es-CO" w:eastAsia="es-AR"/>
        </w:rPr>
        <w:t xml:space="preserve">que el acceso al </w:t>
      </w:r>
      <w:r w:rsidR="00D01573" w:rsidRPr="00D01573">
        <w:rPr>
          <w:rFonts w:ascii="Times New Roman" w:eastAsia="Times New Roman" w:hAnsi="Times New Roman" w:cs="Times New Roman"/>
          <w:b w:val="0"/>
          <w:bCs/>
          <w:spacing w:val="-3"/>
          <w:szCs w:val="24"/>
          <w:lang w:val="es-CO" w:eastAsia="es-AR"/>
        </w:rPr>
        <w:t>debido proceso</w:t>
      </w:r>
      <w:r w:rsidR="00D01573">
        <w:rPr>
          <w:rFonts w:ascii="Times New Roman" w:eastAsia="Times New Roman" w:hAnsi="Times New Roman" w:cs="Times New Roman"/>
          <w:b w:val="0"/>
          <w:bCs/>
          <w:spacing w:val="-3"/>
          <w:szCs w:val="24"/>
          <w:lang w:val="es-CO" w:eastAsia="es-AR"/>
        </w:rPr>
        <w:t xml:space="preserve"> regido por </w:t>
      </w:r>
      <w:r w:rsidRPr="000D029A">
        <w:rPr>
          <w:rFonts w:ascii="Times New Roman" w:eastAsia="Times New Roman" w:hAnsi="Times New Roman" w:cs="Times New Roman"/>
          <w:b w:val="0"/>
          <w:bCs/>
          <w:spacing w:val="-3"/>
          <w:szCs w:val="24"/>
          <w:lang w:val="es-CO" w:eastAsia="es-AR"/>
        </w:rPr>
        <w:t>sus principios fundamentales</w:t>
      </w:r>
      <w:r w:rsidR="003E1D90">
        <w:rPr>
          <w:rStyle w:val="Refdenotaalpie"/>
          <w:rFonts w:ascii="Times New Roman" w:eastAsia="Times New Roman" w:hAnsi="Times New Roman" w:cs="Times New Roman"/>
          <w:b w:val="0"/>
          <w:bCs/>
          <w:spacing w:val="-3"/>
          <w:szCs w:val="24"/>
          <w:lang w:val="es-CO" w:eastAsia="es-AR"/>
        </w:rPr>
        <w:footnoteReference w:id="1"/>
      </w:r>
      <w:r w:rsidRPr="000D029A">
        <w:rPr>
          <w:rFonts w:ascii="Times New Roman" w:eastAsia="Times New Roman" w:hAnsi="Times New Roman" w:cs="Times New Roman"/>
          <w:b w:val="0"/>
          <w:bCs/>
          <w:spacing w:val="-3"/>
          <w:szCs w:val="24"/>
          <w:lang w:val="es-CO" w:eastAsia="es-AR"/>
        </w:rPr>
        <w:t xml:space="preserve"> y la posibilidad cierta de su conclusión mediante el dictado de una sentencia definitiva que resuelva el litigio y el conflicto que en </w:t>
      </w:r>
      <w:r>
        <w:rPr>
          <w:rFonts w:ascii="Times New Roman" w:eastAsia="Times New Roman" w:hAnsi="Times New Roman" w:cs="Times New Roman"/>
          <w:b w:val="0"/>
          <w:bCs/>
          <w:spacing w:val="-3"/>
          <w:szCs w:val="24"/>
          <w:lang w:val="es-CO" w:eastAsia="es-AR"/>
        </w:rPr>
        <w:t>é</w:t>
      </w:r>
      <w:r w:rsidRPr="000D029A">
        <w:rPr>
          <w:rFonts w:ascii="Times New Roman" w:eastAsia="Times New Roman" w:hAnsi="Times New Roman" w:cs="Times New Roman"/>
          <w:b w:val="0"/>
          <w:bCs/>
          <w:spacing w:val="-3"/>
          <w:szCs w:val="24"/>
          <w:lang w:val="es-CO" w:eastAsia="es-AR"/>
        </w:rPr>
        <w:t>l subyace</w:t>
      </w:r>
      <w:r w:rsidR="00C44F15">
        <w:rPr>
          <w:rFonts w:ascii="Times New Roman" w:eastAsia="Times New Roman" w:hAnsi="Times New Roman" w:cs="Times New Roman"/>
          <w:b w:val="0"/>
          <w:bCs/>
          <w:spacing w:val="-3"/>
          <w:szCs w:val="24"/>
          <w:lang w:val="es-CO" w:eastAsia="es-AR"/>
        </w:rPr>
        <w:t xml:space="preserve">, sin perjuicio de encontrarse una solución </w:t>
      </w:r>
      <w:r w:rsidR="00C44F15" w:rsidRPr="000D029A">
        <w:rPr>
          <w:rFonts w:ascii="Times New Roman" w:eastAsia="Times New Roman" w:hAnsi="Times New Roman" w:cs="Times New Roman"/>
          <w:b w:val="0"/>
          <w:bCs/>
          <w:spacing w:val="-3"/>
          <w:szCs w:val="24"/>
          <w:lang w:val="es-CO" w:eastAsia="es-AR"/>
        </w:rPr>
        <w:t xml:space="preserve">mediante </w:t>
      </w:r>
      <w:r w:rsidR="00C44F15">
        <w:rPr>
          <w:rFonts w:ascii="Times New Roman" w:eastAsia="Times New Roman" w:hAnsi="Times New Roman" w:cs="Times New Roman"/>
          <w:b w:val="0"/>
          <w:bCs/>
          <w:spacing w:val="-3"/>
          <w:szCs w:val="24"/>
          <w:lang w:val="es-CO" w:eastAsia="es-AR"/>
        </w:rPr>
        <w:t xml:space="preserve">los denominados </w:t>
      </w:r>
      <w:r w:rsidR="00C44F15" w:rsidRPr="00C44F15">
        <w:rPr>
          <w:rFonts w:ascii="Times New Roman" w:eastAsia="Times New Roman" w:hAnsi="Times New Roman" w:cs="Times New Roman"/>
          <w:b w:val="0"/>
          <w:bCs/>
          <w:i/>
          <w:spacing w:val="-3"/>
          <w:szCs w:val="24"/>
          <w:lang w:val="es-CO" w:eastAsia="es-AR"/>
        </w:rPr>
        <w:t>métodos alternativos</w:t>
      </w:r>
      <w:r w:rsidR="00C44F15" w:rsidRPr="000D029A">
        <w:rPr>
          <w:rFonts w:ascii="Times New Roman" w:eastAsia="Times New Roman" w:hAnsi="Times New Roman" w:cs="Times New Roman"/>
          <w:b w:val="0"/>
          <w:bCs/>
          <w:spacing w:val="-3"/>
          <w:szCs w:val="24"/>
          <w:lang w:val="es-CO" w:eastAsia="es-AR"/>
        </w:rPr>
        <w:t xml:space="preserve"> </w:t>
      </w:r>
      <w:r w:rsidR="00C44F15">
        <w:rPr>
          <w:rFonts w:ascii="Times New Roman" w:eastAsia="Times New Roman" w:hAnsi="Times New Roman" w:cs="Times New Roman"/>
          <w:b w:val="0"/>
          <w:bCs/>
          <w:spacing w:val="-3"/>
          <w:szCs w:val="24"/>
          <w:lang w:val="es-CO" w:eastAsia="es-AR"/>
        </w:rPr>
        <w:t xml:space="preserve">de resolución, </w:t>
      </w:r>
      <w:r>
        <w:rPr>
          <w:rFonts w:ascii="Times New Roman" w:eastAsia="Times New Roman" w:hAnsi="Times New Roman" w:cs="Times New Roman"/>
          <w:b w:val="0"/>
          <w:bCs/>
          <w:spacing w:val="-3"/>
          <w:szCs w:val="24"/>
          <w:lang w:val="es-CO" w:eastAsia="es-AR"/>
        </w:rPr>
        <w:t>a veces incluso</w:t>
      </w:r>
      <w:r w:rsidR="00C44F15">
        <w:rPr>
          <w:rFonts w:ascii="Times New Roman" w:eastAsia="Times New Roman" w:hAnsi="Times New Roman" w:cs="Times New Roman"/>
          <w:b w:val="0"/>
          <w:bCs/>
          <w:spacing w:val="-3"/>
          <w:szCs w:val="24"/>
          <w:lang w:val="es-CO" w:eastAsia="es-AR"/>
        </w:rPr>
        <w:t xml:space="preserve"> de mayor eficacia que la sentencia.</w:t>
      </w:r>
    </w:p>
    <w:p w:rsidR="000D029A" w:rsidRPr="000D029A"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 xml:space="preserve">Siguiendo a </w:t>
      </w:r>
      <w:r w:rsidRPr="000D029A">
        <w:rPr>
          <w:rFonts w:ascii="Times New Roman" w:eastAsia="Times New Roman" w:hAnsi="Times New Roman" w:cs="Times New Roman"/>
          <w:b w:val="0"/>
          <w:bCs/>
          <w:smallCaps/>
          <w:spacing w:val="-3"/>
          <w:szCs w:val="24"/>
          <w:lang w:val="es-CO" w:eastAsia="es-AR"/>
        </w:rPr>
        <w:t>Hutchinson</w:t>
      </w:r>
      <w:r w:rsidR="002C78C8">
        <w:rPr>
          <w:rFonts w:ascii="Times New Roman" w:eastAsia="Times New Roman" w:hAnsi="Times New Roman" w:cs="Times New Roman"/>
          <w:b w:val="0"/>
          <w:bCs/>
          <w:smallCaps/>
          <w:spacing w:val="-3"/>
          <w:szCs w:val="24"/>
          <w:lang w:val="es-CO" w:eastAsia="es-AR"/>
        </w:rPr>
        <w:t>,</w:t>
      </w:r>
      <w:r w:rsidRPr="000D029A">
        <w:rPr>
          <w:rFonts w:ascii="Times New Roman" w:eastAsia="Times New Roman" w:hAnsi="Times New Roman" w:cs="Times New Roman"/>
          <w:b w:val="0"/>
          <w:bCs/>
          <w:spacing w:val="-3"/>
          <w:szCs w:val="24"/>
          <w:lang w:val="es-CO" w:eastAsia="es-AR"/>
        </w:rPr>
        <w:t xml:space="preserve"> debido proceso y tutela judicial efectiva constituyen términos equivalentes, </w:t>
      </w:r>
      <w:r w:rsidR="00127EFB">
        <w:rPr>
          <w:rFonts w:ascii="Times New Roman" w:eastAsia="Times New Roman" w:hAnsi="Times New Roman" w:cs="Times New Roman"/>
          <w:b w:val="0"/>
          <w:bCs/>
          <w:spacing w:val="-3"/>
          <w:szCs w:val="24"/>
          <w:lang w:val="es-CO" w:eastAsia="es-AR"/>
        </w:rPr>
        <w:t xml:space="preserve">y en cuanto a su </w:t>
      </w:r>
      <w:r w:rsidRPr="000D029A">
        <w:rPr>
          <w:rFonts w:ascii="Times New Roman" w:eastAsia="Times New Roman" w:hAnsi="Times New Roman" w:cs="Times New Roman"/>
          <w:b w:val="0"/>
          <w:bCs/>
          <w:spacing w:val="-3"/>
          <w:szCs w:val="24"/>
          <w:lang w:val="es-CO" w:eastAsia="es-AR"/>
        </w:rPr>
        <w:t>contenido “...</w:t>
      </w:r>
      <w:r w:rsidR="00455ADC">
        <w:rPr>
          <w:rFonts w:ascii="Times New Roman" w:eastAsia="Times New Roman" w:hAnsi="Times New Roman" w:cs="Times New Roman"/>
          <w:b w:val="0"/>
          <w:bCs/>
          <w:spacing w:val="-3"/>
          <w:szCs w:val="24"/>
          <w:lang w:val="es-CO" w:eastAsia="es-AR"/>
        </w:rPr>
        <w:t xml:space="preserve"> </w:t>
      </w:r>
      <w:r w:rsidRPr="00455ADC">
        <w:rPr>
          <w:rFonts w:ascii="Times New Roman" w:eastAsia="Times New Roman" w:hAnsi="Times New Roman" w:cs="Times New Roman"/>
          <w:b w:val="0"/>
          <w:bCs/>
          <w:i/>
          <w:spacing w:val="-3"/>
          <w:szCs w:val="24"/>
          <w:lang w:val="es-CO" w:eastAsia="es-AR"/>
        </w:rPr>
        <w:t>el derecho que analizamos es muy vasto, ya que despliega sus efectos en tres momentos distintos: primero, al acceder a la justicia; segundo durante el desarrollo del proceso, y finalmente, al tiempo de ejecutarse la sentencia</w:t>
      </w:r>
      <w:r w:rsidRPr="000D029A">
        <w:rPr>
          <w:rFonts w:ascii="Times New Roman" w:eastAsia="Times New Roman" w:hAnsi="Times New Roman" w:cs="Times New Roman"/>
          <w:b w:val="0"/>
          <w:bCs/>
          <w:spacing w:val="-3"/>
          <w:szCs w:val="24"/>
          <w:lang w:val="es-CO" w:eastAsia="es-AR"/>
        </w:rPr>
        <w:t>…”.</w:t>
      </w:r>
      <w:r w:rsidR="00455ADC">
        <w:rPr>
          <w:rStyle w:val="Refdenotaalpie"/>
          <w:rFonts w:ascii="Times New Roman" w:eastAsia="Times New Roman" w:hAnsi="Times New Roman" w:cs="Times New Roman"/>
          <w:b w:val="0"/>
          <w:bCs/>
          <w:spacing w:val="-3"/>
          <w:szCs w:val="24"/>
          <w:lang w:val="es-CO" w:eastAsia="es-AR"/>
        </w:rPr>
        <w:footnoteReference w:id="2"/>
      </w:r>
      <w:r w:rsidRPr="000D029A">
        <w:rPr>
          <w:rFonts w:ascii="Times New Roman" w:eastAsia="Times New Roman" w:hAnsi="Times New Roman" w:cs="Times New Roman"/>
          <w:b w:val="0"/>
          <w:bCs/>
          <w:spacing w:val="-3"/>
          <w:szCs w:val="24"/>
          <w:lang w:val="es-CO" w:eastAsia="es-AR"/>
        </w:rPr>
        <w:t xml:space="preserve"> </w:t>
      </w:r>
      <w:r w:rsidR="008A6F7A">
        <w:rPr>
          <w:rFonts w:ascii="Times New Roman" w:eastAsia="Times New Roman" w:hAnsi="Times New Roman" w:cs="Times New Roman"/>
          <w:b w:val="0"/>
          <w:bCs/>
          <w:spacing w:val="-3"/>
          <w:szCs w:val="24"/>
          <w:lang w:val="es-CO" w:eastAsia="es-AR"/>
        </w:rPr>
        <w:t>Este derecho incluye, entre otros, el de impugnar la sentencia definitiva.</w:t>
      </w:r>
      <w:r w:rsidR="00127EFB">
        <w:rPr>
          <w:rStyle w:val="Refdenotaalpie"/>
          <w:rFonts w:ascii="Times New Roman" w:eastAsia="Times New Roman" w:hAnsi="Times New Roman" w:cs="Times New Roman"/>
          <w:b w:val="0"/>
          <w:bCs/>
          <w:spacing w:val="-3"/>
          <w:szCs w:val="24"/>
          <w:lang w:val="es-CO" w:eastAsia="es-AR"/>
        </w:rPr>
        <w:footnoteReference w:id="3"/>
      </w:r>
    </w:p>
    <w:p w:rsidR="000D029A" w:rsidRPr="000D029A" w:rsidRDefault="00E166BD" w:rsidP="000D029A">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 xml:space="preserve">Explica </w:t>
      </w:r>
      <w:proofErr w:type="spellStart"/>
      <w:r w:rsidRPr="00127EFB">
        <w:rPr>
          <w:rFonts w:ascii="Times New Roman" w:eastAsia="Times New Roman" w:hAnsi="Times New Roman" w:cs="Times New Roman"/>
          <w:b w:val="0"/>
          <w:bCs/>
          <w:smallCaps/>
          <w:spacing w:val="-3"/>
          <w:szCs w:val="24"/>
          <w:lang w:val="es-CO" w:eastAsia="es-AR"/>
        </w:rPr>
        <w:t>Davobe</w:t>
      </w:r>
      <w:proofErr w:type="spellEnd"/>
      <w:r>
        <w:rPr>
          <w:rFonts w:ascii="Times New Roman" w:eastAsia="Times New Roman" w:hAnsi="Times New Roman" w:cs="Times New Roman"/>
          <w:b w:val="0"/>
          <w:bCs/>
          <w:spacing w:val="-3"/>
          <w:szCs w:val="24"/>
          <w:lang w:val="es-CO" w:eastAsia="es-AR"/>
        </w:rPr>
        <w:t xml:space="preserve"> que </w:t>
      </w:r>
      <w:r w:rsidR="00127EFB">
        <w:rPr>
          <w:rFonts w:ascii="Times New Roman" w:eastAsia="Times New Roman" w:hAnsi="Times New Roman" w:cs="Times New Roman"/>
          <w:b w:val="0"/>
          <w:bCs/>
          <w:spacing w:val="-3"/>
          <w:szCs w:val="24"/>
          <w:lang w:val="es-CO" w:eastAsia="es-AR"/>
        </w:rPr>
        <w:t>e</w:t>
      </w:r>
      <w:r w:rsidR="000D029A" w:rsidRPr="000D029A">
        <w:rPr>
          <w:rFonts w:ascii="Times New Roman" w:eastAsia="Times New Roman" w:hAnsi="Times New Roman" w:cs="Times New Roman"/>
          <w:b w:val="0"/>
          <w:bCs/>
          <w:spacing w:val="-3"/>
          <w:szCs w:val="24"/>
          <w:lang w:val="es-CO" w:eastAsia="es-AR"/>
        </w:rPr>
        <w:t xml:space="preserve">l </w:t>
      </w:r>
      <w:r w:rsidR="000D029A" w:rsidRPr="00455ADC">
        <w:rPr>
          <w:rFonts w:ascii="Times New Roman" w:eastAsia="Times New Roman" w:hAnsi="Times New Roman" w:cs="Times New Roman"/>
          <w:b w:val="0"/>
          <w:bCs/>
          <w:i/>
          <w:spacing w:val="-3"/>
          <w:szCs w:val="24"/>
          <w:lang w:val="es-CO" w:eastAsia="es-AR"/>
        </w:rPr>
        <w:t>acceso al proceso</w:t>
      </w:r>
      <w:r w:rsidR="000D029A" w:rsidRPr="000D029A">
        <w:rPr>
          <w:rFonts w:ascii="Times New Roman" w:eastAsia="Times New Roman" w:hAnsi="Times New Roman" w:cs="Times New Roman"/>
          <w:b w:val="0"/>
          <w:bCs/>
          <w:spacing w:val="-3"/>
          <w:szCs w:val="24"/>
          <w:lang w:val="es-CO" w:eastAsia="es-AR"/>
        </w:rPr>
        <w:t xml:space="preserve"> en sí constituye un derecho fundamental autónomo, amparado tanto por nuestra Constitución (artículos </w:t>
      </w:r>
      <w:r w:rsidR="00127EFB">
        <w:rPr>
          <w:rFonts w:ascii="Times New Roman" w:eastAsia="Times New Roman" w:hAnsi="Times New Roman" w:cs="Times New Roman"/>
          <w:b w:val="0"/>
          <w:bCs/>
          <w:spacing w:val="-3"/>
          <w:szCs w:val="24"/>
          <w:lang w:val="es-CO" w:eastAsia="es-AR"/>
        </w:rPr>
        <w:t>14, 18</w:t>
      </w:r>
      <w:r w:rsidR="000D029A" w:rsidRPr="000D029A">
        <w:rPr>
          <w:rFonts w:ascii="Times New Roman" w:eastAsia="Times New Roman" w:hAnsi="Times New Roman" w:cs="Times New Roman"/>
          <w:b w:val="0"/>
          <w:bCs/>
          <w:spacing w:val="-3"/>
          <w:szCs w:val="24"/>
          <w:lang w:val="es-CO" w:eastAsia="es-AR"/>
        </w:rPr>
        <w:t xml:space="preserve">, 43 y </w:t>
      </w:r>
      <w:proofErr w:type="spellStart"/>
      <w:r w:rsidR="000D029A" w:rsidRPr="000D029A">
        <w:rPr>
          <w:rFonts w:ascii="Times New Roman" w:eastAsia="Times New Roman" w:hAnsi="Times New Roman" w:cs="Times New Roman"/>
          <w:b w:val="0"/>
          <w:bCs/>
          <w:spacing w:val="-3"/>
          <w:szCs w:val="24"/>
          <w:lang w:val="es-CO" w:eastAsia="es-AR"/>
        </w:rPr>
        <w:t>ccs</w:t>
      </w:r>
      <w:proofErr w:type="spellEnd"/>
      <w:r w:rsidR="000D029A" w:rsidRPr="000D029A">
        <w:rPr>
          <w:rFonts w:ascii="Times New Roman" w:eastAsia="Times New Roman" w:hAnsi="Times New Roman" w:cs="Times New Roman"/>
          <w:b w:val="0"/>
          <w:bCs/>
          <w:spacing w:val="-3"/>
          <w:szCs w:val="24"/>
          <w:lang w:val="es-CO" w:eastAsia="es-AR"/>
        </w:rPr>
        <w:t xml:space="preserve">.), como por los instrumentos internacionales de protección asumidos en ella (artículo 75, inciso 22), que permite asegurar el ejercicio de los restantes derechos y libertades, siendo esencial para lograr el derecho a la igualdad. Se trata de una institución compleja que ha sido definida desde tres puntos de vista: a) como acceso propiamente dicho, es decir, posibilidad de llegar al sistema judicial; b) posibilidad de lograr un buen servicio de justicia, obteniendo un </w:t>
      </w:r>
      <w:r w:rsidR="000D029A" w:rsidRPr="000D029A">
        <w:rPr>
          <w:rFonts w:ascii="Times New Roman" w:eastAsia="Times New Roman" w:hAnsi="Times New Roman" w:cs="Times New Roman"/>
          <w:b w:val="0"/>
          <w:bCs/>
          <w:spacing w:val="-3"/>
          <w:szCs w:val="24"/>
          <w:lang w:val="es-CO" w:eastAsia="es-AR"/>
        </w:rPr>
        <w:lastRenderedPageBreak/>
        <w:t>pronunciamiento judicial justo en un tiempo prudencial; y c) como conocimiento de sus derechos por parte de los ciudadanos, como de los medios para ejercer y hacer reconocer esos derechos, con conciencia del acceso a la justicia como derecho y consiguiente deber del Estado de brindarlo y promoverlo.</w:t>
      </w:r>
      <w:r>
        <w:rPr>
          <w:rStyle w:val="Refdenotaalpie"/>
          <w:rFonts w:ascii="Times New Roman" w:eastAsia="Times New Roman" w:hAnsi="Times New Roman" w:cs="Times New Roman"/>
          <w:b w:val="0"/>
          <w:bCs/>
          <w:spacing w:val="-3"/>
          <w:szCs w:val="24"/>
          <w:lang w:val="es-CO" w:eastAsia="es-AR"/>
        </w:rPr>
        <w:footnoteReference w:id="4"/>
      </w:r>
      <w:r w:rsidR="000D029A" w:rsidRPr="000D029A">
        <w:rPr>
          <w:rFonts w:ascii="Times New Roman" w:eastAsia="Times New Roman" w:hAnsi="Times New Roman" w:cs="Times New Roman"/>
          <w:b w:val="0"/>
          <w:bCs/>
          <w:spacing w:val="-3"/>
          <w:szCs w:val="24"/>
          <w:lang w:val="es-CO" w:eastAsia="es-AR"/>
        </w:rPr>
        <w:t xml:space="preserve"> </w:t>
      </w:r>
    </w:p>
    <w:p w:rsidR="000D029A" w:rsidRPr="000D029A" w:rsidRDefault="00EF4D6E" w:rsidP="000D029A">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Por otra parte, específicamente, aquí se hace referencia a</w:t>
      </w:r>
      <w:r w:rsidR="000D029A" w:rsidRPr="000D029A">
        <w:rPr>
          <w:rFonts w:ascii="Times New Roman" w:eastAsia="Times New Roman" w:hAnsi="Times New Roman" w:cs="Times New Roman"/>
          <w:b w:val="0"/>
          <w:bCs/>
          <w:spacing w:val="-3"/>
          <w:szCs w:val="24"/>
          <w:lang w:val="es-CO" w:eastAsia="es-AR"/>
        </w:rPr>
        <w:t xml:space="preserve"> los procesos en que se impugna la actividad o inactividad de las entidades públicas en su función administrativa, mayormente, aunque no exclusivamente de carácter estatal, lo que de un modo genérico se denomina “juicios contra el Estado”. Ello ocurre en los conflictos entre particulares o entidades intermedias y la administración pública. </w:t>
      </w:r>
    </w:p>
    <w:p w:rsidR="000D029A" w:rsidRPr="000D029A"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 xml:space="preserve">En esta materia, en la mayoría de las provincias de la Argentina, cuando el conflicto no se logra solucionar en sede administrativa, se resuelve en única instancia </w:t>
      </w:r>
      <w:r w:rsidR="00EF4D6E">
        <w:rPr>
          <w:rFonts w:ascii="Times New Roman" w:eastAsia="Times New Roman" w:hAnsi="Times New Roman" w:cs="Times New Roman"/>
          <w:b w:val="0"/>
          <w:bCs/>
          <w:spacing w:val="-3"/>
          <w:szCs w:val="24"/>
          <w:lang w:val="es-CO" w:eastAsia="es-AR"/>
        </w:rPr>
        <w:t xml:space="preserve">originaria </w:t>
      </w:r>
      <w:r w:rsidRPr="000D029A">
        <w:rPr>
          <w:rFonts w:ascii="Times New Roman" w:eastAsia="Times New Roman" w:hAnsi="Times New Roman" w:cs="Times New Roman"/>
          <w:b w:val="0"/>
          <w:bCs/>
          <w:spacing w:val="-3"/>
          <w:szCs w:val="24"/>
          <w:lang w:val="es-CO" w:eastAsia="es-AR"/>
        </w:rPr>
        <w:t xml:space="preserve">ante sus respectivos tribunales superiores de justicia o cortes, lo cual en principio impide el ejercicio del </w:t>
      </w:r>
      <w:r w:rsidRPr="00BC5D17">
        <w:rPr>
          <w:rFonts w:ascii="Times New Roman" w:eastAsia="Times New Roman" w:hAnsi="Times New Roman" w:cs="Times New Roman"/>
          <w:b w:val="0"/>
          <w:bCs/>
          <w:i/>
          <w:spacing w:val="-3"/>
          <w:szCs w:val="24"/>
          <w:lang w:val="es-CO" w:eastAsia="es-AR"/>
        </w:rPr>
        <w:t>derecho al recurso</w:t>
      </w:r>
      <w:r w:rsidRPr="000D029A">
        <w:rPr>
          <w:rFonts w:ascii="Times New Roman" w:eastAsia="Times New Roman" w:hAnsi="Times New Roman" w:cs="Times New Roman"/>
          <w:b w:val="0"/>
          <w:bCs/>
          <w:spacing w:val="-3"/>
          <w:szCs w:val="24"/>
          <w:lang w:val="es-CO" w:eastAsia="es-AR"/>
        </w:rPr>
        <w:t xml:space="preserve"> ordinario ante un juez o tribunal que posteriormente revise la decisión, aunque ello se podría resolver</w:t>
      </w:r>
      <w:r w:rsidR="00BC5D17">
        <w:rPr>
          <w:rFonts w:ascii="Times New Roman" w:eastAsia="Times New Roman" w:hAnsi="Times New Roman" w:cs="Times New Roman"/>
          <w:b w:val="0"/>
          <w:bCs/>
          <w:spacing w:val="-3"/>
          <w:szCs w:val="24"/>
          <w:lang w:val="es-CO" w:eastAsia="es-AR"/>
        </w:rPr>
        <w:t xml:space="preserve"> mediante la provisión de </w:t>
      </w:r>
      <w:r w:rsidRPr="000D029A">
        <w:rPr>
          <w:rFonts w:ascii="Times New Roman" w:eastAsia="Times New Roman" w:hAnsi="Times New Roman" w:cs="Times New Roman"/>
          <w:b w:val="0"/>
          <w:bCs/>
          <w:spacing w:val="-3"/>
          <w:szCs w:val="24"/>
          <w:lang w:val="es-CO" w:eastAsia="es-AR"/>
        </w:rPr>
        <w:t xml:space="preserve">una vía recursiva de modo horizontal, dentro del mismo tribunal pero con jueces diversos a los que dictaron la sentencia. </w:t>
      </w:r>
    </w:p>
    <w:p w:rsidR="00D01573" w:rsidRPr="000D029A" w:rsidRDefault="00D01573" w:rsidP="00D01573">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 xml:space="preserve">A todas luces se advierte que </w:t>
      </w:r>
      <w:r w:rsidRPr="000D029A">
        <w:rPr>
          <w:rFonts w:ascii="Times New Roman" w:eastAsia="Times New Roman" w:hAnsi="Times New Roman" w:cs="Times New Roman"/>
          <w:b w:val="0"/>
          <w:bCs/>
          <w:spacing w:val="-3"/>
          <w:szCs w:val="24"/>
          <w:lang w:val="es-CO" w:eastAsia="es-AR"/>
        </w:rPr>
        <w:t xml:space="preserve">el </w:t>
      </w:r>
      <w:r w:rsidRPr="00EF4D6E">
        <w:rPr>
          <w:rFonts w:ascii="Times New Roman" w:eastAsia="Times New Roman" w:hAnsi="Times New Roman" w:cs="Times New Roman"/>
          <w:b w:val="0"/>
          <w:bCs/>
          <w:i/>
          <w:spacing w:val="-3"/>
          <w:szCs w:val="24"/>
          <w:lang w:val="es-CO" w:eastAsia="es-AR"/>
        </w:rPr>
        <w:t>derecho al recurso</w:t>
      </w:r>
      <w:r w:rsidRPr="000D029A">
        <w:rPr>
          <w:rFonts w:ascii="Times New Roman" w:eastAsia="Times New Roman" w:hAnsi="Times New Roman" w:cs="Times New Roman"/>
          <w:b w:val="0"/>
          <w:bCs/>
          <w:spacing w:val="-3"/>
          <w:szCs w:val="24"/>
          <w:lang w:val="es-CO" w:eastAsia="es-AR"/>
        </w:rPr>
        <w:t xml:space="preserve"> -amplio y ordinario- se encuentra inserto en el desarrollo del proceso, </w:t>
      </w:r>
      <w:r>
        <w:rPr>
          <w:rFonts w:ascii="Times New Roman" w:eastAsia="Times New Roman" w:hAnsi="Times New Roman" w:cs="Times New Roman"/>
          <w:b w:val="0"/>
          <w:bCs/>
          <w:spacing w:val="-3"/>
          <w:szCs w:val="24"/>
          <w:lang w:val="es-CO" w:eastAsia="es-AR"/>
        </w:rPr>
        <w:t xml:space="preserve">luego de </w:t>
      </w:r>
      <w:r w:rsidRPr="000D029A">
        <w:rPr>
          <w:rFonts w:ascii="Times New Roman" w:eastAsia="Times New Roman" w:hAnsi="Times New Roman" w:cs="Times New Roman"/>
          <w:b w:val="0"/>
          <w:bCs/>
          <w:spacing w:val="-3"/>
          <w:szCs w:val="24"/>
          <w:lang w:val="es-CO" w:eastAsia="es-AR"/>
        </w:rPr>
        <w:t>iniciada una causa</w:t>
      </w:r>
      <w:r>
        <w:rPr>
          <w:rFonts w:ascii="Times New Roman" w:eastAsia="Times New Roman" w:hAnsi="Times New Roman" w:cs="Times New Roman"/>
          <w:b w:val="0"/>
          <w:bCs/>
          <w:spacing w:val="-3"/>
          <w:szCs w:val="24"/>
          <w:lang w:val="es-CO" w:eastAsia="es-AR"/>
        </w:rPr>
        <w:t xml:space="preserve"> y más precisamente cuando concluye la primera instancia con</w:t>
      </w:r>
      <w:r w:rsidRPr="000D029A">
        <w:rPr>
          <w:rFonts w:ascii="Times New Roman" w:eastAsia="Times New Roman" w:hAnsi="Times New Roman" w:cs="Times New Roman"/>
          <w:b w:val="0"/>
          <w:bCs/>
          <w:spacing w:val="-3"/>
          <w:szCs w:val="24"/>
          <w:lang w:val="es-CO" w:eastAsia="es-AR"/>
        </w:rPr>
        <w:t xml:space="preserve"> una sentencia adversa </w:t>
      </w:r>
      <w:r>
        <w:rPr>
          <w:rFonts w:ascii="Times New Roman" w:eastAsia="Times New Roman" w:hAnsi="Times New Roman" w:cs="Times New Roman"/>
          <w:b w:val="0"/>
          <w:bCs/>
          <w:spacing w:val="-3"/>
          <w:szCs w:val="24"/>
          <w:lang w:val="es-CO" w:eastAsia="es-AR"/>
        </w:rPr>
        <w:t xml:space="preserve">a </w:t>
      </w:r>
      <w:r w:rsidRPr="000D029A">
        <w:rPr>
          <w:rFonts w:ascii="Times New Roman" w:eastAsia="Times New Roman" w:hAnsi="Times New Roman" w:cs="Times New Roman"/>
          <w:b w:val="0"/>
          <w:bCs/>
          <w:spacing w:val="-3"/>
          <w:szCs w:val="24"/>
          <w:lang w:val="es-CO" w:eastAsia="es-AR"/>
        </w:rPr>
        <w:t xml:space="preserve">una de las partes -o </w:t>
      </w:r>
      <w:r>
        <w:rPr>
          <w:rFonts w:ascii="Times New Roman" w:eastAsia="Times New Roman" w:hAnsi="Times New Roman" w:cs="Times New Roman"/>
          <w:b w:val="0"/>
          <w:bCs/>
          <w:spacing w:val="-3"/>
          <w:szCs w:val="24"/>
          <w:lang w:val="es-CO" w:eastAsia="es-AR"/>
        </w:rPr>
        <w:t xml:space="preserve">bien una </w:t>
      </w:r>
      <w:r w:rsidRPr="000D029A">
        <w:rPr>
          <w:rFonts w:ascii="Times New Roman" w:eastAsia="Times New Roman" w:hAnsi="Times New Roman" w:cs="Times New Roman"/>
          <w:b w:val="0"/>
          <w:bCs/>
          <w:spacing w:val="-3"/>
          <w:szCs w:val="24"/>
          <w:lang w:val="es-CO" w:eastAsia="es-AR"/>
        </w:rPr>
        <w:t>decisión equiparable-, quien puede en ejercicio de tal derecho, impugnarla</w:t>
      </w:r>
      <w:r>
        <w:rPr>
          <w:rFonts w:ascii="Times New Roman" w:eastAsia="Times New Roman" w:hAnsi="Times New Roman" w:cs="Times New Roman"/>
          <w:b w:val="0"/>
          <w:bCs/>
          <w:spacing w:val="-3"/>
          <w:szCs w:val="24"/>
          <w:lang w:val="es-CO" w:eastAsia="es-AR"/>
        </w:rPr>
        <w:t xml:space="preserve"> </w:t>
      </w:r>
      <w:r w:rsidRPr="000D029A">
        <w:rPr>
          <w:rFonts w:ascii="Times New Roman" w:eastAsia="Times New Roman" w:hAnsi="Times New Roman" w:cs="Times New Roman"/>
          <w:b w:val="0"/>
          <w:bCs/>
          <w:spacing w:val="-3"/>
          <w:szCs w:val="24"/>
          <w:lang w:val="es-CO" w:eastAsia="es-AR"/>
        </w:rPr>
        <w:t>a los fines de que se</w:t>
      </w:r>
      <w:r>
        <w:rPr>
          <w:rFonts w:ascii="Times New Roman" w:eastAsia="Times New Roman" w:hAnsi="Times New Roman" w:cs="Times New Roman"/>
          <w:b w:val="0"/>
          <w:bCs/>
          <w:spacing w:val="-3"/>
          <w:szCs w:val="24"/>
          <w:lang w:val="es-CO" w:eastAsia="es-AR"/>
        </w:rPr>
        <w:t>a</w:t>
      </w:r>
      <w:r w:rsidRPr="000D029A">
        <w:rPr>
          <w:rFonts w:ascii="Times New Roman" w:eastAsia="Times New Roman" w:hAnsi="Times New Roman" w:cs="Times New Roman"/>
          <w:b w:val="0"/>
          <w:bCs/>
          <w:spacing w:val="-3"/>
          <w:szCs w:val="24"/>
          <w:lang w:val="es-CO" w:eastAsia="es-AR"/>
        </w:rPr>
        <w:t xml:space="preserve"> revisada o controlada en forma amplia por otro juez o tribunal diverso </w:t>
      </w:r>
      <w:r>
        <w:rPr>
          <w:rFonts w:ascii="Times New Roman" w:eastAsia="Times New Roman" w:hAnsi="Times New Roman" w:cs="Times New Roman"/>
          <w:b w:val="0"/>
          <w:bCs/>
          <w:spacing w:val="-3"/>
          <w:szCs w:val="24"/>
          <w:lang w:val="es-CO" w:eastAsia="es-AR"/>
        </w:rPr>
        <w:t>al primero.</w:t>
      </w:r>
    </w:p>
    <w:p w:rsidR="00D01573" w:rsidRDefault="00D01573" w:rsidP="00D01573">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Este derecho</w:t>
      </w:r>
      <w:r w:rsidRPr="000D029A">
        <w:rPr>
          <w:rFonts w:ascii="Times New Roman" w:eastAsia="Times New Roman" w:hAnsi="Times New Roman" w:cs="Times New Roman"/>
          <w:b w:val="0"/>
          <w:bCs/>
          <w:spacing w:val="-3"/>
          <w:szCs w:val="24"/>
          <w:lang w:val="es-CO" w:eastAsia="es-AR"/>
        </w:rPr>
        <w:t xml:space="preserve"> se encuentra íntimamente relacionado con la organización judicial que posibilita su ejercicio</w:t>
      </w:r>
      <w:r>
        <w:rPr>
          <w:rFonts w:ascii="Times New Roman" w:eastAsia="Times New Roman" w:hAnsi="Times New Roman" w:cs="Times New Roman"/>
          <w:b w:val="0"/>
          <w:bCs/>
          <w:spacing w:val="-3"/>
          <w:szCs w:val="24"/>
          <w:lang w:val="es-CO" w:eastAsia="es-AR"/>
        </w:rPr>
        <w:t xml:space="preserve"> efectivo,</w:t>
      </w:r>
      <w:r w:rsidRPr="000D029A">
        <w:rPr>
          <w:rFonts w:ascii="Times New Roman" w:eastAsia="Times New Roman" w:hAnsi="Times New Roman" w:cs="Times New Roman"/>
          <w:b w:val="0"/>
          <w:bCs/>
          <w:spacing w:val="-3"/>
          <w:szCs w:val="24"/>
          <w:lang w:val="es-CO" w:eastAsia="es-AR"/>
        </w:rPr>
        <w:t xml:space="preserve"> y su existencia y previsión normativa en lo concreto, puede tener una incidencia favorable al justiciable a los fines de su acceso inicial </w:t>
      </w:r>
      <w:r>
        <w:rPr>
          <w:rFonts w:ascii="Times New Roman" w:eastAsia="Times New Roman" w:hAnsi="Times New Roman" w:cs="Times New Roman"/>
          <w:b w:val="0"/>
          <w:bCs/>
          <w:spacing w:val="-3"/>
          <w:szCs w:val="24"/>
          <w:lang w:val="es-CO" w:eastAsia="es-AR"/>
        </w:rPr>
        <w:t>al proceso</w:t>
      </w:r>
      <w:r w:rsidRPr="000D029A">
        <w:rPr>
          <w:rFonts w:ascii="Times New Roman" w:eastAsia="Times New Roman" w:hAnsi="Times New Roman" w:cs="Times New Roman"/>
          <w:b w:val="0"/>
          <w:bCs/>
          <w:spacing w:val="-3"/>
          <w:szCs w:val="24"/>
          <w:lang w:val="es-CO" w:eastAsia="es-AR"/>
        </w:rPr>
        <w:t xml:space="preserve">, facilitando </w:t>
      </w:r>
      <w:r>
        <w:rPr>
          <w:rFonts w:ascii="Times New Roman" w:eastAsia="Times New Roman" w:hAnsi="Times New Roman" w:cs="Times New Roman"/>
          <w:b w:val="0"/>
          <w:bCs/>
          <w:spacing w:val="-3"/>
          <w:szCs w:val="24"/>
          <w:lang w:val="es-CO" w:eastAsia="es-AR"/>
        </w:rPr>
        <w:t xml:space="preserve">de tal modo </w:t>
      </w:r>
      <w:r w:rsidRPr="000D029A">
        <w:rPr>
          <w:rFonts w:ascii="Times New Roman" w:eastAsia="Times New Roman" w:hAnsi="Times New Roman" w:cs="Times New Roman"/>
          <w:b w:val="0"/>
          <w:bCs/>
          <w:spacing w:val="-3"/>
          <w:szCs w:val="24"/>
          <w:lang w:val="es-CO" w:eastAsia="es-AR"/>
        </w:rPr>
        <w:t xml:space="preserve">su llegada al sistema judicial por primera vez, </w:t>
      </w:r>
      <w:r>
        <w:rPr>
          <w:rFonts w:ascii="Times New Roman" w:eastAsia="Times New Roman" w:hAnsi="Times New Roman" w:cs="Times New Roman"/>
          <w:b w:val="0"/>
          <w:bCs/>
          <w:spacing w:val="-3"/>
          <w:szCs w:val="24"/>
          <w:lang w:val="es-CO" w:eastAsia="es-AR"/>
        </w:rPr>
        <w:t>a través de la descentralización territorial del Poder Judicial.</w:t>
      </w:r>
    </w:p>
    <w:p w:rsidR="00D01573" w:rsidRDefault="00D01573" w:rsidP="00D01573">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 xml:space="preserve">Destaco aquí que existe por lo menos una posible vinculación entre </w:t>
      </w:r>
      <w:r w:rsidRPr="00177931">
        <w:rPr>
          <w:rFonts w:ascii="Times New Roman" w:eastAsia="Times New Roman" w:hAnsi="Times New Roman" w:cs="Times New Roman"/>
          <w:b w:val="0"/>
          <w:bCs/>
          <w:i/>
          <w:spacing w:val="-3"/>
          <w:szCs w:val="24"/>
          <w:lang w:val="es-CO" w:eastAsia="es-AR"/>
        </w:rPr>
        <w:t>derecho al recurso</w:t>
      </w:r>
      <w:r>
        <w:rPr>
          <w:rFonts w:ascii="Times New Roman" w:eastAsia="Times New Roman" w:hAnsi="Times New Roman" w:cs="Times New Roman"/>
          <w:b w:val="0"/>
          <w:bCs/>
          <w:spacing w:val="-3"/>
          <w:szCs w:val="24"/>
          <w:lang w:val="es-CO" w:eastAsia="es-AR"/>
        </w:rPr>
        <w:t xml:space="preserve"> y el </w:t>
      </w:r>
      <w:r w:rsidRPr="000D733F">
        <w:rPr>
          <w:rFonts w:ascii="Times New Roman" w:eastAsia="Times New Roman" w:hAnsi="Times New Roman" w:cs="Times New Roman"/>
          <w:b w:val="0"/>
          <w:bCs/>
          <w:i/>
          <w:spacing w:val="-3"/>
          <w:szCs w:val="24"/>
          <w:lang w:val="es-CO" w:eastAsia="es-AR"/>
        </w:rPr>
        <w:t>acceso inicial al proceso</w:t>
      </w:r>
      <w:r>
        <w:rPr>
          <w:rFonts w:ascii="Times New Roman" w:eastAsia="Times New Roman" w:hAnsi="Times New Roman" w:cs="Times New Roman"/>
          <w:b w:val="0"/>
          <w:bCs/>
          <w:spacing w:val="-3"/>
          <w:szCs w:val="24"/>
          <w:lang w:val="es-CO" w:eastAsia="es-AR"/>
        </w:rPr>
        <w:t xml:space="preserve">, que se da cuando existe una organización judicial que permite el ejercicio de ese derecho a través de juzgados de primera instancia y tribunales de apelación </w:t>
      </w:r>
      <w:r>
        <w:rPr>
          <w:rFonts w:ascii="Times New Roman" w:eastAsia="Times New Roman" w:hAnsi="Times New Roman" w:cs="Times New Roman"/>
          <w:b w:val="0"/>
          <w:bCs/>
          <w:spacing w:val="-3"/>
          <w:szCs w:val="24"/>
          <w:lang w:val="es-CO" w:eastAsia="es-AR"/>
        </w:rPr>
        <w:lastRenderedPageBreak/>
        <w:t>dispersos a lo largo y ancho del territorio de una jurisdicción dada, sea esta una provincia o un país determinado, lo que implica la descentralización del Poder Judicial por fuera del asiento de su superior tribunal o corte que habitualmente se ubica en la ciudad capital.</w:t>
      </w:r>
    </w:p>
    <w:p w:rsidR="000D029A" w:rsidRPr="000D029A"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 xml:space="preserve">Al respecto, en un tiempo pasado he sostenido que la resolución en única instancia original de este tipo de causas, resulta inconstitucional por no preverse </w:t>
      </w:r>
      <w:r w:rsidR="001E288C">
        <w:rPr>
          <w:rFonts w:ascii="Times New Roman" w:eastAsia="Times New Roman" w:hAnsi="Times New Roman" w:cs="Times New Roman"/>
          <w:b w:val="0"/>
          <w:bCs/>
          <w:spacing w:val="-3"/>
          <w:szCs w:val="24"/>
          <w:lang w:val="es-CO" w:eastAsia="es-AR"/>
        </w:rPr>
        <w:t xml:space="preserve">ni permitirse </w:t>
      </w:r>
      <w:r w:rsidRPr="000D029A">
        <w:rPr>
          <w:rFonts w:ascii="Times New Roman" w:eastAsia="Times New Roman" w:hAnsi="Times New Roman" w:cs="Times New Roman"/>
          <w:b w:val="0"/>
          <w:bCs/>
          <w:spacing w:val="-3"/>
          <w:szCs w:val="24"/>
          <w:lang w:val="es-CO" w:eastAsia="es-AR"/>
        </w:rPr>
        <w:t>un recurso ordinario contra la sentencia allí dictada.</w:t>
      </w:r>
      <w:r w:rsidR="001E288C">
        <w:rPr>
          <w:rStyle w:val="Refdenotaalpie"/>
          <w:rFonts w:ascii="Times New Roman" w:eastAsia="Times New Roman" w:hAnsi="Times New Roman" w:cs="Times New Roman"/>
          <w:b w:val="0"/>
          <w:bCs/>
          <w:spacing w:val="-3"/>
          <w:szCs w:val="24"/>
          <w:lang w:val="es-CO" w:eastAsia="es-AR"/>
        </w:rPr>
        <w:footnoteReference w:id="5"/>
      </w:r>
      <w:r w:rsidRPr="000D029A">
        <w:rPr>
          <w:rFonts w:ascii="Times New Roman" w:eastAsia="Times New Roman" w:hAnsi="Times New Roman" w:cs="Times New Roman"/>
          <w:b w:val="0"/>
          <w:bCs/>
          <w:spacing w:val="-3"/>
          <w:szCs w:val="24"/>
          <w:lang w:val="es-CO" w:eastAsia="es-AR"/>
        </w:rPr>
        <w:t xml:space="preserve"> </w:t>
      </w:r>
      <w:r w:rsidRPr="00D94CB1">
        <w:rPr>
          <w:rFonts w:ascii="Times New Roman" w:eastAsia="Times New Roman" w:hAnsi="Times New Roman" w:cs="Times New Roman"/>
          <w:b w:val="0"/>
          <w:bCs/>
          <w:spacing w:val="-3"/>
          <w:szCs w:val="24"/>
          <w:lang w:val="es-CO" w:eastAsia="es-AR"/>
        </w:rPr>
        <w:t>Ello</w:t>
      </w:r>
      <w:r w:rsidR="00D94CB1">
        <w:rPr>
          <w:rFonts w:ascii="Times New Roman" w:eastAsia="Times New Roman" w:hAnsi="Times New Roman" w:cs="Times New Roman"/>
          <w:b w:val="0"/>
          <w:bCs/>
          <w:spacing w:val="-3"/>
          <w:szCs w:val="24"/>
          <w:lang w:val="es-CO" w:eastAsia="es-AR"/>
        </w:rPr>
        <w:t xml:space="preserve">, </w:t>
      </w:r>
      <w:r w:rsidRPr="00D94CB1">
        <w:rPr>
          <w:rFonts w:ascii="Times New Roman" w:eastAsia="Times New Roman" w:hAnsi="Times New Roman" w:cs="Times New Roman"/>
          <w:b w:val="0"/>
          <w:bCs/>
          <w:spacing w:val="-3"/>
          <w:szCs w:val="24"/>
          <w:lang w:val="es-CO" w:eastAsia="es-AR"/>
        </w:rPr>
        <w:t>por</w:t>
      </w:r>
      <w:r w:rsidRPr="000D029A">
        <w:rPr>
          <w:rFonts w:ascii="Times New Roman" w:eastAsia="Times New Roman" w:hAnsi="Times New Roman" w:cs="Times New Roman"/>
          <w:b w:val="0"/>
          <w:bCs/>
          <w:spacing w:val="-3"/>
          <w:szCs w:val="24"/>
          <w:lang w:val="es-CO" w:eastAsia="es-AR"/>
        </w:rPr>
        <w:t xml:space="preserve"> derivación lógica de la jurisprudencia emanada en su momento de la Corte IDH, en los casos de la “Panel Blanca” (1998), “Tribunal Constitucional” (2001), “</w:t>
      </w:r>
      <w:proofErr w:type="spellStart"/>
      <w:r w:rsidRPr="000D029A">
        <w:rPr>
          <w:rFonts w:ascii="Times New Roman" w:eastAsia="Times New Roman" w:hAnsi="Times New Roman" w:cs="Times New Roman"/>
          <w:b w:val="0"/>
          <w:bCs/>
          <w:spacing w:val="-3"/>
          <w:szCs w:val="24"/>
          <w:lang w:val="es-CO" w:eastAsia="es-AR"/>
        </w:rPr>
        <w:t>Ivcher</w:t>
      </w:r>
      <w:proofErr w:type="spellEnd"/>
      <w:r w:rsidRPr="000D029A">
        <w:rPr>
          <w:rFonts w:ascii="Times New Roman" w:eastAsia="Times New Roman" w:hAnsi="Times New Roman" w:cs="Times New Roman"/>
          <w:b w:val="0"/>
          <w:bCs/>
          <w:spacing w:val="-3"/>
          <w:szCs w:val="24"/>
          <w:lang w:val="es-CO" w:eastAsia="es-AR"/>
        </w:rPr>
        <w:t xml:space="preserve"> </w:t>
      </w:r>
      <w:proofErr w:type="spellStart"/>
      <w:r w:rsidRPr="000D029A">
        <w:rPr>
          <w:rFonts w:ascii="Times New Roman" w:eastAsia="Times New Roman" w:hAnsi="Times New Roman" w:cs="Times New Roman"/>
          <w:b w:val="0"/>
          <w:bCs/>
          <w:spacing w:val="-3"/>
          <w:szCs w:val="24"/>
          <w:lang w:val="es-CO" w:eastAsia="es-AR"/>
        </w:rPr>
        <w:t>Bronstein</w:t>
      </w:r>
      <w:proofErr w:type="spellEnd"/>
      <w:r w:rsidRPr="000D029A">
        <w:rPr>
          <w:rFonts w:ascii="Times New Roman" w:eastAsia="Times New Roman" w:hAnsi="Times New Roman" w:cs="Times New Roman"/>
          <w:b w:val="0"/>
          <w:bCs/>
          <w:spacing w:val="-3"/>
          <w:szCs w:val="24"/>
          <w:lang w:val="es-CO" w:eastAsia="es-AR"/>
        </w:rPr>
        <w:t>” (2001) y “Baena” (2001)</w:t>
      </w:r>
      <w:r w:rsidR="00DF7F55" w:rsidRPr="00DF7F55">
        <w:rPr>
          <w:rStyle w:val="Refdenotaalpie"/>
          <w:rFonts w:ascii="Times New Roman" w:eastAsia="Times New Roman" w:hAnsi="Times New Roman" w:cs="Times New Roman"/>
          <w:b w:val="0"/>
          <w:bCs/>
          <w:spacing w:val="-3"/>
          <w:szCs w:val="24"/>
          <w:lang w:val="es-CO" w:eastAsia="es-AR"/>
        </w:rPr>
        <w:t xml:space="preserve"> </w:t>
      </w:r>
      <w:r w:rsidR="00DF7F55">
        <w:rPr>
          <w:rStyle w:val="Refdenotaalpie"/>
          <w:rFonts w:ascii="Times New Roman" w:eastAsia="Times New Roman" w:hAnsi="Times New Roman" w:cs="Times New Roman"/>
          <w:b w:val="0"/>
          <w:bCs/>
          <w:spacing w:val="-3"/>
          <w:szCs w:val="24"/>
          <w:lang w:val="es-CO" w:eastAsia="es-AR"/>
        </w:rPr>
        <w:footnoteReference w:id="6"/>
      </w:r>
      <w:r w:rsidRPr="000D029A">
        <w:rPr>
          <w:rFonts w:ascii="Times New Roman" w:eastAsia="Times New Roman" w:hAnsi="Times New Roman" w:cs="Times New Roman"/>
          <w:b w:val="0"/>
          <w:bCs/>
          <w:spacing w:val="-3"/>
          <w:szCs w:val="24"/>
          <w:lang w:val="es-CO" w:eastAsia="es-AR"/>
        </w:rPr>
        <w:t xml:space="preserve">, conforme a la cual </w:t>
      </w:r>
      <w:r w:rsidRPr="00DF7F55">
        <w:rPr>
          <w:rFonts w:ascii="Times New Roman" w:eastAsia="Times New Roman" w:hAnsi="Times New Roman" w:cs="Times New Roman"/>
          <w:b w:val="0"/>
          <w:bCs/>
          <w:i/>
          <w:spacing w:val="-3"/>
          <w:szCs w:val="24"/>
          <w:lang w:val="es-CO" w:eastAsia="es-AR"/>
        </w:rPr>
        <w:t>todas las garantías específicas del proceso penal, que se encuentran detalladas en el Inciso 2º del Artículo 8º de la CADH, resultan aplicables a las restantes materias –no penales-,</w:t>
      </w:r>
      <w:r w:rsidRPr="000D029A">
        <w:rPr>
          <w:rFonts w:ascii="Times New Roman" w:eastAsia="Times New Roman" w:hAnsi="Times New Roman" w:cs="Times New Roman"/>
          <w:b w:val="0"/>
          <w:bCs/>
          <w:spacing w:val="-3"/>
          <w:szCs w:val="24"/>
          <w:lang w:val="es-CO" w:eastAsia="es-AR"/>
        </w:rPr>
        <w:t xml:space="preserve"> a los fines de respetar cabalmente el debido proceso contemplado de forma genérica en el Inciso 1º de tal artículo.</w:t>
      </w:r>
    </w:p>
    <w:p w:rsidR="000D029A" w:rsidRPr="000D029A"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Entre estas garantías específicas (en el art. 8, inc. 2, ap. h de la CADH), se encuentra el aseguramiento a la persona, de que pueda recurrir el fallo recaído en su contra en la primera instancia, ante otro juez o tribunal superior.</w:t>
      </w:r>
    </w:p>
    <w:p w:rsidR="000D029A" w:rsidRPr="000D029A" w:rsidRDefault="00F01C91" w:rsidP="000D029A">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 xml:space="preserve">En la actualidad, </w:t>
      </w:r>
      <w:r w:rsidR="00BC5D17">
        <w:rPr>
          <w:rFonts w:ascii="Times New Roman" w:eastAsia="Times New Roman" w:hAnsi="Times New Roman" w:cs="Times New Roman"/>
          <w:b w:val="0"/>
          <w:bCs/>
          <w:spacing w:val="-3"/>
          <w:szCs w:val="24"/>
          <w:lang w:val="es-CO" w:eastAsia="es-AR"/>
        </w:rPr>
        <w:t xml:space="preserve">la evolución de </w:t>
      </w:r>
      <w:r w:rsidR="000D029A" w:rsidRPr="000D029A">
        <w:rPr>
          <w:rFonts w:ascii="Times New Roman" w:eastAsia="Times New Roman" w:hAnsi="Times New Roman" w:cs="Times New Roman"/>
          <w:b w:val="0"/>
          <w:bCs/>
          <w:spacing w:val="-3"/>
          <w:szCs w:val="24"/>
          <w:lang w:val="es-CO" w:eastAsia="es-AR"/>
        </w:rPr>
        <w:t>tal jurisprudencia derivó específicamente respecto de esta garantía puntual -de recurrir el fallo adverso-, en una delimitación que la Corte IDH ha realizado, refiriéndolo exclusivamente a los procesos penales y a los procesos de naturaleza sancionatoria, pero sin extenderlo al resto de materias</w:t>
      </w:r>
      <w:r w:rsidR="00BC5D17">
        <w:rPr>
          <w:rFonts w:ascii="Times New Roman" w:eastAsia="Times New Roman" w:hAnsi="Times New Roman" w:cs="Times New Roman"/>
          <w:b w:val="0"/>
          <w:bCs/>
          <w:spacing w:val="-3"/>
          <w:szCs w:val="24"/>
          <w:lang w:val="es-CO" w:eastAsia="es-AR"/>
        </w:rPr>
        <w:t xml:space="preserve"> o situaciones</w:t>
      </w:r>
      <w:r w:rsidR="000D029A" w:rsidRPr="000D029A">
        <w:rPr>
          <w:rFonts w:ascii="Times New Roman" w:eastAsia="Times New Roman" w:hAnsi="Times New Roman" w:cs="Times New Roman"/>
          <w:b w:val="0"/>
          <w:bCs/>
          <w:spacing w:val="-3"/>
          <w:szCs w:val="24"/>
          <w:lang w:val="es-CO" w:eastAsia="es-AR"/>
        </w:rPr>
        <w:t xml:space="preserve">. Así, por ejemplo, en el caso </w:t>
      </w:r>
      <w:proofErr w:type="spellStart"/>
      <w:r w:rsidR="000D029A" w:rsidRPr="00F01C91">
        <w:rPr>
          <w:rFonts w:ascii="Times New Roman" w:eastAsia="Times New Roman" w:hAnsi="Times New Roman" w:cs="Times New Roman"/>
          <w:b w:val="0"/>
          <w:bCs/>
          <w:i/>
          <w:spacing w:val="-3"/>
          <w:szCs w:val="24"/>
          <w:lang w:val="es-CO" w:eastAsia="es-AR"/>
        </w:rPr>
        <w:t>Spoltore</w:t>
      </w:r>
      <w:proofErr w:type="spellEnd"/>
      <w:r w:rsidR="000D029A" w:rsidRPr="00F01C91">
        <w:rPr>
          <w:rFonts w:ascii="Times New Roman" w:eastAsia="Times New Roman" w:hAnsi="Times New Roman" w:cs="Times New Roman"/>
          <w:b w:val="0"/>
          <w:bCs/>
          <w:i/>
          <w:spacing w:val="-3"/>
          <w:szCs w:val="24"/>
          <w:lang w:val="es-CO" w:eastAsia="es-AR"/>
        </w:rPr>
        <w:t xml:space="preserve"> Vs. Argentina</w:t>
      </w:r>
      <w:r w:rsidR="00E700D7" w:rsidRPr="00E700D7">
        <w:rPr>
          <w:rStyle w:val="Refdenotaalpie"/>
          <w:rFonts w:ascii="Times New Roman" w:eastAsia="Times New Roman" w:hAnsi="Times New Roman" w:cs="Times New Roman"/>
          <w:b w:val="0"/>
          <w:bCs/>
          <w:spacing w:val="-3"/>
          <w:szCs w:val="24"/>
          <w:lang w:val="es-CO" w:eastAsia="es-AR"/>
        </w:rPr>
        <w:footnoteReference w:id="7"/>
      </w:r>
      <w:r w:rsidR="000D029A" w:rsidRPr="000D029A">
        <w:rPr>
          <w:rFonts w:ascii="Times New Roman" w:eastAsia="Times New Roman" w:hAnsi="Times New Roman" w:cs="Times New Roman"/>
          <w:b w:val="0"/>
          <w:bCs/>
          <w:spacing w:val="-3"/>
          <w:szCs w:val="24"/>
          <w:lang w:val="es-CO" w:eastAsia="es-AR"/>
        </w:rPr>
        <w:t xml:space="preserve">, la Corte concluyó, con cita de los fallos </w:t>
      </w:r>
      <w:r w:rsidR="000D029A" w:rsidRPr="00F01C91">
        <w:rPr>
          <w:rFonts w:ascii="Times New Roman" w:eastAsia="Times New Roman" w:hAnsi="Times New Roman" w:cs="Times New Roman"/>
          <w:b w:val="0"/>
          <w:bCs/>
          <w:i/>
          <w:spacing w:val="-3"/>
          <w:szCs w:val="24"/>
          <w:lang w:val="es-CO" w:eastAsia="es-AR"/>
        </w:rPr>
        <w:t>Vélez Loor</w:t>
      </w:r>
      <w:r w:rsidR="000D029A" w:rsidRPr="00F01C91">
        <w:rPr>
          <w:rFonts w:ascii="Times New Roman" w:eastAsia="Times New Roman" w:hAnsi="Times New Roman" w:cs="Times New Roman"/>
          <w:b w:val="0"/>
          <w:bCs/>
          <w:spacing w:val="-3"/>
          <w:szCs w:val="24"/>
          <w:lang w:val="es-CO" w:eastAsia="es-AR"/>
        </w:rPr>
        <w:t xml:space="preserve"> y </w:t>
      </w:r>
      <w:r w:rsidR="000D029A" w:rsidRPr="00F01C91">
        <w:rPr>
          <w:rFonts w:ascii="Times New Roman" w:eastAsia="Times New Roman" w:hAnsi="Times New Roman" w:cs="Times New Roman"/>
          <w:b w:val="0"/>
          <w:bCs/>
          <w:i/>
          <w:spacing w:val="-3"/>
          <w:szCs w:val="24"/>
          <w:lang w:val="es-CO" w:eastAsia="es-AR"/>
        </w:rPr>
        <w:t>Maldonado</w:t>
      </w:r>
      <w:r w:rsidR="000D029A" w:rsidRPr="000D029A">
        <w:rPr>
          <w:rFonts w:ascii="Times New Roman" w:eastAsia="Times New Roman" w:hAnsi="Times New Roman" w:cs="Times New Roman"/>
          <w:b w:val="0"/>
          <w:bCs/>
          <w:spacing w:val="-3"/>
          <w:szCs w:val="24"/>
          <w:lang w:val="es-CO" w:eastAsia="es-AR"/>
        </w:rPr>
        <w:t>,</w:t>
      </w:r>
      <w:r>
        <w:rPr>
          <w:rFonts w:ascii="Times New Roman" w:eastAsia="Times New Roman" w:hAnsi="Times New Roman" w:cs="Times New Roman"/>
          <w:b w:val="0"/>
          <w:bCs/>
          <w:spacing w:val="-3"/>
          <w:szCs w:val="24"/>
          <w:lang w:val="es-CO" w:eastAsia="es-AR"/>
        </w:rPr>
        <w:t xml:space="preserve"> que</w:t>
      </w:r>
      <w:r w:rsidR="000D029A" w:rsidRPr="000D029A">
        <w:rPr>
          <w:rFonts w:ascii="Times New Roman" w:eastAsia="Times New Roman" w:hAnsi="Times New Roman" w:cs="Times New Roman"/>
          <w:b w:val="0"/>
          <w:bCs/>
          <w:spacing w:val="-3"/>
          <w:szCs w:val="24"/>
          <w:lang w:val="es-CO" w:eastAsia="es-AR"/>
        </w:rPr>
        <w:t xml:space="preserve"> el derecho contenido en el artículo 8.2.h) no es aplicable al proceso en que se reclama una indemnización por enfermedad profesional.</w:t>
      </w:r>
    </w:p>
    <w:p w:rsidR="000D029A" w:rsidRPr="000D029A"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lastRenderedPageBreak/>
        <w:t xml:space="preserve">A partir de esta nueva conclusión, </w:t>
      </w:r>
      <w:r w:rsidR="00BC5D17">
        <w:rPr>
          <w:rFonts w:ascii="Times New Roman" w:eastAsia="Times New Roman" w:hAnsi="Times New Roman" w:cs="Times New Roman"/>
          <w:b w:val="0"/>
          <w:bCs/>
          <w:spacing w:val="-3"/>
          <w:szCs w:val="24"/>
          <w:lang w:val="es-CO" w:eastAsia="es-AR"/>
        </w:rPr>
        <w:t>actualmente</w:t>
      </w:r>
      <w:r w:rsidRPr="000D029A">
        <w:rPr>
          <w:rFonts w:ascii="Times New Roman" w:eastAsia="Times New Roman" w:hAnsi="Times New Roman" w:cs="Times New Roman"/>
          <w:b w:val="0"/>
          <w:bCs/>
          <w:spacing w:val="-3"/>
          <w:szCs w:val="24"/>
          <w:lang w:val="es-CO" w:eastAsia="es-AR"/>
        </w:rPr>
        <w:t xml:space="preserve">, salvo en los procesos que tengan por objeto controlar o revisar sanciones penales o administrativas, no se requiere a nivel convencional, como garantía mínima, </w:t>
      </w:r>
      <w:r w:rsidR="00BC5D17">
        <w:rPr>
          <w:rFonts w:ascii="Times New Roman" w:eastAsia="Times New Roman" w:hAnsi="Times New Roman" w:cs="Times New Roman"/>
          <w:b w:val="0"/>
          <w:bCs/>
          <w:spacing w:val="-3"/>
          <w:szCs w:val="24"/>
          <w:lang w:val="es-CO" w:eastAsia="es-AR"/>
        </w:rPr>
        <w:t xml:space="preserve">el aseguramiento de </w:t>
      </w:r>
      <w:r w:rsidRPr="000D029A">
        <w:rPr>
          <w:rFonts w:ascii="Times New Roman" w:eastAsia="Times New Roman" w:hAnsi="Times New Roman" w:cs="Times New Roman"/>
          <w:b w:val="0"/>
          <w:bCs/>
          <w:spacing w:val="-3"/>
          <w:szCs w:val="24"/>
          <w:lang w:val="es-CO" w:eastAsia="es-AR"/>
        </w:rPr>
        <w:t>una doble instancia con derecho a recurrir el fallo adverso</w:t>
      </w:r>
      <w:r w:rsidR="00BC5D17">
        <w:rPr>
          <w:rFonts w:ascii="Times New Roman" w:eastAsia="Times New Roman" w:hAnsi="Times New Roman" w:cs="Times New Roman"/>
          <w:b w:val="0"/>
          <w:bCs/>
          <w:spacing w:val="-3"/>
          <w:szCs w:val="24"/>
          <w:lang w:val="es-CO" w:eastAsia="es-AR"/>
        </w:rPr>
        <w:t xml:space="preserve"> recaído </w:t>
      </w:r>
      <w:r w:rsidR="00D94CB1">
        <w:rPr>
          <w:rFonts w:ascii="Times New Roman" w:eastAsia="Times New Roman" w:hAnsi="Times New Roman" w:cs="Times New Roman"/>
          <w:b w:val="0"/>
          <w:bCs/>
          <w:spacing w:val="-3"/>
          <w:szCs w:val="24"/>
          <w:lang w:val="es-CO" w:eastAsia="es-AR"/>
        </w:rPr>
        <w:t>en la primera</w:t>
      </w:r>
      <w:r w:rsidR="00BC5D17">
        <w:rPr>
          <w:rFonts w:ascii="Times New Roman" w:eastAsia="Times New Roman" w:hAnsi="Times New Roman" w:cs="Times New Roman"/>
          <w:b w:val="0"/>
          <w:bCs/>
          <w:spacing w:val="-3"/>
          <w:szCs w:val="24"/>
          <w:lang w:val="es-CO" w:eastAsia="es-AR"/>
        </w:rPr>
        <w:t xml:space="preserve"> y única instancia</w:t>
      </w:r>
      <w:r w:rsidRPr="000D029A">
        <w:rPr>
          <w:rFonts w:ascii="Times New Roman" w:eastAsia="Times New Roman" w:hAnsi="Times New Roman" w:cs="Times New Roman"/>
          <w:b w:val="0"/>
          <w:bCs/>
          <w:spacing w:val="-3"/>
          <w:szCs w:val="24"/>
          <w:lang w:val="es-CO" w:eastAsia="es-AR"/>
        </w:rPr>
        <w:t>.</w:t>
      </w:r>
    </w:p>
    <w:p w:rsidR="000D029A" w:rsidRPr="000D029A"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 xml:space="preserve">Ahora bien, </w:t>
      </w:r>
      <w:r w:rsidR="00BC5D17">
        <w:rPr>
          <w:rFonts w:ascii="Times New Roman" w:eastAsia="Times New Roman" w:hAnsi="Times New Roman" w:cs="Times New Roman"/>
          <w:b w:val="0"/>
          <w:bCs/>
          <w:spacing w:val="-3"/>
          <w:szCs w:val="24"/>
          <w:lang w:val="es-CO" w:eastAsia="es-AR"/>
        </w:rPr>
        <w:t xml:space="preserve">es de notarse que </w:t>
      </w:r>
      <w:r w:rsidRPr="000D029A">
        <w:rPr>
          <w:rFonts w:ascii="Times New Roman" w:eastAsia="Times New Roman" w:hAnsi="Times New Roman" w:cs="Times New Roman"/>
          <w:b w:val="0"/>
          <w:bCs/>
          <w:spacing w:val="-3"/>
          <w:szCs w:val="24"/>
          <w:lang w:val="es-CO" w:eastAsia="es-AR"/>
        </w:rPr>
        <w:t>aunque no se requiera de los ordenamientos nacionales garantizar tal derecho</w:t>
      </w:r>
      <w:r w:rsidR="00BC5D17">
        <w:rPr>
          <w:rFonts w:ascii="Times New Roman" w:eastAsia="Times New Roman" w:hAnsi="Times New Roman" w:cs="Times New Roman"/>
          <w:b w:val="0"/>
          <w:bCs/>
          <w:spacing w:val="-3"/>
          <w:szCs w:val="24"/>
          <w:lang w:val="es-CO" w:eastAsia="es-AR"/>
        </w:rPr>
        <w:t xml:space="preserve"> en todos los casos o situaciones</w:t>
      </w:r>
      <w:r w:rsidRPr="000D029A">
        <w:rPr>
          <w:rFonts w:ascii="Times New Roman" w:eastAsia="Times New Roman" w:hAnsi="Times New Roman" w:cs="Times New Roman"/>
          <w:b w:val="0"/>
          <w:bCs/>
          <w:spacing w:val="-3"/>
          <w:szCs w:val="24"/>
          <w:lang w:val="es-CO" w:eastAsia="es-AR"/>
        </w:rPr>
        <w:t xml:space="preserve">, lo cierto es que existen ordenamientos jurídicos en que se </w:t>
      </w:r>
      <w:r w:rsidR="00E700D7">
        <w:rPr>
          <w:rFonts w:ascii="Times New Roman" w:eastAsia="Times New Roman" w:hAnsi="Times New Roman" w:cs="Times New Roman"/>
          <w:b w:val="0"/>
          <w:bCs/>
          <w:spacing w:val="-3"/>
          <w:szCs w:val="24"/>
          <w:lang w:val="es-CO" w:eastAsia="es-AR"/>
        </w:rPr>
        <w:t xml:space="preserve">lo asegura a nivel constitucional y/o legal </w:t>
      </w:r>
      <w:r w:rsidRPr="000D029A">
        <w:rPr>
          <w:rFonts w:ascii="Times New Roman" w:eastAsia="Times New Roman" w:hAnsi="Times New Roman" w:cs="Times New Roman"/>
          <w:b w:val="0"/>
          <w:bCs/>
          <w:spacing w:val="-3"/>
          <w:szCs w:val="24"/>
          <w:lang w:val="es-CO" w:eastAsia="es-AR"/>
        </w:rPr>
        <w:t xml:space="preserve">en materia procesal administrativa, con lo cual allí no sería jurídicamente posible retroceder en su concesión, dado el principio interpretativo de </w:t>
      </w:r>
      <w:r w:rsidRPr="00BC5D17">
        <w:rPr>
          <w:rFonts w:ascii="Times New Roman" w:eastAsia="Times New Roman" w:hAnsi="Times New Roman" w:cs="Times New Roman"/>
          <w:b w:val="0"/>
          <w:bCs/>
          <w:i/>
          <w:spacing w:val="-3"/>
          <w:szCs w:val="24"/>
          <w:lang w:val="es-CO" w:eastAsia="es-AR"/>
        </w:rPr>
        <w:t>irreversibilidad</w:t>
      </w:r>
      <w:r w:rsidRPr="000D029A">
        <w:rPr>
          <w:rFonts w:ascii="Times New Roman" w:eastAsia="Times New Roman" w:hAnsi="Times New Roman" w:cs="Times New Roman"/>
          <w:b w:val="0"/>
          <w:bCs/>
          <w:spacing w:val="-3"/>
          <w:szCs w:val="24"/>
          <w:lang w:val="es-CO" w:eastAsia="es-AR"/>
        </w:rPr>
        <w:t xml:space="preserve"> contenido en el artículo 29 de la CADH, en virtud del cual una vez que un derecho ha sido reconocido, queda definitiva e irrevocablemente integrado a la categoría de aquellos derechos cuya inviolabilidad debe ser respetada y garantizada. </w:t>
      </w:r>
    </w:p>
    <w:p w:rsidR="00BD7214" w:rsidRDefault="000D029A" w:rsidP="000D029A">
      <w:pPr>
        <w:ind w:firstLine="567"/>
        <w:rPr>
          <w:rFonts w:ascii="Times New Roman" w:eastAsia="Times New Roman" w:hAnsi="Times New Roman" w:cs="Times New Roman"/>
          <w:b w:val="0"/>
          <w:bCs/>
          <w:spacing w:val="-3"/>
          <w:szCs w:val="24"/>
          <w:lang w:val="es-CO" w:eastAsia="es-AR"/>
        </w:rPr>
      </w:pPr>
      <w:r w:rsidRPr="000D029A">
        <w:rPr>
          <w:rFonts w:ascii="Times New Roman" w:eastAsia="Times New Roman" w:hAnsi="Times New Roman" w:cs="Times New Roman"/>
          <w:b w:val="0"/>
          <w:bCs/>
          <w:spacing w:val="-3"/>
          <w:szCs w:val="24"/>
          <w:lang w:val="es-CO" w:eastAsia="es-AR"/>
        </w:rPr>
        <w:t xml:space="preserve">Entonces, partimos de la regla conforme a la cual resulta necesario asegurar ese mínimo de respeto del derecho a la </w:t>
      </w:r>
      <w:r w:rsidRPr="00BC5D17">
        <w:rPr>
          <w:rFonts w:ascii="Times New Roman" w:eastAsia="Times New Roman" w:hAnsi="Times New Roman" w:cs="Times New Roman"/>
          <w:b w:val="0"/>
          <w:bCs/>
          <w:i/>
          <w:spacing w:val="-3"/>
          <w:szCs w:val="24"/>
          <w:lang w:val="es-CO" w:eastAsia="es-AR"/>
        </w:rPr>
        <w:t>doble instancia</w:t>
      </w:r>
      <w:r w:rsidRPr="000D029A">
        <w:rPr>
          <w:rFonts w:ascii="Times New Roman" w:eastAsia="Times New Roman" w:hAnsi="Times New Roman" w:cs="Times New Roman"/>
          <w:b w:val="0"/>
          <w:bCs/>
          <w:spacing w:val="-3"/>
          <w:szCs w:val="24"/>
          <w:lang w:val="es-CO" w:eastAsia="es-AR"/>
        </w:rPr>
        <w:t>, a través del recurso, en los procesos en que se revisan sanciones administrativas, en el más restrictivo de los supuestos</w:t>
      </w:r>
      <w:r w:rsidR="00BC5D17">
        <w:rPr>
          <w:rFonts w:ascii="Times New Roman" w:eastAsia="Times New Roman" w:hAnsi="Times New Roman" w:cs="Times New Roman"/>
          <w:b w:val="0"/>
          <w:bCs/>
          <w:spacing w:val="-3"/>
          <w:szCs w:val="24"/>
          <w:lang w:val="es-CO" w:eastAsia="es-AR"/>
        </w:rPr>
        <w:t>,</w:t>
      </w:r>
      <w:r w:rsidR="00D94CB1">
        <w:rPr>
          <w:rFonts w:ascii="Times New Roman" w:eastAsia="Times New Roman" w:hAnsi="Times New Roman" w:cs="Times New Roman"/>
          <w:b w:val="0"/>
          <w:bCs/>
          <w:spacing w:val="-3"/>
          <w:szCs w:val="24"/>
          <w:lang w:val="es-CO" w:eastAsia="es-AR"/>
        </w:rPr>
        <w:t xml:space="preserve"> cuando</w:t>
      </w:r>
      <w:r w:rsidRPr="000D029A">
        <w:rPr>
          <w:rFonts w:ascii="Times New Roman" w:eastAsia="Times New Roman" w:hAnsi="Times New Roman" w:cs="Times New Roman"/>
          <w:b w:val="0"/>
          <w:bCs/>
          <w:spacing w:val="-3"/>
          <w:szCs w:val="24"/>
          <w:lang w:val="es-CO" w:eastAsia="es-AR"/>
        </w:rPr>
        <w:t xml:space="preserve"> la sanción consiste en la pérdida de libertad ambulatoria, pero también cuando ella suponga un</w:t>
      </w:r>
      <w:r w:rsidR="00E700D7">
        <w:rPr>
          <w:rFonts w:ascii="Times New Roman" w:eastAsia="Times New Roman" w:hAnsi="Times New Roman" w:cs="Times New Roman"/>
          <w:b w:val="0"/>
          <w:bCs/>
          <w:spacing w:val="-3"/>
          <w:szCs w:val="24"/>
          <w:lang w:val="es-CO" w:eastAsia="es-AR"/>
        </w:rPr>
        <w:t xml:space="preserve">a afectación patrimonial –tal como </w:t>
      </w:r>
      <w:r w:rsidR="00BD7214">
        <w:rPr>
          <w:rFonts w:ascii="Times New Roman" w:eastAsia="Times New Roman" w:hAnsi="Times New Roman" w:cs="Times New Roman"/>
          <w:b w:val="0"/>
          <w:bCs/>
          <w:spacing w:val="-3"/>
          <w:szCs w:val="24"/>
          <w:lang w:val="es-CO" w:eastAsia="es-AR"/>
        </w:rPr>
        <w:t xml:space="preserve">la </w:t>
      </w:r>
      <w:r w:rsidR="00E700D7">
        <w:rPr>
          <w:rFonts w:ascii="Times New Roman" w:eastAsia="Times New Roman" w:hAnsi="Times New Roman" w:cs="Times New Roman"/>
          <w:b w:val="0"/>
          <w:bCs/>
          <w:spacing w:val="-3"/>
          <w:szCs w:val="24"/>
          <w:lang w:val="es-CO" w:eastAsia="es-AR"/>
        </w:rPr>
        <w:t xml:space="preserve">aplicación de </w:t>
      </w:r>
      <w:r w:rsidRPr="000D029A">
        <w:rPr>
          <w:rFonts w:ascii="Times New Roman" w:eastAsia="Times New Roman" w:hAnsi="Times New Roman" w:cs="Times New Roman"/>
          <w:b w:val="0"/>
          <w:bCs/>
          <w:spacing w:val="-3"/>
          <w:szCs w:val="24"/>
          <w:lang w:val="es-CO" w:eastAsia="es-AR"/>
        </w:rPr>
        <w:t>multas</w:t>
      </w:r>
      <w:r w:rsidR="00BC5D17">
        <w:rPr>
          <w:rFonts w:ascii="Times New Roman" w:eastAsia="Times New Roman" w:hAnsi="Times New Roman" w:cs="Times New Roman"/>
          <w:b w:val="0"/>
          <w:bCs/>
          <w:spacing w:val="-3"/>
          <w:szCs w:val="24"/>
          <w:lang w:val="es-CO" w:eastAsia="es-AR"/>
        </w:rPr>
        <w:t xml:space="preserve"> u otras sanciones pecuniarias contractuales</w:t>
      </w:r>
      <w:r w:rsidRPr="000D029A">
        <w:rPr>
          <w:rFonts w:ascii="Times New Roman" w:eastAsia="Times New Roman" w:hAnsi="Times New Roman" w:cs="Times New Roman"/>
          <w:b w:val="0"/>
          <w:bCs/>
          <w:spacing w:val="-3"/>
          <w:szCs w:val="24"/>
          <w:lang w:val="es-CO" w:eastAsia="es-AR"/>
        </w:rPr>
        <w:t>-, o del derecho al</w:t>
      </w:r>
      <w:r w:rsidR="00E700D7">
        <w:rPr>
          <w:rFonts w:ascii="Times New Roman" w:eastAsia="Times New Roman" w:hAnsi="Times New Roman" w:cs="Times New Roman"/>
          <w:b w:val="0"/>
          <w:bCs/>
          <w:spacing w:val="-3"/>
          <w:szCs w:val="24"/>
          <w:lang w:val="es-CO" w:eastAsia="es-AR"/>
        </w:rPr>
        <w:t xml:space="preserve"> honor y/o al</w:t>
      </w:r>
      <w:r w:rsidRPr="000D029A">
        <w:rPr>
          <w:rFonts w:ascii="Times New Roman" w:eastAsia="Times New Roman" w:hAnsi="Times New Roman" w:cs="Times New Roman"/>
          <w:b w:val="0"/>
          <w:bCs/>
          <w:spacing w:val="-3"/>
          <w:szCs w:val="24"/>
          <w:lang w:val="es-CO" w:eastAsia="es-AR"/>
        </w:rPr>
        <w:t xml:space="preserve"> empleo</w:t>
      </w:r>
      <w:r w:rsidR="00BD7214">
        <w:rPr>
          <w:rFonts w:ascii="Times New Roman" w:eastAsia="Times New Roman" w:hAnsi="Times New Roman" w:cs="Times New Roman"/>
          <w:b w:val="0"/>
          <w:bCs/>
          <w:spacing w:val="-3"/>
          <w:szCs w:val="24"/>
          <w:lang w:val="es-CO" w:eastAsia="es-AR"/>
        </w:rPr>
        <w:t xml:space="preserve"> público -cuando se aplican sanciones tales como </w:t>
      </w:r>
      <w:r w:rsidRPr="000D029A">
        <w:rPr>
          <w:rFonts w:ascii="Times New Roman" w:eastAsia="Times New Roman" w:hAnsi="Times New Roman" w:cs="Times New Roman"/>
          <w:b w:val="0"/>
          <w:bCs/>
          <w:spacing w:val="-3"/>
          <w:szCs w:val="24"/>
          <w:lang w:val="es-CO" w:eastAsia="es-AR"/>
        </w:rPr>
        <w:t>suspensi</w:t>
      </w:r>
      <w:r w:rsidR="00BD7214">
        <w:rPr>
          <w:rFonts w:ascii="Times New Roman" w:eastAsia="Times New Roman" w:hAnsi="Times New Roman" w:cs="Times New Roman"/>
          <w:b w:val="0"/>
          <w:bCs/>
          <w:spacing w:val="-3"/>
          <w:szCs w:val="24"/>
          <w:lang w:val="es-CO" w:eastAsia="es-AR"/>
        </w:rPr>
        <w:t>ón o cesantía-.</w:t>
      </w:r>
      <w:r w:rsidRPr="000D029A">
        <w:rPr>
          <w:rFonts w:ascii="Times New Roman" w:eastAsia="Times New Roman" w:hAnsi="Times New Roman" w:cs="Times New Roman"/>
          <w:b w:val="0"/>
          <w:bCs/>
          <w:spacing w:val="-3"/>
          <w:szCs w:val="24"/>
          <w:lang w:val="es-CO" w:eastAsia="es-AR"/>
        </w:rPr>
        <w:t xml:space="preserve"> </w:t>
      </w:r>
    </w:p>
    <w:p w:rsidR="000D029A" w:rsidRPr="000D029A" w:rsidRDefault="00BD7214" w:rsidP="000D029A">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L</w:t>
      </w:r>
      <w:r w:rsidR="000D029A" w:rsidRPr="000D029A">
        <w:rPr>
          <w:rFonts w:ascii="Times New Roman" w:eastAsia="Times New Roman" w:hAnsi="Times New Roman" w:cs="Times New Roman"/>
          <w:b w:val="0"/>
          <w:bCs/>
          <w:spacing w:val="-3"/>
          <w:szCs w:val="24"/>
          <w:lang w:val="es-CO" w:eastAsia="es-AR"/>
        </w:rPr>
        <w:t xml:space="preserve">a mayoría de las provincias argentinas </w:t>
      </w:r>
      <w:r>
        <w:rPr>
          <w:rFonts w:ascii="Times New Roman" w:eastAsia="Times New Roman" w:hAnsi="Times New Roman" w:cs="Times New Roman"/>
          <w:b w:val="0"/>
          <w:bCs/>
          <w:spacing w:val="-3"/>
          <w:szCs w:val="24"/>
          <w:lang w:val="es-CO" w:eastAsia="es-AR"/>
        </w:rPr>
        <w:t xml:space="preserve">no ha receptado </w:t>
      </w:r>
      <w:r w:rsidR="00D94CB1">
        <w:rPr>
          <w:rFonts w:ascii="Times New Roman" w:eastAsia="Times New Roman" w:hAnsi="Times New Roman" w:cs="Times New Roman"/>
          <w:b w:val="0"/>
          <w:bCs/>
          <w:spacing w:val="-3"/>
          <w:szCs w:val="24"/>
          <w:lang w:val="es-CO" w:eastAsia="es-AR"/>
        </w:rPr>
        <w:t xml:space="preserve">ese derecho en sus respectivos sistemas jurídicos, </w:t>
      </w:r>
      <w:r w:rsidR="000D029A" w:rsidRPr="000D029A">
        <w:rPr>
          <w:rFonts w:ascii="Times New Roman" w:eastAsia="Times New Roman" w:hAnsi="Times New Roman" w:cs="Times New Roman"/>
          <w:b w:val="0"/>
          <w:bCs/>
          <w:spacing w:val="-3"/>
          <w:szCs w:val="24"/>
          <w:lang w:val="es-CO" w:eastAsia="es-AR"/>
        </w:rPr>
        <w:t xml:space="preserve">y sería propicio que </w:t>
      </w:r>
      <w:r>
        <w:rPr>
          <w:rFonts w:ascii="Times New Roman" w:eastAsia="Times New Roman" w:hAnsi="Times New Roman" w:cs="Times New Roman"/>
          <w:b w:val="0"/>
          <w:bCs/>
          <w:spacing w:val="-3"/>
          <w:szCs w:val="24"/>
          <w:lang w:val="es-CO" w:eastAsia="es-AR"/>
        </w:rPr>
        <w:t xml:space="preserve">estos </w:t>
      </w:r>
      <w:r w:rsidR="000D029A" w:rsidRPr="000D029A">
        <w:rPr>
          <w:rFonts w:ascii="Times New Roman" w:eastAsia="Times New Roman" w:hAnsi="Times New Roman" w:cs="Times New Roman"/>
          <w:b w:val="0"/>
          <w:bCs/>
          <w:spacing w:val="-3"/>
          <w:szCs w:val="24"/>
          <w:lang w:val="es-CO" w:eastAsia="es-AR"/>
        </w:rPr>
        <w:t>se adaptaran</w:t>
      </w:r>
      <w:r>
        <w:rPr>
          <w:rFonts w:ascii="Times New Roman" w:eastAsia="Times New Roman" w:hAnsi="Times New Roman" w:cs="Times New Roman"/>
          <w:b w:val="0"/>
          <w:bCs/>
          <w:spacing w:val="-3"/>
          <w:szCs w:val="24"/>
          <w:lang w:val="es-CO" w:eastAsia="es-AR"/>
        </w:rPr>
        <w:t>,</w:t>
      </w:r>
      <w:r w:rsidR="000D029A" w:rsidRPr="000D029A">
        <w:rPr>
          <w:rFonts w:ascii="Times New Roman" w:eastAsia="Times New Roman" w:hAnsi="Times New Roman" w:cs="Times New Roman"/>
          <w:b w:val="0"/>
          <w:bCs/>
          <w:spacing w:val="-3"/>
          <w:szCs w:val="24"/>
          <w:lang w:val="es-CO" w:eastAsia="es-AR"/>
        </w:rPr>
        <w:t xml:space="preserve"> pudiendo</w:t>
      </w:r>
      <w:r>
        <w:rPr>
          <w:rFonts w:ascii="Times New Roman" w:eastAsia="Times New Roman" w:hAnsi="Times New Roman" w:cs="Times New Roman"/>
          <w:b w:val="0"/>
          <w:bCs/>
          <w:spacing w:val="-3"/>
          <w:szCs w:val="24"/>
          <w:lang w:val="es-CO" w:eastAsia="es-AR"/>
        </w:rPr>
        <w:t xml:space="preserve"> incluso</w:t>
      </w:r>
      <w:r w:rsidR="000D029A" w:rsidRPr="000D029A">
        <w:rPr>
          <w:rFonts w:ascii="Times New Roman" w:eastAsia="Times New Roman" w:hAnsi="Times New Roman" w:cs="Times New Roman"/>
          <w:b w:val="0"/>
          <w:bCs/>
          <w:spacing w:val="-3"/>
          <w:szCs w:val="24"/>
          <w:lang w:val="es-CO" w:eastAsia="es-AR"/>
        </w:rPr>
        <w:t xml:space="preserve"> hacerlo</w:t>
      </w:r>
      <w:r>
        <w:rPr>
          <w:rFonts w:ascii="Times New Roman" w:eastAsia="Times New Roman" w:hAnsi="Times New Roman" w:cs="Times New Roman"/>
          <w:b w:val="0"/>
          <w:bCs/>
          <w:spacing w:val="-3"/>
          <w:szCs w:val="24"/>
          <w:lang w:val="es-CO" w:eastAsia="es-AR"/>
        </w:rPr>
        <w:t xml:space="preserve">, mínimamente, </w:t>
      </w:r>
      <w:r w:rsidR="000D029A" w:rsidRPr="000D029A">
        <w:rPr>
          <w:rFonts w:ascii="Times New Roman" w:eastAsia="Times New Roman" w:hAnsi="Times New Roman" w:cs="Times New Roman"/>
          <w:b w:val="0"/>
          <w:bCs/>
          <w:spacing w:val="-3"/>
          <w:szCs w:val="24"/>
          <w:lang w:val="es-CO" w:eastAsia="es-AR"/>
        </w:rPr>
        <w:t xml:space="preserve">a través de un recurso amplio de carácter horizontal, </w:t>
      </w:r>
      <w:r w:rsidR="00E700D7">
        <w:rPr>
          <w:rFonts w:ascii="Times New Roman" w:eastAsia="Times New Roman" w:hAnsi="Times New Roman" w:cs="Times New Roman"/>
          <w:b w:val="0"/>
          <w:bCs/>
          <w:spacing w:val="-3"/>
          <w:szCs w:val="24"/>
          <w:lang w:val="es-CO" w:eastAsia="es-AR"/>
        </w:rPr>
        <w:t xml:space="preserve">en que diversos miembros </w:t>
      </w:r>
      <w:r w:rsidR="000D029A" w:rsidRPr="000D029A">
        <w:rPr>
          <w:rFonts w:ascii="Times New Roman" w:eastAsia="Times New Roman" w:hAnsi="Times New Roman" w:cs="Times New Roman"/>
          <w:b w:val="0"/>
          <w:bCs/>
          <w:spacing w:val="-3"/>
          <w:szCs w:val="24"/>
          <w:lang w:val="es-CO" w:eastAsia="es-AR"/>
        </w:rPr>
        <w:t>de un mismo tribunal superior de justicia, pud</w:t>
      </w:r>
      <w:r w:rsidR="00E700D7">
        <w:rPr>
          <w:rFonts w:ascii="Times New Roman" w:eastAsia="Times New Roman" w:hAnsi="Times New Roman" w:cs="Times New Roman"/>
          <w:b w:val="0"/>
          <w:bCs/>
          <w:spacing w:val="-3"/>
          <w:szCs w:val="24"/>
          <w:lang w:val="es-CO" w:eastAsia="es-AR"/>
        </w:rPr>
        <w:t>iesen</w:t>
      </w:r>
      <w:r w:rsidR="000D029A" w:rsidRPr="000D029A">
        <w:rPr>
          <w:rFonts w:ascii="Times New Roman" w:eastAsia="Times New Roman" w:hAnsi="Times New Roman" w:cs="Times New Roman"/>
          <w:b w:val="0"/>
          <w:bCs/>
          <w:spacing w:val="-3"/>
          <w:szCs w:val="24"/>
          <w:lang w:val="es-CO" w:eastAsia="es-AR"/>
        </w:rPr>
        <w:t xml:space="preserve"> revisar la sentencia adversa al accionante que litiga frente a la administración pública.</w:t>
      </w:r>
    </w:p>
    <w:p w:rsidR="000D029A" w:rsidRDefault="00BD7214" w:rsidP="000D029A">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No obstante, existen otras jurisdicciones en nuestro país, en que a</w:t>
      </w:r>
      <w:r w:rsidR="000D029A" w:rsidRPr="000D029A">
        <w:rPr>
          <w:rFonts w:ascii="Times New Roman" w:eastAsia="Times New Roman" w:hAnsi="Times New Roman" w:cs="Times New Roman"/>
          <w:b w:val="0"/>
          <w:bCs/>
          <w:spacing w:val="-3"/>
          <w:szCs w:val="24"/>
          <w:lang w:val="es-CO" w:eastAsia="es-AR"/>
        </w:rPr>
        <w:t>ctualmente se encuentra asegurado el derecho al recurso en materia contencioso-administrativa</w:t>
      </w:r>
      <w:r>
        <w:rPr>
          <w:rFonts w:ascii="Times New Roman" w:eastAsia="Times New Roman" w:hAnsi="Times New Roman" w:cs="Times New Roman"/>
          <w:b w:val="0"/>
          <w:bCs/>
          <w:spacing w:val="-3"/>
          <w:szCs w:val="24"/>
          <w:lang w:val="es-CO" w:eastAsia="es-AR"/>
        </w:rPr>
        <w:t>,</w:t>
      </w:r>
      <w:r w:rsidR="000D029A" w:rsidRPr="000D029A">
        <w:rPr>
          <w:rFonts w:ascii="Times New Roman" w:eastAsia="Times New Roman" w:hAnsi="Times New Roman" w:cs="Times New Roman"/>
          <w:b w:val="0"/>
          <w:bCs/>
          <w:spacing w:val="-3"/>
          <w:szCs w:val="24"/>
          <w:lang w:val="es-CO" w:eastAsia="es-AR"/>
        </w:rPr>
        <w:t xml:space="preserve"> tales </w:t>
      </w:r>
      <w:r w:rsidRPr="000D029A">
        <w:rPr>
          <w:rFonts w:ascii="Times New Roman" w:eastAsia="Times New Roman" w:hAnsi="Times New Roman" w:cs="Times New Roman"/>
          <w:b w:val="0"/>
          <w:bCs/>
          <w:spacing w:val="-3"/>
          <w:szCs w:val="24"/>
          <w:lang w:val="es-CO" w:eastAsia="es-AR"/>
        </w:rPr>
        <w:t>como Provincia</w:t>
      </w:r>
      <w:r w:rsidR="000D029A" w:rsidRPr="000D029A">
        <w:rPr>
          <w:rFonts w:ascii="Times New Roman" w:eastAsia="Times New Roman" w:hAnsi="Times New Roman" w:cs="Times New Roman"/>
          <w:b w:val="0"/>
          <w:bCs/>
          <w:spacing w:val="-3"/>
          <w:szCs w:val="24"/>
          <w:lang w:val="es-CO" w:eastAsia="es-AR"/>
        </w:rPr>
        <w:t xml:space="preserve"> de Buenos Aires, CABA, San Juan, Río Negro, Corrientes y en el ámbito del Estado Nacional en general. En ellas no sería jurídicamente posible retroceder en el reconocimiento del derecho al recurso, por encontrarse </w:t>
      </w:r>
      <w:r>
        <w:rPr>
          <w:rFonts w:ascii="Times New Roman" w:eastAsia="Times New Roman" w:hAnsi="Times New Roman" w:cs="Times New Roman"/>
          <w:b w:val="0"/>
          <w:bCs/>
          <w:spacing w:val="-3"/>
          <w:szCs w:val="24"/>
          <w:lang w:val="es-CO" w:eastAsia="es-AR"/>
        </w:rPr>
        <w:t xml:space="preserve">allí </w:t>
      </w:r>
      <w:r w:rsidR="000D029A" w:rsidRPr="000D029A">
        <w:rPr>
          <w:rFonts w:ascii="Times New Roman" w:eastAsia="Times New Roman" w:hAnsi="Times New Roman" w:cs="Times New Roman"/>
          <w:b w:val="0"/>
          <w:bCs/>
          <w:spacing w:val="-3"/>
          <w:szCs w:val="24"/>
          <w:lang w:val="es-CO" w:eastAsia="es-AR"/>
        </w:rPr>
        <w:t xml:space="preserve">incorporado como derecho la posibilidad de recurrir fallos adversos en </w:t>
      </w:r>
      <w:r>
        <w:rPr>
          <w:rFonts w:ascii="Times New Roman" w:eastAsia="Times New Roman" w:hAnsi="Times New Roman" w:cs="Times New Roman"/>
          <w:b w:val="0"/>
          <w:bCs/>
          <w:spacing w:val="-3"/>
          <w:szCs w:val="24"/>
          <w:lang w:val="es-CO" w:eastAsia="es-AR"/>
        </w:rPr>
        <w:t>lo contencioso-administrativo.</w:t>
      </w:r>
    </w:p>
    <w:p w:rsidR="00762484" w:rsidRDefault="00D94CB1" w:rsidP="00B57E15">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En tal sentido, resulta valiosa la experiencia de la Provincia de Buenos Aires, que en el año 1994 reformó su Constitución sustrayendo el conocimiento originario en única instancia de su Suprema Corte respecto de este tipo de causa</w:t>
      </w:r>
      <w:r w:rsidR="00617616">
        <w:rPr>
          <w:rFonts w:ascii="Times New Roman" w:eastAsia="Times New Roman" w:hAnsi="Times New Roman" w:cs="Times New Roman"/>
          <w:b w:val="0"/>
          <w:bCs/>
          <w:spacing w:val="-3"/>
          <w:szCs w:val="24"/>
          <w:lang w:val="es-CO" w:eastAsia="es-AR"/>
        </w:rPr>
        <w:t>s</w:t>
      </w:r>
      <w:r>
        <w:rPr>
          <w:rFonts w:ascii="Times New Roman" w:eastAsia="Times New Roman" w:hAnsi="Times New Roman" w:cs="Times New Roman"/>
          <w:b w:val="0"/>
          <w:bCs/>
          <w:spacing w:val="-3"/>
          <w:szCs w:val="24"/>
          <w:lang w:val="es-CO" w:eastAsia="es-AR"/>
        </w:rPr>
        <w:t xml:space="preserve">, estableciendo al mismo </w:t>
      </w:r>
      <w:r>
        <w:rPr>
          <w:rFonts w:ascii="Times New Roman" w:eastAsia="Times New Roman" w:hAnsi="Times New Roman" w:cs="Times New Roman"/>
          <w:b w:val="0"/>
          <w:bCs/>
          <w:spacing w:val="-3"/>
          <w:szCs w:val="24"/>
          <w:lang w:val="es-CO" w:eastAsia="es-AR"/>
        </w:rPr>
        <w:lastRenderedPageBreak/>
        <w:t>tiempo la necesidad de creación de un fuero especializado en la materia</w:t>
      </w:r>
      <w:r w:rsidR="00BD7214">
        <w:rPr>
          <w:rFonts w:ascii="Times New Roman" w:eastAsia="Times New Roman" w:hAnsi="Times New Roman" w:cs="Times New Roman"/>
          <w:b w:val="0"/>
          <w:bCs/>
          <w:spacing w:val="-3"/>
          <w:szCs w:val="24"/>
          <w:lang w:val="es-CO" w:eastAsia="es-AR"/>
        </w:rPr>
        <w:t>, el</w:t>
      </w:r>
      <w:r w:rsidR="009A1E0A">
        <w:rPr>
          <w:rFonts w:ascii="Times New Roman" w:eastAsia="Times New Roman" w:hAnsi="Times New Roman" w:cs="Times New Roman"/>
          <w:b w:val="0"/>
          <w:bCs/>
          <w:spacing w:val="-3"/>
          <w:szCs w:val="24"/>
          <w:lang w:val="es-CO" w:eastAsia="es-AR"/>
        </w:rPr>
        <w:t xml:space="preserve"> que comenzó a funcionar a fines del año 2003</w:t>
      </w:r>
      <w:r w:rsidR="00E342DA">
        <w:rPr>
          <w:rFonts w:ascii="Times New Roman" w:eastAsia="Times New Roman" w:hAnsi="Times New Roman" w:cs="Times New Roman"/>
          <w:b w:val="0"/>
          <w:bCs/>
          <w:spacing w:val="-3"/>
          <w:szCs w:val="24"/>
          <w:lang w:val="es-CO" w:eastAsia="es-AR"/>
        </w:rPr>
        <w:t>, con juzgados y cámaras de apelaciones diseminados a lo largo y ancho de su territorio.</w:t>
      </w:r>
    </w:p>
    <w:p w:rsidR="00335AFD" w:rsidRDefault="00E342DA" w:rsidP="00B57E15">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La</w:t>
      </w:r>
      <w:r w:rsidR="00FC4028">
        <w:rPr>
          <w:rFonts w:ascii="Times New Roman" w:eastAsia="Times New Roman" w:hAnsi="Times New Roman" w:cs="Times New Roman"/>
          <w:b w:val="0"/>
          <w:bCs/>
          <w:spacing w:val="-3"/>
          <w:szCs w:val="24"/>
          <w:lang w:val="es-CO" w:eastAsia="es-AR"/>
        </w:rPr>
        <w:t xml:space="preserve"> comparación de</w:t>
      </w:r>
      <w:r>
        <w:rPr>
          <w:rFonts w:ascii="Times New Roman" w:eastAsia="Times New Roman" w:hAnsi="Times New Roman" w:cs="Times New Roman"/>
          <w:b w:val="0"/>
          <w:bCs/>
          <w:spacing w:val="-3"/>
          <w:szCs w:val="24"/>
          <w:lang w:val="es-CO" w:eastAsia="es-AR"/>
        </w:rPr>
        <w:t xml:space="preserve"> estadísticas obtenidas en su momento</w:t>
      </w:r>
      <w:r w:rsidR="00FC4028">
        <w:rPr>
          <w:rFonts w:ascii="Times New Roman" w:eastAsia="Times New Roman" w:hAnsi="Times New Roman" w:cs="Times New Roman"/>
          <w:b w:val="0"/>
          <w:bCs/>
          <w:spacing w:val="-3"/>
          <w:szCs w:val="24"/>
          <w:lang w:val="es-CO" w:eastAsia="es-AR"/>
        </w:rPr>
        <w:t xml:space="preserve">, </w:t>
      </w:r>
      <w:r>
        <w:rPr>
          <w:rFonts w:ascii="Times New Roman" w:eastAsia="Times New Roman" w:hAnsi="Times New Roman" w:cs="Times New Roman"/>
          <w:b w:val="0"/>
          <w:bCs/>
          <w:spacing w:val="-3"/>
          <w:szCs w:val="24"/>
          <w:lang w:val="es-CO" w:eastAsia="es-AR"/>
        </w:rPr>
        <w:t xml:space="preserve">dan cuenta de que en total se iniciaron aproximadamente </w:t>
      </w:r>
      <w:r w:rsidR="00FC4028">
        <w:rPr>
          <w:rFonts w:ascii="Times New Roman" w:eastAsia="Times New Roman" w:hAnsi="Times New Roman" w:cs="Times New Roman"/>
          <w:b w:val="0"/>
          <w:bCs/>
          <w:spacing w:val="-3"/>
          <w:szCs w:val="24"/>
          <w:lang w:val="es-CO" w:eastAsia="es-AR"/>
        </w:rPr>
        <w:t xml:space="preserve">cincuenta y siete </w:t>
      </w:r>
      <w:r>
        <w:rPr>
          <w:rFonts w:ascii="Times New Roman" w:eastAsia="Times New Roman" w:hAnsi="Times New Roman" w:cs="Times New Roman"/>
          <w:b w:val="0"/>
          <w:bCs/>
          <w:spacing w:val="-3"/>
          <w:szCs w:val="24"/>
          <w:lang w:val="es-CO" w:eastAsia="es-AR"/>
        </w:rPr>
        <w:t>(</w:t>
      </w:r>
      <w:r w:rsidR="00FC4028">
        <w:rPr>
          <w:rFonts w:ascii="Times New Roman" w:eastAsia="Times New Roman" w:hAnsi="Times New Roman" w:cs="Times New Roman"/>
          <w:b w:val="0"/>
          <w:bCs/>
          <w:spacing w:val="-3"/>
          <w:szCs w:val="24"/>
          <w:lang w:val="es-CO" w:eastAsia="es-AR"/>
        </w:rPr>
        <w:t>57</w:t>
      </w:r>
      <w:r>
        <w:rPr>
          <w:rFonts w:ascii="Times New Roman" w:eastAsia="Times New Roman" w:hAnsi="Times New Roman" w:cs="Times New Roman"/>
          <w:b w:val="0"/>
          <w:bCs/>
          <w:spacing w:val="-3"/>
          <w:szCs w:val="24"/>
          <w:lang w:val="es-CO" w:eastAsia="es-AR"/>
        </w:rPr>
        <w:t>) veces más juicios</w:t>
      </w:r>
      <w:r w:rsidR="00FC4028">
        <w:rPr>
          <w:rFonts w:ascii="Times New Roman" w:eastAsia="Times New Roman" w:hAnsi="Times New Roman" w:cs="Times New Roman"/>
          <w:b w:val="0"/>
          <w:bCs/>
          <w:spacing w:val="-3"/>
          <w:szCs w:val="24"/>
          <w:lang w:val="es-CO" w:eastAsia="es-AR"/>
        </w:rPr>
        <w:t xml:space="preserve"> correspondientes a acciones procesales administrativas</w:t>
      </w:r>
      <w:r>
        <w:rPr>
          <w:rFonts w:ascii="Times New Roman" w:eastAsia="Times New Roman" w:hAnsi="Times New Roman" w:cs="Times New Roman"/>
          <w:b w:val="0"/>
          <w:bCs/>
          <w:spacing w:val="-3"/>
          <w:szCs w:val="24"/>
          <w:lang w:val="es-CO" w:eastAsia="es-AR"/>
        </w:rPr>
        <w:t xml:space="preserve">, que cuando no existía ese fuero y se </w:t>
      </w:r>
      <w:r w:rsidR="00FC4028">
        <w:rPr>
          <w:rFonts w:ascii="Times New Roman" w:eastAsia="Times New Roman" w:hAnsi="Times New Roman" w:cs="Times New Roman"/>
          <w:b w:val="0"/>
          <w:bCs/>
          <w:spacing w:val="-3"/>
          <w:szCs w:val="24"/>
          <w:lang w:val="es-CO" w:eastAsia="es-AR"/>
        </w:rPr>
        <w:t>concentraba la competencia en su Suprema Corte de Justicia. Sólo en La Plata, que posee –la mayor cantidad- de tres</w:t>
      </w:r>
      <w:r w:rsidR="00FC4028" w:rsidRPr="00FC4028">
        <w:rPr>
          <w:rFonts w:ascii="Times New Roman" w:eastAsia="Times New Roman" w:hAnsi="Times New Roman" w:cs="Times New Roman"/>
          <w:b w:val="0"/>
          <w:bCs/>
          <w:spacing w:val="-3"/>
          <w:szCs w:val="24"/>
          <w:lang w:val="es-CO" w:eastAsia="es-AR"/>
        </w:rPr>
        <w:t xml:space="preserve"> </w:t>
      </w:r>
      <w:r w:rsidR="00FC4028">
        <w:rPr>
          <w:rFonts w:ascii="Times New Roman" w:eastAsia="Times New Roman" w:hAnsi="Times New Roman" w:cs="Times New Roman"/>
          <w:b w:val="0"/>
          <w:bCs/>
          <w:spacing w:val="-3"/>
          <w:szCs w:val="24"/>
          <w:lang w:val="es-CO" w:eastAsia="es-AR"/>
        </w:rPr>
        <w:t>juzgados contenciosos administrativos, para el año 2010 se iniciaron trece (13) veces más juicios de tal tipo que lo que sucedía con anterioridad a la existencia de</w:t>
      </w:r>
      <w:r w:rsidR="00BD7214">
        <w:rPr>
          <w:rFonts w:ascii="Times New Roman" w:eastAsia="Times New Roman" w:hAnsi="Times New Roman" w:cs="Times New Roman"/>
          <w:b w:val="0"/>
          <w:bCs/>
          <w:spacing w:val="-3"/>
          <w:szCs w:val="24"/>
          <w:lang w:val="es-CO" w:eastAsia="es-AR"/>
        </w:rPr>
        <w:t xml:space="preserve"> ta</w:t>
      </w:r>
      <w:r w:rsidR="00FC4028">
        <w:rPr>
          <w:rFonts w:ascii="Times New Roman" w:eastAsia="Times New Roman" w:hAnsi="Times New Roman" w:cs="Times New Roman"/>
          <w:b w:val="0"/>
          <w:bCs/>
          <w:spacing w:val="-3"/>
          <w:szCs w:val="24"/>
          <w:lang w:val="es-CO" w:eastAsia="es-AR"/>
        </w:rPr>
        <w:t>l fuero.</w:t>
      </w:r>
      <w:r w:rsidR="002A7D25">
        <w:rPr>
          <w:rStyle w:val="Refdenotaalpie"/>
          <w:rFonts w:ascii="Times New Roman" w:eastAsia="Times New Roman" w:hAnsi="Times New Roman" w:cs="Times New Roman"/>
          <w:b w:val="0"/>
          <w:bCs/>
          <w:spacing w:val="-3"/>
          <w:szCs w:val="24"/>
          <w:lang w:val="es-CO" w:eastAsia="es-AR"/>
        </w:rPr>
        <w:footnoteReference w:id="8"/>
      </w:r>
    </w:p>
    <w:p w:rsidR="007F1EAC" w:rsidRDefault="00FC4028" w:rsidP="00B57E15">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De lo anterio</w:t>
      </w:r>
      <w:r w:rsidR="007F1EAC">
        <w:rPr>
          <w:rFonts w:ascii="Times New Roman" w:eastAsia="Times New Roman" w:hAnsi="Times New Roman" w:cs="Times New Roman"/>
          <w:b w:val="0"/>
          <w:bCs/>
          <w:spacing w:val="-3"/>
          <w:szCs w:val="24"/>
          <w:lang w:val="es-CO" w:eastAsia="es-AR"/>
        </w:rPr>
        <w:t xml:space="preserve">r, queda </w:t>
      </w:r>
      <w:r w:rsidR="00D01573">
        <w:rPr>
          <w:rFonts w:ascii="Times New Roman" w:eastAsia="Times New Roman" w:hAnsi="Times New Roman" w:cs="Times New Roman"/>
          <w:b w:val="0"/>
          <w:bCs/>
          <w:spacing w:val="-3"/>
          <w:szCs w:val="24"/>
          <w:lang w:val="es-CO" w:eastAsia="es-AR"/>
        </w:rPr>
        <w:t xml:space="preserve">en </w:t>
      </w:r>
      <w:r w:rsidR="007F1EAC">
        <w:rPr>
          <w:rFonts w:ascii="Times New Roman" w:eastAsia="Times New Roman" w:hAnsi="Times New Roman" w:cs="Times New Roman"/>
          <w:b w:val="0"/>
          <w:bCs/>
          <w:spacing w:val="-3"/>
          <w:szCs w:val="24"/>
          <w:lang w:val="es-CO" w:eastAsia="es-AR"/>
        </w:rPr>
        <w:t xml:space="preserve">claro que </w:t>
      </w:r>
      <w:r w:rsidR="002D4D62">
        <w:rPr>
          <w:rFonts w:ascii="Times New Roman" w:eastAsia="Times New Roman" w:hAnsi="Times New Roman" w:cs="Times New Roman"/>
          <w:b w:val="0"/>
          <w:bCs/>
          <w:spacing w:val="-3"/>
          <w:szCs w:val="24"/>
          <w:lang w:val="es-CO" w:eastAsia="es-AR"/>
        </w:rPr>
        <w:t>se ha s</w:t>
      </w:r>
      <w:r w:rsidR="00F96131">
        <w:rPr>
          <w:rFonts w:ascii="Times New Roman" w:eastAsia="Times New Roman" w:hAnsi="Times New Roman" w:cs="Times New Roman"/>
          <w:b w:val="0"/>
          <w:bCs/>
          <w:spacing w:val="-3"/>
          <w:szCs w:val="24"/>
          <w:lang w:val="es-CO" w:eastAsia="es-AR"/>
        </w:rPr>
        <w:t>atisfe</w:t>
      </w:r>
      <w:r w:rsidR="00031FB6">
        <w:rPr>
          <w:rFonts w:ascii="Times New Roman" w:eastAsia="Times New Roman" w:hAnsi="Times New Roman" w:cs="Times New Roman"/>
          <w:b w:val="0"/>
          <w:bCs/>
          <w:spacing w:val="-3"/>
          <w:szCs w:val="24"/>
          <w:lang w:val="es-CO" w:eastAsia="es-AR"/>
        </w:rPr>
        <w:t>c</w:t>
      </w:r>
      <w:r w:rsidR="002D4D62">
        <w:rPr>
          <w:rFonts w:ascii="Times New Roman" w:eastAsia="Times New Roman" w:hAnsi="Times New Roman" w:cs="Times New Roman"/>
          <w:b w:val="0"/>
          <w:bCs/>
          <w:spacing w:val="-3"/>
          <w:szCs w:val="24"/>
          <w:lang w:val="es-CO" w:eastAsia="es-AR"/>
        </w:rPr>
        <w:t>ho</w:t>
      </w:r>
      <w:r w:rsidR="00031FB6">
        <w:rPr>
          <w:rFonts w:ascii="Times New Roman" w:eastAsia="Times New Roman" w:hAnsi="Times New Roman" w:cs="Times New Roman"/>
          <w:b w:val="0"/>
          <w:bCs/>
          <w:spacing w:val="-3"/>
          <w:szCs w:val="24"/>
          <w:lang w:val="es-CO" w:eastAsia="es-AR"/>
        </w:rPr>
        <w:t xml:space="preserve"> </w:t>
      </w:r>
      <w:r w:rsidR="007F1EAC">
        <w:rPr>
          <w:rFonts w:ascii="Times New Roman" w:eastAsia="Times New Roman" w:hAnsi="Times New Roman" w:cs="Times New Roman"/>
          <w:b w:val="0"/>
          <w:bCs/>
          <w:spacing w:val="-3"/>
          <w:szCs w:val="24"/>
          <w:lang w:val="es-CO" w:eastAsia="es-AR"/>
        </w:rPr>
        <w:t xml:space="preserve">una mayor demanda de la población en el acceso al proceso en la materia, </w:t>
      </w:r>
      <w:r w:rsidR="00D01573">
        <w:rPr>
          <w:rFonts w:ascii="Times New Roman" w:eastAsia="Times New Roman" w:hAnsi="Times New Roman" w:cs="Times New Roman"/>
          <w:b w:val="0"/>
          <w:bCs/>
          <w:spacing w:val="-3"/>
          <w:szCs w:val="24"/>
          <w:lang w:val="es-CO" w:eastAsia="es-AR"/>
        </w:rPr>
        <w:t>a partir de</w:t>
      </w:r>
      <w:r w:rsidR="007F1EAC">
        <w:rPr>
          <w:rFonts w:ascii="Times New Roman" w:eastAsia="Times New Roman" w:hAnsi="Times New Roman" w:cs="Times New Roman"/>
          <w:b w:val="0"/>
          <w:bCs/>
          <w:spacing w:val="-3"/>
          <w:szCs w:val="24"/>
          <w:lang w:val="es-CO" w:eastAsia="es-AR"/>
        </w:rPr>
        <w:t xml:space="preserve"> la existencia de una organización judicial descentralizada por fuera de su capital, </w:t>
      </w:r>
      <w:r w:rsidR="00031FB6">
        <w:rPr>
          <w:rFonts w:ascii="Times New Roman" w:eastAsia="Times New Roman" w:hAnsi="Times New Roman" w:cs="Times New Roman"/>
          <w:b w:val="0"/>
          <w:bCs/>
          <w:spacing w:val="-3"/>
          <w:szCs w:val="24"/>
          <w:lang w:val="es-CO" w:eastAsia="es-AR"/>
        </w:rPr>
        <w:t>a través de</w:t>
      </w:r>
      <w:r w:rsidR="007F1EAC">
        <w:rPr>
          <w:rFonts w:ascii="Times New Roman" w:eastAsia="Times New Roman" w:hAnsi="Times New Roman" w:cs="Times New Roman"/>
          <w:b w:val="0"/>
          <w:bCs/>
          <w:spacing w:val="-3"/>
          <w:szCs w:val="24"/>
          <w:lang w:val="es-CO" w:eastAsia="es-AR"/>
        </w:rPr>
        <w:t xml:space="preserve"> un fuero especializado</w:t>
      </w:r>
      <w:r w:rsidR="00D01573">
        <w:rPr>
          <w:rFonts w:ascii="Times New Roman" w:eastAsia="Times New Roman" w:hAnsi="Times New Roman" w:cs="Times New Roman"/>
          <w:b w:val="0"/>
          <w:bCs/>
          <w:spacing w:val="-3"/>
          <w:szCs w:val="24"/>
          <w:lang w:val="es-CO" w:eastAsia="es-AR"/>
        </w:rPr>
        <w:t xml:space="preserve"> con doble instancia</w:t>
      </w:r>
      <w:bookmarkStart w:id="0" w:name="_GoBack"/>
      <w:bookmarkEnd w:id="0"/>
      <w:r w:rsidR="007F1EAC">
        <w:rPr>
          <w:rFonts w:ascii="Times New Roman" w:eastAsia="Times New Roman" w:hAnsi="Times New Roman" w:cs="Times New Roman"/>
          <w:b w:val="0"/>
          <w:bCs/>
          <w:spacing w:val="-3"/>
          <w:szCs w:val="24"/>
          <w:lang w:val="es-CO" w:eastAsia="es-AR"/>
        </w:rPr>
        <w:t>, compuesto de juzgados y cámaras de apelación, distribuidos a lo largo y ancho de la jurisdicción en cuestión, lo cual nos da la pauta de que se favorece el debido proceso y la tutela judicial efectiva</w:t>
      </w:r>
      <w:r w:rsidR="00031FB6">
        <w:rPr>
          <w:rFonts w:ascii="Times New Roman" w:eastAsia="Times New Roman" w:hAnsi="Times New Roman" w:cs="Times New Roman"/>
          <w:b w:val="0"/>
          <w:bCs/>
          <w:spacing w:val="-3"/>
          <w:szCs w:val="24"/>
          <w:lang w:val="es-CO" w:eastAsia="es-AR"/>
        </w:rPr>
        <w:t xml:space="preserve"> de las personas en general</w:t>
      </w:r>
      <w:r w:rsidR="007F1EAC">
        <w:rPr>
          <w:rFonts w:ascii="Times New Roman" w:eastAsia="Times New Roman" w:hAnsi="Times New Roman" w:cs="Times New Roman"/>
          <w:b w:val="0"/>
          <w:bCs/>
          <w:spacing w:val="-3"/>
          <w:szCs w:val="24"/>
          <w:lang w:val="es-CO" w:eastAsia="es-AR"/>
        </w:rPr>
        <w:t xml:space="preserve">, cuando se garantiza el derecho al recurso de un modo </w:t>
      </w:r>
      <w:r w:rsidR="00031FB6">
        <w:rPr>
          <w:rFonts w:ascii="Times New Roman" w:eastAsia="Times New Roman" w:hAnsi="Times New Roman" w:cs="Times New Roman"/>
          <w:b w:val="0"/>
          <w:bCs/>
          <w:spacing w:val="-3"/>
          <w:szCs w:val="24"/>
          <w:lang w:val="es-CO" w:eastAsia="es-AR"/>
        </w:rPr>
        <w:t xml:space="preserve">orgánico, </w:t>
      </w:r>
      <w:r w:rsidR="007F1EAC">
        <w:rPr>
          <w:rFonts w:ascii="Times New Roman" w:eastAsia="Times New Roman" w:hAnsi="Times New Roman" w:cs="Times New Roman"/>
          <w:b w:val="0"/>
          <w:bCs/>
          <w:spacing w:val="-3"/>
          <w:szCs w:val="24"/>
          <w:lang w:val="es-CO" w:eastAsia="es-AR"/>
        </w:rPr>
        <w:t>estructural, con normas jurídicas e infraestructura acorde</w:t>
      </w:r>
      <w:r w:rsidR="00031FB6">
        <w:rPr>
          <w:rFonts w:ascii="Times New Roman" w:eastAsia="Times New Roman" w:hAnsi="Times New Roman" w:cs="Times New Roman"/>
          <w:b w:val="0"/>
          <w:bCs/>
          <w:spacing w:val="-3"/>
          <w:szCs w:val="24"/>
          <w:lang w:val="es-CO" w:eastAsia="es-AR"/>
        </w:rPr>
        <w:t>s a la nueva situación jurídica</w:t>
      </w:r>
      <w:r w:rsidR="00BD7214">
        <w:rPr>
          <w:rFonts w:ascii="Times New Roman" w:eastAsia="Times New Roman" w:hAnsi="Times New Roman" w:cs="Times New Roman"/>
          <w:b w:val="0"/>
          <w:bCs/>
          <w:spacing w:val="-3"/>
          <w:szCs w:val="24"/>
          <w:lang w:val="es-CO" w:eastAsia="es-AR"/>
        </w:rPr>
        <w:t xml:space="preserve">, sin perjuicio de las mejoras que requiere todo sistema y </w:t>
      </w:r>
      <w:r w:rsidR="00E866A6">
        <w:rPr>
          <w:rFonts w:ascii="Times New Roman" w:eastAsia="Times New Roman" w:hAnsi="Times New Roman" w:cs="Times New Roman"/>
          <w:b w:val="0"/>
          <w:bCs/>
          <w:spacing w:val="-3"/>
          <w:szCs w:val="24"/>
          <w:lang w:val="es-CO" w:eastAsia="es-AR"/>
        </w:rPr>
        <w:t xml:space="preserve">que </w:t>
      </w:r>
      <w:r w:rsidR="00BD7214">
        <w:rPr>
          <w:rFonts w:ascii="Times New Roman" w:eastAsia="Times New Roman" w:hAnsi="Times New Roman" w:cs="Times New Roman"/>
          <w:b w:val="0"/>
          <w:bCs/>
          <w:spacing w:val="-3"/>
          <w:szCs w:val="24"/>
          <w:lang w:val="es-CO" w:eastAsia="es-AR"/>
        </w:rPr>
        <w:t>surgen de la propia experiencia de su concreción en la dinámica diaria de funcionamiento.</w:t>
      </w:r>
    </w:p>
    <w:p w:rsidR="00FC4028" w:rsidRDefault="00E866A6" w:rsidP="00B57E15">
      <w:pPr>
        <w:ind w:firstLine="567"/>
        <w:rPr>
          <w:rFonts w:ascii="Times New Roman" w:eastAsia="Times New Roman" w:hAnsi="Times New Roman" w:cs="Times New Roman"/>
          <w:b w:val="0"/>
          <w:bCs/>
          <w:spacing w:val="-3"/>
          <w:szCs w:val="24"/>
          <w:lang w:val="es-CO" w:eastAsia="es-AR"/>
        </w:rPr>
      </w:pPr>
      <w:r>
        <w:rPr>
          <w:rFonts w:ascii="Times New Roman" w:eastAsia="Times New Roman" w:hAnsi="Times New Roman" w:cs="Times New Roman"/>
          <w:b w:val="0"/>
          <w:bCs/>
          <w:spacing w:val="-3"/>
          <w:szCs w:val="24"/>
          <w:lang w:val="es-CO" w:eastAsia="es-AR"/>
        </w:rPr>
        <w:t>En otro orden de ideas, s</w:t>
      </w:r>
      <w:r w:rsidR="00AA647E">
        <w:rPr>
          <w:rFonts w:ascii="Times New Roman" w:eastAsia="Times New Roman" w:hAnsi="Times New Roman" w:cs="Times New Roman"/>
          <w:b w:val="0"/>
          <w:bCs/>
          <w:spacing w:val="-3"/>
          <w:szCs w:val="24"/>
          <w:lang w:val="es-CO" w:eastAsia="es-AR"/>
        </w:rPr>
        <w:t xml:space="preserve">i luego de más de </w:t>
      </w:r>
      <w:r w:rsidR="000328F3">
        <w:rPr>
          <w:rFonts w:ascii="Times New Roman" w:eastAsia="Times New Roman" w:hAnsi="Times New Roman" w:cs="Times New Roman"/>
          <w:b w:val="0"/>
          <w:bCs/>
          <w:spacing w:val="-3"/>
          <w:szCs w:val="24"/>
          <w:lang w:val="es-CO" w:eastAsia="es-AR"/>
        </w:rPr>
        <w:t xml:space="preserve">ciento cincuenta </w:t>
      </w:r>
      <w:r>
        <w:rPr>
          <w:rFonts w:ascii="Times New Roman" w:eastAsia="Times New Roman" w:hAnsi="Times New Roman" w:cs="Times New Roman"/>
          <w:b w:val="0"/>
          <w:bCs/>
          <w:spacing w:val="-3"/>
          <w:szCs w:val="24"/>
          <w:lang w:val="es-CO" w:eastAsia="es-AR"/>
        </w:rPr>
        <w:t xml:space="preserve">(150) </w:t>
      </w:r>
      <w:r w:rsidR="000328F3">
        <w:rPr>
          <w:rFonts w:ascii="Times New Roman" w:eastAsia="Times New Roman" w:hAnsi="Times New Roman" w:cs="Times New Roman"/>
          <w:b w:val="0"/>
          <w:bCs/>
          <w:spacing w:val="-3"/>
          <w:szCs w:val="24"/>
          <w:lang w:val="es-CO" w:eastAsia="es-AR"/>
        </w:rPr>
        <w:t>años desde la sanción de la Constitución Nacional</w:t>
      </w:r>
      <w:r w:rsidR="00DE7164">
        <w:rPr>
          <w:rFonts w:ascii="Times New Roman" w:eastAsia="Times New Roman" w:hAnsi="Times New Roman" w:cs="Times New Roman"/>
          <w:b w:val="0"/>
          <w:bCs/>
          <w:spacing w:val="-3"/>
          <w:szCs w:val="24"/>
          <w:lang w:val="es-CO" w:eastAsia="es-AR"/>
        </w:rPr>
        <w:t>,</w:t>
      </w:r>
      <w:r w:rsidR="000328F3">
        <w:rPr>
          <w:rFonts w:ascii="Times New Roman" w:eastAsia="Times New Roman" w:hAnsi="Times New Roman" w:cs="Times New Roman"/>
          <w:b w:val="0"/>
          <w:bCs/>
          <w:spacing w:val="-3"/>
          <w:szCs w:val="24"/>
          <w:lang w:val="es-CO" w:eastAsia="es-AR"/>
        </w:rPr>
        <w:t xml:space="preserve"> se ha comenzado a cumplir con el mandato</w:t>
      </w:r>
      <w:r>
        <w:rPr>
          <w:rFonts w:ascii="Times New Roman" w:eastAsia="Times New Roman" w:hAnsi="Times New Roman" w:cs="Times New Roman"/>
          <w:b w:val="0"/>
          <w:bCs/>
          <w:spacing w:val="-3"/>
          <w:szCs w:val="24"/>
          <w:lang w:val="es-CO" w:eastAsia="es-AR"/>
        </w:rPr>
        <w:t xml:space="preserve"> constitucional</w:t>
      </w:r>
      <w:r w:rsidR="000328F3">
        <w:rPr>
          <w:rFonts w:ascii="Times New Roman" w:eastAsia="Times New Roman" w:hAnsi="Times New Roman" w:cs="Times New Roman"/>
          <w:b w:val="0"/>
          <w:bCs/>
          <w:spacing w:val="-3"/>
          <w:szCs w:val="24"/>
          <w:lang w:val="es-CO" w:eastAsia="es-AR"/>
        </w:rPr>
        <w:t xml:space="preserve"> de establecer el </w:t>
      </w:r>
      <w:r w:rsidR="000328F3" w:rsidRPr="00DE7164">
        <w:rPr>
          <w:rFonts w:ascii="Times New Roman" w:eastAsia="Times New Roman" w:hAnsi="Times New Roman" w:cs="Times New Roman"/>
          <w:b w:val="0"/>
          <w:bCs/>
          <w:i/>
          <w:spacing w:val="-3"/>
          <w:szCs w:val="24"/>
          <w:lang w:val="es-CO" w:eastAsia="es-AR"/>
        </w:rPr>
        <w:t>juicio por jurados</w:t>
      </w:r>
      <w:r w:rsidR="000328F3">
        <w:rPr>
          <w:rFonts w:ascii="Times New Roman" w:eastAsia="Times New Roman" w:hAnsi="Times New Roman" w:cs="Times New Roman"/>
          <w:b w:val="0"/>
          <w:bCs/>
          <w:spacing w:val="-3"/>
          <w:szCs w:val="24"/>
          <w:lang w:val="es-CO" w:eastAsia="es-AR"/>
        </w:rPr>
        <w:t xml:space="preserve">, </w:t>
      </w:r>
      <w:r>
        <w:rPr>
          <w:rFonts w:ascii="Times New Roman" w:eastAsia="Times New Roman" w:hAnsi="Times New Roman" w:cs="Times New Roman"/>
          <w:b w:val="0"/>
          <w:bCs/>
          <w:spacing w:val="-3"/>
          <w:szCs w:val="24"/>
          <w:lang w:val="es-CO" w:eastAsia="es-AR"/>
        </w:rPr>
        <w:t xml:space="preserve">podemos inferir que </w:t>
      </w:r>
      <w:r w:rsidR="000328F3">
        <w:rPr>
          <w:rFonts w:ascii="Times New Roman" w:eastAsia="Times New Roman" w:hAnsi="Times New Roman" w:cs="Times New Roman"/>
          <w:b w:val="0"/>
          <w:bCs/>
          <w:spacing w:val="-3"/>
          <w:szCs w:val="24"/>
          <w:lang w:val="es-CO" w:eastAsia="es-AR"/>
        </w:rPr>
        <w:t xml:space="preserve">también </w:t>
      </w:r>
      <w:r w:rsidR="00DE7164">
        <w:rPr>
          <w:rFonts w:ascii="Times New Roman" w:eastAsia="Times New Roman" w:hAnsi="Times New Roman" w:cs="Times New Roman"/>
          <w:b w:val="0"/>
          <w:bCs/>
          <w:spacing w:val="-3"/>
          <w:szCs w:val="24"/>
          <w:lang w:val="es-CO" w:eastAsia="es-AR"/>
        </w:rPr>
        <w:t>sería</w:t>
      </w:r>
      <w:r w:rsidR="002D4D62">
        <w:rPr>
          <w:rFonts w:ascii="Times New Roman" w:eastAsia="Times New Roman" w:hAnsi="Times New Roman" w:cs="Times New Roman"/>
          <w:b w:val="0"/>
          <w:bCs/>
          <w:spacing w:val="-3"/>
          <w:szCs w:val="24"/>
          <w:lang w:val="es-CO" w:eastAsia="es-AR"/>
        </w:rPr>
        <w:t xml:space="preserve"> posible</w:t>
      </w:r>
      <w:r w:rsidR="0050347E">
        <w:rPr>
          <w:rFonts w:ascii="Times New Roman" w:eastAsia="Times New Roman" w:hAnsi="Times New Roman" w:cs="Times New Roman"/>
          <w:b w:val="0"/>
          <w:bCs/>
          <w:spacing w:val="-3"/>
          <w:szCs w:val="24"/>
          <w:lang w:val="es-CO" w:eastAsia="es-AR"/>
        </w:rPr>
        <w:t>,</w:t>
      </w:r>
      <w:r w:rsidR="000328F3">
        <w:rPr>
          <w:rFonts w:ascii="Times New Roman" w:eastAsia="Times New Roman" w:hAnsi="Times New Roman" w:cs="Times New Roman"/>
          <w:b w:val="0"/>
          <w:bCs/>
          <w:spacing w:val="-3"/>
          <w:szCs w:val="24"/>
          <w:lang w:val="es-CO" w:eastAsia="es-AR"/>
        </w:rPr>
        <w:t xml:space="preserve"> algún día</w:t>
      </w:r>
      <w:r w:rsidR="0050347E">
        <w:rPr>
          <w:rFonts w:ascii="Times New Roman" w:eastAsia="Times New Roman" w:hAnsi="Times New Roman" w:cs="Times New Roman"/>
          <w:b w:val="0"/>
          <w:bCs/>
          <w:spacing w:val="-3"/>
          <w:szCs w:val="24"/>
          <w:lang w:val="es-CO" w:eastAsia="es-AR"/>
        </w:rPr>
        <w:t>, que</w:t>
      </w:r>
      <w:r w:rsidR="000328F3">
        <w:rPr>
          <w:rFonts w:ascii="Times New Roman" w:eastAsia="Times New Roman" w:hAnsi="Times New Roman" w:cs="Times New Roman"/>
          <w:b w:val="0"/>
          <w:bCs/>
          <w:spacing w:val="-3"/>
          <w:szCs w:val="24"/>
          <w:lang w:val="es-CO" w:eastAsia="es-AR"/>
        </w:rPr>
        <w:t xml:space="preserve"> esta experiencia bonaerense </w:t>
      </w:r>
      <w:r w:rsidR="00DE7164">
        <w:rPr>
          <w:rFonts w:ascii="Times New Roman" w:eastAsia="Times New Roman" w:hAnsi="Times New Roman" w:cs="Times New Roman"/>
          <w:b w:val="0"/>
          <w:bCs/>
          <w:spacing w:val="-3"/>
          <w:szCs w:val="24"/>
          <w:lang w:val="es-CO" w:eastAsia="es-AR"/>
        </w:rPr>
        <w:t xml:space="preserve">pudiese ser </w:t>
      </w:r>
      <w:r w:rsidR="000328F3">
        <w:rPr>
          <w:rFonts w:ascii="Times New Roman" w:eastAsia="Times New Roman" w:hAnsi="Times New Roman" w:cs="Times New Roman"/>
          <w:b w:val="0"/>
          <w:bCs/>
          <w:spacing w:val="-3"/>
          <w:szCs w:val="24"/>
          <w:lang w:val="es-CO" w:eastAsia="es-AR"/>
        </w:rPr>
        <w:t>aprovechada e</w:t>
      </w:r>
      <w:r w:rsidR="008F7A31">
        <w:rPr>
          <w:rFonts w:ascii="Times New Roman" w:eastAsia="Times New Roman" w:hAnsi="Times New Roman" w:cs="Times New Roman"/>
          <w:b w:val="0"/>
          <w:bCs/>
          <w:spacing w:val="-3"/>
          <w:szCs w:val="24"/>
          <w:lang w:val="es-CO" w:eastAsia="es-AR"/>
        </w:rPr>
        <w:t xml:space="preserve">n otras provincias y </w:t>
      </w:r>
      <w:r w:rsidR="002D4D62">
        <w:rPr>
          <w:rFonts w:ascii="Times New Roman" w:eastAsia="Times New Roman" w:hAnsi="Times New Roman" w:cs="Times New Roman"/>
          <w:b w:val="0"/>
          <w:bCs/>
          <w:spacing w:val="-3"/>
          <w:szCs w:val="24"/>
          <w:lang w:val="es-CO" w:eastAsia="es-AR"/>
        </w:rPr>
        <w:t xml:space="preserve">se </w:t>
      </w:r>
      <w:r w:rsidR="008F7A31">
        <w:rPr>
          <w:rFonts w:ascii="Times New Roman" w:eastAsia="Times New Roman" w:hAnsi="Times New Roman" w:cs="Times New Roman"/>
          <w:b w:val="0"/>
          <w:bCs/>
          <w:spacing w:val="-3"/>
          <w:szCs w:val="24"/>
          <w:lang w:val="es-CO" w:eastAsia="es-AR"/>
        </w:rPr>
        <w:t>repli</w:t>
      </w:r>
      <w:r w:rsidR="002D4D62">
        <w:rPr>
          <w:rFonts w:ascii="Times New Roman" w:eastAsia="Times New Roman" w:hAnsi="Times New Roman" w:cs="Times New Roman"/>
          <w:b w:val="0"/>
          <w:bCs/>
          <w:spacing w:val="-3"/>
          <w:szCs w:val="24"/>
          <w:lang w:val="es-CO" w:eastAsia="es-AR"/>
        </w:rPr>
        <w:t>que</w:t>
      </w:r>
      <w:r w:rsidR="008F7A31">
        <w:rPr>
          <w:rFonts w:ascii="Times New Roman" w:eastAsia="Times New Roman" w:hAnsi="Times New Roman" w:cs="Times New Roman"/>
          <w:b w:val="0"/>
          <w:bCs/>
          <w:spacing w:val="-3"/>
          <w:szCs w:val="24"/>
          <w:lang w:val="es-CO" w:eastAsia="es-AR"/>
        </w:rPr>
        <w:t xml:space="preserve"> el reconocimiento a la persona de </w:t>
      </w:r>
      <w:r w:rsidR="000328F3">
        <w:rPr>
          <w:rFonts w:ascii="Times New Roman" w:eastAsia="Times New Roman" w:hAnsi="Times New Roman" w:cs="Times New Roman"/>
          <w:b w:val="0"/>
          <w:bCs/>
          <w:spacing w:val="-3"/>
          <w:szCs w:val="24"/>
          <w:lang w:val="es-CO" w:eastAsia="es-AR"/>
        </w:rPr>
        <w:t xml:space="preserve">la garantía del </w:t>
      </w:r>
      <w:r w:rsidR="000328F3" w:rsidRPr="00DE7164">
        <w:rPr>
          <w:rFonts w:ascii="Times New Roman" w:eastAsia="Times New Roman" w:hAnsi="Times New Roman" w:cs="Times New Roman"/>
          <w:b w:val="0"/>
          <w:bCs/>
          <w:i/>
          <w:spacing w:val="-3"/>
          <w:szCs w:val="24"/>
          <w:lang w:val="es-CO" w:eastAsia="es-AR"/>
        </w:rPr>
        <w:t>derecho al recurso</w:t>
      </w:r>
      <w:r w:rsidR="000328F3">
        <w:rPr>
          <w:rFonts w:ascii="Times New Roman" w:eastAsia="Times New Roman" w:hAnsi="Times New Roman" w:cs="Times New Roman"/>
          <w:b w:val="0"/>
          <w:bCs/>
          <w:spacing w:val="-3"/>
          <w:szCs w:val="24"/>
          <w:lang w:val="es-CO" w:eastAsia="es-AR"/>
        </w:rPr>
        <w:t xml:space="preserve"> en los juicios contra el Estado.</w:t>
      </w:r>
    </w:p>
    <w:sectPr w:rsidR="00FC4028" w:rsidSect="006D69C5">
      <w:headerReference w:type="default" r:id="rId7"/>
      <w:footerReference w:type="default" r:id="rId8"/>
      <w:pgSz w:w="11907" w:h="16840" w:code="9"/>
      <w:pgMar w:top="2081" w:right="1701" w:bottom="1134" w:left="1701"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B95" w:rsidRDefault="003E7B95" w:rsidP="00B57E15">
      <w:pPr>
        <w:spacing w:line="240" w:lineRule="auto"/>
      </w:pPr>
      <w:r>
        <w:separator/>
      </w:r>
    </w:p>
  </w:endnote>
  <w:endnote w:type="continuationSeparator" w:id="0">
    <w:p w:rsidR="003E7B95" w:rsidRDefault="003E7B95" w:rsidP="00B57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857890"/>
      <w:docPartObj>
        <w:docPartGallery w:val="Page Numbers (Bottom of Page)"/>
        <w:docPartUnique/>
      </w:docPartObj>
    </w:sdtPr>
    <w:sdtEndPr>
      <w:rPr>
        <w:rFonts w:ascii="Times New Roman" w:hAnsi="Times New Roman" w:cs="Times New Roman"/>
        <w:b w:val="0"/>
        <w:sz w:val="20"/>
        <w:szCs w:val="20"/>
      </w:rPr>
    </w:sdtEndPr>
    <w:sdtContent>
      <w:p w:rsidR="006D69C5" w:rsidRPr="006D69C5" w:rsidRDefault="006D69C5">
        <w:pPr>
          <w:pStyle w:val="Piedepgina"/>
          <w:jc w:val="center"/>
          <w:rPr>
            <w:rFonts w:ascii="Times New Roman" w:hAnsi="Times New Roman" w:cs="Times New Roman"/>
            <w:b w:val="0"/>
            <w:sz w:val="20"/>
            <w:szCs w:val="20"/>
          </w:rPr>
        </w:pPr>
        <w:r w:rsidRPr="006D69C5">
          <w:rPr>
            <w:rFonts w:ascii="Times New Roman" w:hAnsi="Times New Roman" w:cs="Times New Roman"/>
            <w:b w:val="0"/>
            <w:sz w:val="20"/>
            <w:szCs w:val="20"/>
          </w:rPr>
          <w:fldChar w:fldCharType="begin"/>
        </w:r>
        <w:r w:rsidRPr="006D69C5">
          <w:rPr>
            <w:rFonts w:ascii="Times New Roman" w:hAnsi="Times New Roman" w:cs="Times New Roman"/>
            <w:b w:val="0"/>
            <w:sz w:val="20"/>
            <w:szCs w:val="20"/>
          </w:rPr>
          <w:instrText>PAGE   \* MERGEFORMAT</w:instrText>
        </w:r>
        <w:r w:rsidRPr="006D69C5">
          <w:rPr>
            <w:rFonts w:ascii="Times New Roman" w:hAnsi="Times New Roman" w:cs="Times New Roman"/>
            <w:b w:val="0"/>
            <w:sz w:val="20"/>
            <w:szCs w:val="20"/>
          </w:rPr>
          <w:fldChar w:fldCharType="separate"/>
        </w:r>
        <w:r w:rsidR="00D01573" w:rsidRPr="00D01573">
          <w:rPr>
            <w:rFonts w:ascii="Times New Roman" w:hAnsi="Times New Roman" w:cs="Times New Roman"/>
            <w:b w:val="0"/>
            <w:noProof/>
            <w:sz w:val="20"/>
            <w:szCs w:val="20"/>
            <w:lang w:val="es-ES"/>
          </w:rPr>
          <w:t>5</w:t>
        </w:r>
        <w:r w:rsidRPr="006D69C5">
          <w:rPr>
            <w:rFonts w:ascii="Times New Roman" w:hAnsi="Times New Roman" w:cs="Times New Roman"/>
            <w:b w:val="0"/>
            <w:sz w:val="20"/>
            <w:szCs w:val="20"/>
          </w:rPr>
          <w:fldChar w:fldCharType="end"/>
        </w:r>
      </w:p>
    </w:sdtContent>
  </w:sdt>
  <w:p w:rsidR="008F7A31" w:rsidRPr="006D69C5" w:rsidRDefault="006D69C5" w:rsidP="00DB175E">
    <w:pPr>
      <w:pStyle w:val="Piedepgina"/>
      <w:jc w:val="left"/>
      <w:rPr>
        <w:rFonts w:ascii="Times New Roman" w:hAnsi="Times New Roman" w:cs="Times New Roman"/>
        <w:b w:val="0"/>
        <w:sz w:val="20"/>
        <w:szCs w:val="20"/>
      </w:rPr>
    </w:pPr>
    <w:r>
      <w:rPr>
        <w:rFonts w:ascii="Times New Roman" w:hAnsi="Times New Roman" w:cs="Times New Roman"/>
        <w:b w:val="0"/>
        <w:sz w:val="20"/>
        <w:szCs w:val="20"/>
      </w:rPr>
      <w:tab/>
    </w:r>
    <w:r w:rsidR="00DB175E">
      <w:rPr>
        <w:rFonts w:ascii="Times New Roman" w:hAnsi="Times New Roman" w:cs="Times New Roman"/>
        <w:b w:val="0"/>
        <w:sz w:val="20"/>
        <w:szCs w:val="20"/>
      </w:rPr>
      <w:tab/>
    </w:r>
    <w:r w:rsidRPr="006D69C5">
      <w:rPr>
        <w:rFonts w:ascii="Times New Roman" w:hAnsi="Times New Roman" w:cs="Times New Roman"/>
        <w:b w:val="0"/>
        <w:sz w:val="20"/>
        <w:szCs w:val="20"/>
      </w:rPr>
      <w:t>emanuelsaldi@hotmail.com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B95" w:rsidRDefault="003E7B95" w:rsidP="00B57E15">
      <w:pPr>
        <w:spacing w:line="240" w:lineRule="auto"/>
      </w:pPr>
      <w:r>
        <w:separator/>
      </w:r>
    </w:p>
  </w:footnote>
  <w:footnote w:type="continuationSeparator" w:id="0">
    <w:p w:rsidR="003E7B95" w:rsidRDefault="003E7B95" w:rsidP="00B57E15">
      <w:pPr>
        <w:spacing w:line="240" w:lineRule="auto"/>
      </w:pPr>
      <w:r>
        <w:continuationSeparator/>
      </w:r>
    </w:p>
  </w:footnote>
  <w:footnote w:id="1">
    <w:p w:rsidR="003E1D90" w:rsidRDefault="003E1D90">
      <w:pPr>
        <w:pStyle w:val="Textonotapie"/>
      </w:pPr>
      <w:r>
        <w:rPr>
          <w:rStyle w:val="Refdenotaalpie"/>
        </w:rPr>
        <w:footnoteRef/>
      </w:r>
      <w:r>
        <w:t xml:space="preserve"> Estos principios son</w:t>
      </w:r>
      <w:r w:rsidR="00335AFD">
        <w:t xml:space="preserve"> cinco</w:t>
      </w:r>
      <w:r>
        <w:t xml:space="preserve">: </w:t>
      </w:r>
      <w:r w:rsidR="00335AFD">
        <w:t>I</w:t>
      </w:r>
      <w:r w:rsidR="009B04E3">
        <w:t>mparcialidad de juzgador, igualdad de las partes litigantes, transitoriedad del proceso, efic</w:t>
      </w:r>
      <w:r w:rsidR="00335AFD">
        <w:t xml:space="preserve">acia de la serie procedimental y moralidad del debate. Ver </w:t>
      </w:r>
      <w:r w:rsidR="00335AFD" w:rsidRPr="00335AFD">
        <w:rPr>
          <w:smallCaps/>
        </w:rPr>
        <w:t>Alvarado Velloso</w:t>
      </w:r>
      <w:r w:rsidR="00335AFD">
        <w:t xml:space="preserve">, Adolfo, </w:t>
      </w:r>
      <w:r w:rsidR="00335AFD" w:rsidRPr="00335AFD">
        <w:rPr>
          <w:i/>
        </w:rPr>
        <w:t>Sistema procesal: Garantía de la libertad</w:t>
      </w:r>
      <w:r w:rsidR="00335AFD">
        <w:t xml:space="preserve">, </w:t>
      </w:r>
      <w:proofErr w:type="spellStart"/>
      <w:r w:rsidR="00335AFD">
        <w:t>Rubinzal</w:t>
      </w:r>
      <w:proofErr w:type="spellEnd"/>
      <w:r w:rsidR="00335AFD">
        <w:t xml:space="preserve"> </w:t>
      </w:r>
      <w:proofErr w:type="spellStart"/>
      <w:r w:rsidR="00335AFD">
        <w:t>Culzoni</w:t>
      </w:r>
      <w:proofErr w:type="spellEnd"/>
      <w:r w:rsidR="00335AFD">
        <w:t>, Santa Fe, 2009, T.1, p. 339.</w:t>
      </w:r>
    </w:p>
  </w:footnote>
  <w:footnote w:id="2">
    <w:p w:rsidR="00455ADC" w:rsidRDefault="00455ADC">
      <w:pPr>
        <w:pStyle w:val="Textonotapie"/>
      </w:pPr>
      <w:r>
        <w:rPr>
          <w:rStyle w:val="Refdenotaalpie"/>
        </w:rPr>
        <w:footnoteRef/>
      </w:r>
      <w:r>
        <w:t xml:space="preserve"> </w:t>
      </w:r>
      <w:r w:rsidRPr="00455ADC">
        <w:rPr>
          <w:smallCaps/>
        </w:rPr>
        <w:t>Hutchinson</w:t>
      </w:r>
      <w:r w:rsidRPr="00455ADC">
        <w:t xml:space="preserve">, </w:t>
      </w:r>
      <w:r>
        <w:t xml:space="preserve">Tomás, </w:t>
      </w:r>
      <w:r w:rsidRPr="00455ADC">
        <w:rPr>
          <w:i/>
        </w:rPr>
        <w:t>Derecho Procesal Administrativo</w:t>
      </w:r>
      <w:r w:rsidRPr="00455ADC">
        <w:t xml:space="preserve">, </w:t>
      </w:r>
      <w:proofErr w:type="spellStart"/>
      <w:r>
        <w:t>Rubinzal</w:t>
      </w:r>
      <w:proofErr w:type="spellEnd"/>
      <w:r>
        <w:t xml:space="preserve"> </w:t>
      </w:r>
      <w:proofErr w:type="spellStart"/>
      <w:r>
        <w:t>Culzoni</w:t>
      </w:r>
      <w:proofErr w:type="spellEnd"/>
      <w:r>
        <w:t xml:space="preserve">, Santa Fe, 2009, </w:t>
      </w:r>
      <w:r w:rsidRPr="00455ADC">
        <w:t>T.1, p. 249 y ss.</w:t>
      </w:r>
    </w:p>
  </w:footnote>
  <w:footnote w:id="3">
    <w:p w:rsidR="00127EFB" w:rsidRDefault="00127EFB">
      <w:pPr>
        <w:pStyle w:val="Textonotapie"/>
      </w:pPr>
      <w:r>
        <w:rPr>
          <w:rStyle w:val="Refdenotaalpie"/>
        </w:rPr>
        <w:footnoteRef/>
      </w:r>
      <w:r>
        <w:t xml:space="preserve"> Ibídem, p. 261.</w:t>
      </w:r>
    </w:p>
  </w:footnote>
  <w:footnote w:id="4">
    <w:p w:rsidR="00E166BD" w:rsidRDefault="00E166BD">
      <w:pPr>
        <w:pStyle w:val="Textonotapie"/>
      </w:pPr>
      <w:r>
        <w:rPr>
          <w:rStyle w:val="Refdenotaalpie"/>
        </w:rPr>
        <w:footnoteRef/>
      </w:r>
      <w:r>
        <w:t xml:space="preserve"> </w:t>
      </w:r>
      <w:proofErr w:type="spellStart"/>
      <w:r w:rsidRPr="008A6F7A">
        <w:rPr>
          <w:smallCaps/>
        </w:rPr>
        <w:t>D</w:t>
      </w:r>
      <w:r w:rsidR="008A6F7A" w:rsidRPr="008A6F7A">
        <w:rPr>
          <w:smallCaps/>
        </w:rPr>
        <w:t>above</w:t>
      </w:r>
      <w:proofErr w:type="spellEnd"/>
      <w:r w:rsidR="008A6F7A">
        <w:t>,</w:t>
      </w:r>
      <w:r w:rsidRPr="00E166BD">
        <w:t xml:space="preserve"> </w:t>
      </w:r>
      <w:r>
        <w:t xml:space="preserve">M. Isolina, </w:t>
      </w:r>
      <w:r w:rsidRPr="00E166BD">
        <w:t xml:space="preserve">“De los derechos humanos al derecho de la vejez: Acceso a la justicia y protección internacional”, en </w:t>
      </w:r>
      <w:r w:rsidR="008A6F7A">
        <w:t xml:space="preserve">(Dir.: </w:t>
      </w:r>
      <w:proofErr w:type="spellStart"/>
      <w:r w:rsidR="008A6F7A">
        <w:t>Davobe</w:t>
      </w:r>
      <w:proofErr w:type="spellEnd"/>
      <w:r w:rsidR="008A6F7A">
        <w:t xml:space="preserve">), </w:t>
      </w:r>
      <w:r w:rsidRPr="008A6F7A">
        <w:rPr>
          <w:i/>
        </w:rPr>
        <w:t>Derechos humanos de las personas mayores</w:t>
      </w:r>
      <w:r w:rsidRPr="00E166BD">
        <w:t xml:space="preserve">, </w:t>
      </w:r>
      <w:proofErr w:type="spellStart"/>
      <w:r w:rsidR="008A6F7A">
        <w:t>Astrea</w:t>
      </w:r>
      <w:proofErr w:type="spellEnd"/>
      <w:r w:rsidR="008A6F7A">
        <w:t xml:space="preserve">, CABA, 2015, </w:t>
      </w:r>
      <w:r w:rsidRPr="00E166BD">
        <w:t>p. 32.</w:t>
      </w:r>
    </w:p>
  </w:footnote>
  <w:footnote w:id="5">
    <w:p w:rsidR="001E288C" w:rsidRDefault="001E288C">
      <w:pPr>
        <w:pStyle w:val="Textonotapie"/>
      </w:pPr>
      <w:r>
        <w:rPr>
          <w:rStyle w:val="Refdenotaalpie"/>
        </w:rPr>
        <w:footnoteRef/>
      </w:r>
      <w:r>
        <w:t xml:space="preserve"> </w:t>
      </w:r>
      <w:r w:rsidRPr="00A61C87">
        <w:rPr>
          <w:smallCaps/>
        </w:rPr>
        <w:t>Saldi</w:t>
      </w:r>
      <w:r>
        <w:t xml:space="preserve">, Emanuel, </w:t>
      </w:r>
      <w:r w:rsidRPr="00A61C87">
        <w:rPr>
          <w:i/>
        </w:rPr>
        <w:t>Necesidad de introducir la doble instancia en el proceso administrativo</w:t>
      </w:r>
      <w:r>
        <w:t>, Fund</w:t>
      </w:r>
      <w:r w:rsidR="00A61C87">
        <w:t>ación para el Desarrollo de las Ci</w:t>
      </w:r>
      <w:r>
        <w:t>e</w:t>
      </w:r>
      <w:r w:rsidR="00A61C87">
        <w:t>ncias Jurídicas, Rosario, 2018.</w:t>
      </w:r>
    </w:p>
  </w:footnote>
  <w:footnote w:id="6">
    <w:p w:rsidR="00DF7F55" w:rsidRDefault="00DF7F55" w:rsidP="00DF7F55">
      <w:pPr>
        <w:pStyle w:val="Textonotapie"/>
      </w:pPr>
      <w:r>
        <w:rPr>
          <w:rStyle w:val="Refdenotaalpie"/>
        </w:rPr>
        <w:footnoteRef/>
      </w:r>
      <w:r>
        <w:t xml:space="preserve"> </w:t>
      </w:r>
      <w:r w:rsidRPr="00553844">
        <w:t xml:space="preserve">Caso “Panel Blanca” (Paniagua Morales y otros) Vs. Guatemala. Fondo. Sentencia de 8 de marzo de 1998. Serie C No. 37.  </w:t>
      </w:r>
    </w:p>
    <w:p w:rsidR="00DF7F55" w:rsidRDefault="00DF7F55" w:rsidP="00DF7F55">
      <w:pPr>
        <w:pStyle w:val="Textonotapie"/>
      </w:pPr>
      <w:r w:rsidRPr="00553844">
        <w:t>Caso “Tribunal Constitucional Vs. Perú”, sentencia de 31 de enero de 2001, Fondo, Reparaciones y Costas, Serie C, N° 71.</w:t>
      </w:r>
    </w:p>
    <w:p w:rsidR="00DF7F55" w:rsidRDefault="00DF7F55" w:rsidP="00DF7F55">
      <w:pPr>
        <w:pStyle w:val="Textonotapie"/>
      </w:pPr>
      <w:r w:rsidRPr="00553844">
        <w:t>Caso “</w:t>
      </w:r>
      <w:proofErr w:type="spellStart"/>
      <w:r w:rsidRPr="00553844">
        <w:t>Ivcher</w:t>
      </w:r>
      <w:proofErr w:type="spellEnd"/>
      <w:r w:rsidRPr="00553844">
        <w:t xml:space="preserve"> </w:t>
      </w:r>
      <w:proofErr w:type="spellStart"/>
      <w:r w:rsidRPr="00553844">
        <w:t>Bronstein</w:t>
      </w:r>
      <w:proofErr w:type="spellEnd"/>
      <w:r w:rsidRPr="00553844">
        <w:t xml:space="preserve"> Vs. Perú”, sentencia de 6 de febrero de 2001, Reparaciones y Costas, Serie C, N° 74.</w:t>
      </w:r>
    </w:p>
    <w:p w:rsidR="00DF7F55" w:rsidRPr="00553844" w:rsidRDefault="00DF7F55" w:rsidP="00DF7F55">
      <w:pPr>
        <w:pStyle w:val="Textonotapie"/>
      </w:pPr>
      <w:r w:rsidRPr="00553844">
        <w:t>Caso “Baena Ricardo y otros Vs. Panamá”, sentencia de 2 de febrero de 2001, Fondo, Reparaciones y Costas, Serie C, Nº 72.</w:t>
      </w:r>
    </w:p>
  </w:footnote>
  <w:footnote w:id="7">
    <w:p w:rsidR="00E700D7" w:rsidRDefault="00E700D7" w:rsidP="00E700D7">
      <w:pPr>
        <w:pStyle w:val="Textonotapie"/>
      </w:pPr>
      <w:r>
        <w:rPr>
          <w:rStyle w:val="Refdenotaalpie"/>
        </w:rPr>
        <w:footnoteRef/>
      </w:r>
      <w:r>
        <w:t xml:space="preserve"> </w:t>
      </w:r>
      <w:r w:rsidRPr="00553844">
        <w:t>Caso “</w:t>
      </w:r>
      <w:proofErr w:type="spellStart"/>
      <w:r w:rsidRPr="00553844">
        <w:t>Spoltore</w:t>
      </w:r>
      <w:proofErr w:type="spellEnd"/>
      <w:r w:rsidRPr="00553844">
        <w:t xml:space="preserve"> Vs. Argentina”, Excepción Preliminar, Fondo, Reparaciones y Costas, </w:t>
      </w:r>
      <w:r>
        <w:t xml:space="preserve">sentencia del </w:t>
      </w:r>
      <w:r w:rsidRPr="00553844">
        <w:t>20 de junio de 2020, Serie C, n° 404.</w:t>
      </w:r>
    </w:p>
  </w:footnote>
  <w:footnote w:id="8">
    <w:p w:rsidR="00934C30" w:rsidRPr="00934C30" w:rsidRDefault="002A7D25" w:rsidP="002A7D25">
      <w:pPr>
        <w:pStyle w:val="Textonotapie"/>
        <w:rPr>
          <w:sz w:val="16"/>
          <w:szCs w:val="16"/>
        </w:rPr>
      </w:pPr>
      <w:r>
        <w:rPr>
          <w:rStyle w:val="Refdenotaalpie"/>
        </w:rPr>
        <w:footnoteRef/>
      </w:r>
      <w:r>
        <w:t xml:space="preserve"> Conforme estadísticas remitidas por la </w:t>
      </w:r>
      <w:r w:rsidRPr="002A7D25">
        <w:rPr>
          <w:i/>
        </w:rPr>
        <w:t xml:space="preserve">Oficina de Estadísticas de la Secretaría de Planificación </w:t>
      </w:r>
      <w:r>
        <w:t xml:space="preserve">de la Suprema Corte de Justicia bonaerense, con motivo de la elaboración de </w:t>
      </w:r>
      <w:r w:rsidR="00934C30">
        <w:t>mi</w:t>
      </w:r>
      <w:r>
        <w:t xml:space="preserve"> tesis de maestría</w:t>
      </w:r>
      <w:r w:rsidR="00934C30">
        <w:t xml:space="preserve"> titulada:</w:t>
      </w:r>
      <w:r>
        <w:t xml:space="preserve"> “</w:t>
      </w:r>
      <w:r w:rsidRPr="00934C30">
        <w:rPr>
          <w:i/>
        </w:rPr>
        <w:t>Necesidad de introducir la doble instancia en el proceso administrativo de Mendoza</w:t>
      </w:r>
      <w:r w:rsidR="00934C30">
        <w:t>”, que puede compulsarse en soporte físico papel en</w:t>
      </w:r>
      <w:r>
        <w:t xml:space="preserve"> la biblioteca de la Fa</w:t>
      </w:r>
      <w:r w:rsidR="00934C30">
        <w:t xml:space="preserve">cultad de Derecho de la U.N.R., y en soporte digital en: </w:t>
      </w:r>
      <w:hyperlink r:id="rId1" w:history="1">
        <w:r w:rsidR="00934C30" w:rsidRPr="00934C30">
          <w:rPr>
            <w:rStyle w:val="Hipervnculo"/>
            <w:sz w:val="16"/>
            <w:szCs w:val="16"/>
          </w:rPr>
          <w:t>https://www.academia.edu/11281433/Necesidad_de_introducir_la_doble_instancia_en_el_proceso_administrativo</w:t>
        </w:r>
      </w:hyperlink>
      <w:r w:rsidR="00934C30" w:rsidRPr="00934C30">
        <w:rPr>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485" w:rsidRDefault="00DB175E" w:rsidP="00DB175E">
    <w:pPr>
      <w:pStyle w:val="Encabezado"/>
      <w:tabs>
        <w:tab w:val="left" w:pos="1256"/>
        <w:tab w:val="center" w:pos="4252"/>
      </w:tabs>
      <w:jc w:val="left"/>
    </w:pPr>
    <w:r w:rsidRPr="00DB175E">
      <w:rPr>
        <w:rFonts w:ascii="Times New Roman" w:eastAsia="Times New Roman" w:hAnsi="Times New Roman" w:cs="Times New Roman"/>
        <w:bCs/>
        <w:i/>
        <w:spacing w:val="-3"/>
        <w:szCs w:val="24"/>
        <w:lang w:val="es-CO" w:eastAsia="es-AR"/>
      </w:rPr>
      <w:t>Emanuel Saldi</w:t>
    </w:r>
    <w:r w:rsidRPr="00DB175E">
      <w:rPr>
        <w:rFonts w:ascii="Times New Roman" w:eastAsia="Times New Roman" w:hAnsi="Times New Roman" w:cs="Times New Roman"/>
        <w:bCs/>
        <w:i/>
        <w:spacing w:val="-3"/>
        <w:szCs w:val="24"/>
        <w:lang w:val="es-CO" w:eastAsia="es-AR"/>
      </w:rPr>
      <w:tab/>
    </w:r>
    <w:r w:rsidR="00262485">
      <w:rPr>
        <w:noProof/>
        <w:lang w:eastAsia="es-AR"/>
      </w:rPr>
      <w:drawing>
        <wp:inline distT="0" distB="0" distL="0" distR="0" wp14:anchorId="452B43AF" wp14:editId="27D078E0">
          <wp:extent cx="70739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pic:spPr>
              </pic:pic>
            </a:graphicData>
          </a:graphic>
        </wp:inline>
      </w:drawing>
    </w:r>
    <w:r w:rsidRPr="00DB175E">
      <w:rPr>
        <w:rFonts w:ascii="Times New Roman" w:eastAsia="Times New Roman" w:hAnsi="Times New Roman" w:cs="Times New Roman"/>
        <w:bCs/>
        <w:i/>
        <w:spacing w:val="-3"/>
        <w:szCs w:val="24"/>
        <w:lang w:val="es-CO" w:eastAsia="es-AR"/>
      </w:rPr>
      <w:t xml:space="preserve"> </w:t>
    </w:r>
    <w:r>
      <w:rPr>
        <w:rFonts w:ascii="Times New Roman" w:eastAsia="Times New Roman" w:hAnsi="Times New Roman" w:cs="Times New Roman"/>
        <w:bCs/>
        <w:i/>
        <w:spacing w:val="-3"/>
        <w:szCs w:val="24"/>
        <w:lang w:val="es-CO" w:eastAsia="es-AR"/>
      </w:rPr>
      <w:tab/>
    </w:r>
    <w:r w:rsidRPr="00DB175E">
      <w:rPr>
        <w:rFonts w:ascii="Times New Roman" w:eastAsia="Times New Roman" w:hAnsi="Times New Roman" w:cs="Times New Roman"/>
        <w:bCs/>
        <w:i/>
        <w:spacing w:val="-3"/>
        <w:szCs w:val="24"/>
        <w:lang w:val="es-CO" w:eastAsia="es-AR"/>
      </w:rPr>
      <w:t>Azul 04/11/2022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proofState w:spelling="clean" w:grammar="clean"/>
  <w:defaultTabStop w:val="708"/>
  <w:hyphenationZone w:val="425"/>
  <w:drawingGridHorizontalSpacing w:val="241"/>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E15"/>
    <w:rsid w:val="00022041"/>
    <w:rsid w:val="00031FB6"/>
    <w:rsid w:val="000328F3"/>
    <w:rsid w:val="000668F0"/>
    <w:rsid w:val="00086FB9"/>
    <w:rsid w:val="000D029A"/>
    <w:rsid w:val="000D733F"/>
    <w:rsid w:val="001072CB"/>
    <w:rsid w:val="00127EFB"/>
    <w:rsid w:val="00177931"/>
    <w:rsid w:val="0018068E"/>
    <w:rsid w:val="001E288C"/>
    <w:rsid w:val="001F0AE9"/>
    <w:rsid w:val="00205701"/>
    <w:rsid w:val="00215D4E"/>
    <w:rsid w:val="00262485"/>
    <w:rsid w:val="00280942"/>
    <w:rsid w:val="002A7D25"/>
    <w:rsid w:val="002C78C8"/>
    <w:rsid w:val="002D4D62"/>
    <w:rsid w:val="00335AFD"/>
    <w:rsid w:val="003954EA"/>
    <w:rsid w:val="003E1D90"/>
    <w:rsid w:val="003E7B95"/>
    <w:rsid w:val="0040478F"/>
    <w:rsid w:val="004048AA"/>
    <w:rsid w:val="00442F3A"/>
    <w:rsid w:val="00451B24"/>
    <w:rsid w:val="00454500"/>
    <w:rsid w:val="00455ADC"/>
    <w:rsid w:val="004572AE"/>
    <w:rsid w:val="00486DCD"/>
    <w:rsid w:val="0049172E"/>
    <w:rsid w:val="0050347E"/>
    <w:rsid w:val="00553844"/>
    <w:rsid w:val="005A212A"/>
    <w:rsid w:val="00617616"/>
    <w:rsid w:val="006257F1"/>
    <w:rsid w:val="00637169"/>
    <w:rsid w:val="0069649A"/>
    <w:rsid w:val="006D69C5"/>
    <w:rsid w:val="00720E80"/>
    <w:rsid w:val="00761F7E"/>
    <w:rsid w:val="00762484"/>
    <w:rsid w:val="007F1EAC"/>
    <w:rsid w:val="00880C7D"/>
    <w:rsid w:val="008A6F7A"/>
    <w:rsid w:val="008E684C"/>
    <w:rsid w:val="008F7A31"/>
    <w:rsid w:val="00934C30"/>
    <w:rsid w:val="0099246A"/>
    <w:rsid w:val="009A1E0A"/>
    <w:rsid w:val="009B04E3"/>
    <w:rsid w:val="00A61C87"/>
    <w:rsid w:val="00AA647E"/>
    <w:rsid w:val="00AC0F01"/>
    <w:rsid w:val="00B0238C"/>
    <w:rsid w:val="00B57E15"/>
    <w:rsid w:val="00B62224"/>
    <w:rsid w:val="00B72623"/>
    <w:rsid w:val="00BB0A5C"/>
    <w:rsid w:val="00BC5D17"/>
    <w:rsid w:val="00BD7214"/>
    <w:rsid w:val="00C44F15"/>
    <w:rsid w:val="00D01573"/>
    <w:rsid w:val="00D94CB1"/>
    <w:rsid w:val="00DB175E"/>
    <w:rsid w:val="00DE7164"/>
    <w:rsid w:val="00DF6B83"/>
    <w:rsid w:val="00DF7F55"/>
    <w:rsid w:val="00E166BD"/>
    <w:rsid w:val="00E342DA"/>
    <w:rsid w:val="00E6423B"/>
    <w:rsid w:val="00E700D7"/>
    <w:rsid w:val="00E866A6"/>
    <w:rsid w:val="00E944A9"/>
    <w:rsid w:val="00EF4D6E"/>
    <w:rsid w:val="00F01C91"/>
    <w:rsid w:val="00F61DEE"/>
    <w:rsid w:val="00F96131"/>
    <w:rsid w:val="00FC4028"/>
    <w:rsid w:val="00FE2A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DB1A6"/>
  <w15:chartTrackingRefBased/>
  <w15:docId w15:val="{F2C5C0E3-5360-4712-BD51-0456BBE8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b/>
        <w:sz w:val="24"/>
        <w:szCs w:val="32"/>
        <w:lang w:val="es-A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4572AE"/>
    <w:pPr>
      <w:suppressLineNumbers/>
      <w:ind w:firstLine="567"/>
    </w:pPr>
    <w:rPr>
      <w:rFonts w:ascii="Times New Roman" w:eastAsia="Times New Roman" w:hAnsi="Times New Roman" w:cs="Times New Roman"/>
      <w:b w:val="0"/>
      <w:sz w:val="20"/>
      <w:szCs w:val="20"/>
      <w:lang w:eastAsia="es-AR"/>
    </w:rPr>
  </w:style>
  <w:style w:type="character" w:customStyle="1" w:styleId="TextonotapieCar">
    <w:name w:val="Texto nota pie Car"/>
    <w:basedOn w:val="Fuentedeprrafopredeter"/>
    <w:link w:val="Textonotapie"/>
    <w:rsid w:val="004572AE"/>
    <w:rPr>
      <w:rFonts w:ascii="Times New Roman" w:eastAsia="Times New Roman" w:hAnsi="Times New Roman" w:cs="Times New Roman"/>
      <w:b w:val="0"/>
      <w:sz w:val="20"/>
      <w:szCs w:val="20"/>
      <w:lang w:eastAsia="es-AR"/>
    </w:rPr>
  </w:style>
  <w:style w:type="character" w:customStyle="1" w:styleId="Caracteresdenotaalpie">
    <w:name w:val="Caracteres de nota al pie"/>
    <w:rsid w:val="00B57E15"/>
    <w:rPr>
      <w:rFonts w:ascii="Times New Roman" w:hAnsi="Times New Roman"/>
      <w:sz w:val="20"/>
      <w:vertAlign w:val="superscript"/>
    </w:rPr>
  </w:style>
  <w:style w:type="character" w:styleId="Refdenotaalpie">
    <w:name w:val="footnote reference"/>
    <w:rsid w:val="00B57E15"/>
    <w:rPr>
      <w:vertAlign w:val="superscript"/>
    </w:rPr>
  </w:style>
  <w:style w:type="paragraph" w:styleId="Encabezado">
    <w:name w:val="header"/>
    <w:basedOn w:val="Normal"/>
    <w:link w:val="EncabezadoCar"/>
    <w:uiPriority w:val="99"/>
    <w:unhideWhenUsed/>
    <w:rsid w:val="0026248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62485"/>
  </w:style>
  <w:style w:type="paragraph" w:styleId="Piedepgina">
    <w:name w:val="footer"/>
    <w:basedOn w:val="Normal"/>
    <w:link w:val="PiedepginaCar"/>
    <w:uiPriority w:val="99"/>
    <w:unhideWhenUsed/>
    <w:rsid w:val="0026248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62485"/>
  </w:style>
  <w:style w:type="character" w:styleId="Hipervnculo">
    <w:name w:val="Hyperlink"/>
    <w:basedOn w:val="Fuentedeprrafopredeter"/>
    <w:uiPriority w:val="99"/>
    <w:unhideWhenUsed/>
    <w:rsid w:val="008F7A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cademia.edu/11281433/Necesidad_de_introducir_la_doble_instancia_en_el_proceso_administrati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F2C50-2822-4A0B-93FD-97C1295C5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1803</TotalTime>
  <Pages>5</Pages>
  <Words>1648</Words>
  <Characters>9068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dc:creator>
  <cp:keywords/>
  <dc:description/>
  <cp:lastModifiedBy>Emanuel</cp:lastModifiedBy>
  <cp:revision>34</cp:revision>
  <cp:lastPrinted>2022-10-31T00:30:00Z</cp:lastPrinted>
  <dcterms:created xsi:type="dcterms:W3CDTF">2022-10-13T03:40:00Z</dcterms:created>
  <dcterms:modified xsi:type="dcterms:W3CDTF">2022-11-08T22:40:00Z</dcterms:modified>
</cp:coreProperties>
</file>