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7D4" w:rsidRPr="00324B60" w:rsidRDefault="00E607D4" w:rsidP="00324B60">
      <w:pPr>
        <w:spacing w:after="0" w:line="480" w:lineRule="auto"/>
        <w:contextualSpacing/>
        <w:jc w:val="center"/>
        <w:rPr>
          <w:rFonts w:ascii="Times New Roman" w:hAnsi="Times New Roman" w:cs="Times New Roman"/>
          <w:sz w:val="28"/>
          <w:szCs w:val="28"/>
        </w:rPr>
      </w:pPr>
    </w:p>
    <w:p w:rsidR="00825D99" w:rsidRPr="00324B60" w:rsidRDefault="00825D99" w:rsidP="00324B60">
      <w:pPr>
        <w:spacing w:after="0" w:line="480" w:lineRule="auto"/>
        <w:contextualSpacing/>
        <w:jc w:val="center"/>
        <w:rPr>
          <w:rFonts w:ascii="Times New Roman" w:hAnsi="Times New Roman" w:cs="Times New Roman"/>
          <w:sz w:val="28"/>
          <w:szCs w:val="28"/>
        </w:rPr>
      </w:pPr>
    </w:p>
    <w:p w:rsidR="00825D99" w:rsidRPr="00AE0067" w:rsidRDefault="00825D99" w:rsidP="00324B60">
      <w:pPr>
        <w:spacing w:after="0" w:line="480" w:lineRule="auto"/>
        <w:contextualSpacing/>
        <w:jc w:val="center"/>
        <w:rPr>
          <w:rFonts w:ascii="Times New Roman" w:hAnsi="Times New Roman" w:cs="Times New Roman"/>
          <w:sz w:val="28"/>
          <w:szCs w:val="28"/>
        </w:rPr>
      </w:pPr>
      <w:r w:rsidRPr="00324B60">
        <w:rPr>
          <w:rFonts w:ascii="Times New Roman" w:hAnsi="Times New Roman" w:cs="Times New Roman"/>
          <w:b/>
          <w:sz w:val="28"/>
          <w:szCs w:val="28"/>
        </w:rPr>
        <w:t>LOS PRINCIPIOS EN LA APLICACIÓN DEL DERECHO</w:t>
      </w:r>
      <w:r w:rsidR="004A27C2" w:rsidRPr="00AE0067">
        <w:rPr>
          <w:rStyle w:val="Refdenotaalpie"/>
          <w:rFonts w:ascii="Times New Roman" w:hAnsi="Times New Roman" w:cs="Times New Roman"/>
          <w:sz w:val="28"/>
          <w:szCs w:val="28"/>
        </w:rPr>
        <w:footnoteReference w:id="1"/>
      </w:r>
    </w:p>
    <w:p w:rsidR="00825D99" w:rsidRPr="00324B60" w:rsidRDefault="00825D99" w:rsidP="00324B60">
      <w:pPr>
        <w:spacing w:after="0" w:line="480" w:lineRule="auto"/>
        <w:contextualSpacing/>
        <w:jc w:val="center"/>
        <w:rPr>
          <w:rFonts w:ascii="Times New Roman" w:hAnsi="Times New Roman" w:cs="Times New Roman"/>
          <w:b/>
          <w:sz w:val="28"/>
          <w:szCs w:val="28"/>
        </w:rPr>
      </w:pPr>
    </w:p>
    <w:p w:rsidR="00825D99" w:rsidRPr="00324B60" w:rsidRDefault="00825D99" w:rsidP="00324B60">
      <w:pPr>
        <w:spacing w:after="0" w:line="480" w:lineRule="auto"/>
        <w:contextualSpacing/>
        <w:jc w:val="right"/>
        <w:rPr>
          <w:rFonts w:ascii="Times New Roman" w:hAnsi="Times New Roman" w:cs="Times New Roman"/>
          <w:b/>
          <w:sz w:val="28"/>
          <w:szCs w:val="28"/>
        </w:rPr>
      </w:pPr>
      <w:r w:rsidRPr="00324B60">
        <w:rPr>
          <w:rFonts w:ascii="Times New Roman" w:hAnsi="Times New Roman" w:cs="Times New Roman"/>
          <w:b/>
          <w:sz w:val="28"/>
          <w:szCs w:val="28"/>
        </w:rPr>
        <w:t>Edgar J. Varela-Méndez</w:t>
      </w:r>
      <w:r w:rsidRPr="00AE0067">
        <w:rPr>
          <w:rStyle w:val="Refdenotaalpie"/>
          <w:rFonts w:ascii="Times New Roman" w:hAnsi="Times New Roman" w:cs="Times New Roman"/>
          <w:sz w:val="28"/>
          <w:szCs w:val="28"/>
        </w:rPr>
        <w:footnoteReference w:id="2"/>
      </w:r>
    </w:p>
    <w:p w:rsidR="00ED50A2" w:rsidRPr="00326638" w:rsidRDefault="00ED50A2" w:rsidP="00326638">
      <w:pPr>
        <w:spacing w:after="0" w:line="360" w:lineRule="auto"/>
        <w:contextualSpacing/>
        <w:jc w:val="center"/>
        <w:rPr>
          <w:rFonts w:ascii="Times New Roman" w:hAnsi="Times New Roman" w:cs="Times New Roman"/>
          <w:b/>
          <w:sz w:val="24"/>
          <w:szCs w:val="24"/>
        </w:rPr>
      </w:pPr>
      <w:r w:rsidRPr="00326638">
        <w:rPr>
          <w:rFonts w:ascii="Times New Roman" w:hAnsi="Times New Roman" w:cs="Times New Roman"/>
          <w:b/>
          <w:sz w:val="24"/>
          <w:szCs w:val="24"/>
        </w:rPr>
        <w:t>I)</w:t>
      </w:r>
    </w:p>
    <w:p w:rsidR="00ED50A2" w:rsidRPr="00326638" w:rsidRDefault="002C630F"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t>Enseñó Couture que “No obstante las diferencias que la doctrina ha venido acentuando  desde el siglo pasado, no existe una diferencia de esencia sino de extensión entre las actividades llamadas de interpretación y de integración de la ley”</w:t>
      </w:r>
      <w:r w:rsidRPr="00326638">
        <w:rPr>
          <w:rStyle w:val="Refdenotaalpie"/>
          <w:rFonts w:ascii="Times New Roman" w:hAnsi="Times New Roman" w:cs="Times New Roman"/>
          <w:sz w:val="24"/>
          <w:szCs w:val="24"/>
        </w:rPr>
        <w:footnoteReference w:id="3"/>
      </w:r>
      <w:r w:rsidRPr="00326638">
        <w:rPr>
          <w:rFonts w:ascii="Times New Roman" w:hAnsi="Times New Roman" w:cs="Times New Roman"/>
          <w:sz w:val="24"/>
          <w:szCs w:val="24"/>
        </w:rPr>
        <w:t>.</w:t>
      </w:r>
    </w:p>
    <w:p w:rsidR="002C630F" w:rsidRPr="00326638" w:rsidRDefault="00ED50A2"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r>
      <w:r w:rsidR="002C630F" w:rsidRPr="00326638">
        <w:rPr>
          <w:rFonts w:ascii="Times New Roman" w:hAnsi="Times New Roman" w:cs="Times New Roman"/>
          <w:sz w:val="24"/>
          <w:szCs w:val="24"/>
        </w:rPr>
        <w:t>Y es harto frecuente el aludir a los “principios”, “principios jurídicos”, “principios generales de Derecho”, “</w:t>
      </w:r>
      <w:r w:rsidR="002C630F" w:rsidRPr="00326638">
        <w:rPr>
          <w:rFonts w:ascii="Times New Roman" w:hAnsi="Times New Roman" w:cs="Times New Roman"/>
          <w:i/>
          <w:sz w:val="24"/>
          <w:szCs w:val="24"/>
        </w:rPr>
        <w:t>generalibus iuris principiis</w:t>
      </w:r>
      <w:r w:rsidR="002C630F" w:rsidRPr="00326638">
        <w:rPr>
          <w:rFonts w:ascii="Times New Roman" w:hAnsi="Times New Roman" w:cs="Times New Roman"/>
          <w:sz w:val="24"/>
          <w:szCs w:val="24"/>
        </w:rPr>
        <w:t>”, “</w:t>
      </w:r>
      <w:r w:rsidR="002C630F" w:rsidRPr="00326638">
        <w:rPr>
          <w:rFonts w:ascii="Times New Roman" w:hAnsi="Times New Roman" w:cs="Times New Roman"/>
          <w:i/>
          <w:sz w:val="24"/>
          <w:szCs w:val="24"/>
        </w:rPr>
        <w:t>iuris principia</w:t>
      </w:r>
      <w:r w:rsidR="002C630F" w:rsidRPr="00326638">
        <w:rPr>
          <w:rFonts w:ascii="Times New Roman" w:hAnsi="Times New Roman" w:cs="Times New Roman"/>
          <w:sz w:val="24"/>
          <w:szCs w:val="24"/>
        </w:rPr>
        <w:t>·, “</w:t>
      </w:r>
      <w:r w:rsidR="002C630F" w:rsidRPr="00326638">
        <w:rPr>
          <w:rFonts w:ascii="Times New Roman" w:hAnsi="Times New Roman" w:cs="Times New Roman"/>
          <w:i/>
          <w:sz w:val="24"/>
          <w:szCs w:val="24"/>
        </w:rPr>
        <w:t>principia generalia iuris</w:t>
      </w:r>
      <w:r w:rsidR="002C630F" w:rsidRPr="00326638">
        <w:rPr>
          <w:rFonts w:ascii="Times New Roman" w:hAnsi="Times New Roman" w:cs="Times New Roman"/>
          <w:sz w:val="24"/>
          <w:szCs w:val="24"/>
        </w:rPr>
        <w:t>” y otras denominaciones generales y de idéntico contenido, en la aplicación del Derecho (interpretación e integración), como he sostenido antes de ahora</w:t>
      </w:r>
      <w:r w:rsidR="002C630F" w:rsidRPr="00326638">
        <w:rPr>
          <w:rStyle w:val="Refdenotaalpie"/>
          <w:rFonts w:ascii="Times New Roman" w:hAnsi="Times New Roman" w:cs="Times New Roman"/>
          <w:sz w:val="24"/>
          <w:szCs w:val="24"/>
        </w:rPr>
        <w:footnoteReference w:id="4"/>
      </w:r>
      <w:r w:rsidR="002C630F" w:rsidRPr="00326638">
        <w:rPr>
          <w:rFonts w:ascii="Times New Roman" w:hAnsi="Times New Roman" w:cs="Times New Roman"/>
          <w:sz w:val="24"/>
          <w:szCs w:val="24"/>
        </w:rPr>
        <w:t xml:space="preserve"> </w:t>
      </w:r>
      <w:r w:rsidR="002C630F" w:rsidRPr="00326638">
        <w:rPr>
          <w:rStyle w:val="Refdenotaalpie"/>
          <w:rFonts w:ascii="Times New Roman" w:hAnsi="Times New Roman" w:cs="Times New Roman"/>
          <w:sz w:val="24"/>
          <w:szCs w:val="24"/>
        </w:rPr>
        <w:footnoteReference w:id="5"/>
      </w:r>
      <w:r w:rsidR="00E45C52" w:rsidRPr="00326638">
        <w:rPr>
          <w:rFonts w:ascii="Times New Roman" w:hAnsi="Times New Roman" w:cs="Times New Roman"/>
          <w:sz w:val="24"/>
          <w:szCs w:val="24"/>
        </w:rPr>
        <w:t>.</w:t>
      </w:r>
    </w:p>
    <w:p w:rsidR="00F64C88" w:rsidRPr="00326638" w:rsidRDefault="00F64C88" w:rsidP="00326638">
      <w:pPr>
        <w:spacing w:after="0" w:line="360" w:lineRule="auto"/>
        <w:ind w:firstLine="708"/>
        <w:contextualSpacing/>
        <w:jc w:val="both"/>
        <w:rPr>
          <w:rFonts w:ascii="Times New Roman" w:hAnsi="Times New Roman" w:cs="Times New Roman"/>
          <w:sz w:val="24"/>
          <w:szCs w:val="24"/>
        </w:rPr>
      </w:pPr>
      <w:r w:rsidRPr="00326638">
        <w:rPr>
          <w:rFonts w:ascii="Times New Roman" w:hAnsi="Times New Roman" w:cs="Times New Roman"/>
          <w:sz w:val="24"/>
          <w:szCs w:val="24"/>
        </w:rPr>
        <w:t>Define Couture los principios como: “Enunciado lógico extraído de la ordenación sistemática y coherente de diversas normas de procedimiento, en forma de dar a la solución constante de éstas el carácter de una regla de validez universal”</w:t>
      </w:r>
      <w:r w:rsidRPr="00326638">
        <w:rPr>
          <w:rStyle w:val="Refdenotaalpie"/>
          <w:rFonts w:ascii="Times New Roman" w:hAnsi="Times New Roman" w:cs="Times New Roman"/>
          <w:sz w:val="24"/>
          <w:szCs w:val="24"/>
        </w:rPr>
        <w:footnoteReference w:id="6"/>
      </w:r>
      <w:r w:rsidRPr="00326638">
        <w:rPr>
          <w:rFonts w:ascii="Times New Roman" w:hAnsi="Times New Roman" w:cs="Times New Roman"/>
          <w:sz w:val="24"/>
          <w:szCs w:val="24"/>
        </w:rPr>
        <w:t>.</w:t>
      </w:r>
    </w:p>
    <w:p w:rsidR="00E45C52" w:rsidRPr="00326638" w:rsidRDefault="00E45C52" w:rsidP="00326638">
      <w:pPr>
        <w:spacing w:after="0" w:line="360" w:lineRule="auto"/>
        <w:ind w:firstLine="708"/>
        <w:contextualSpacing/>
        <w:jc w:val="both"/>
        <w:rPr>
          <w:rFonts w:ascii="Times New Roman" w:eastAsia="MS Mincho" w:hAnsi="Times New Roman" w:cs="Times New Roman"/>
          <w:sz w:val="24"/>
          <w:szCs w:val="24"/>
          <w:lang w:val="es-ES_tradnl" w:eastAsia="es-ES"/>
        </w:rPr>
      </w:pPr>
      <w:r w:rsidRPr="00326638">
        <w:rPr>
          <w:rFonts w:ascii="Times New Roman" w:hAnsi="Times New Roman" w:cs="Times New Roman"/>
          <w:sz w:val="24"/>
          <w:szCs w:val="24"/>
        </w:rPr>
        <w:t xml:space="preserve">No </w:t>
      </w:r>
      <w:r w:rsidRPr="00326638">
        <w:rPr>
          <w:rFonts w:ascii="Times New Roman" w:eastAsia="MS Mincho" w:hAnsi="Times New Roman" w:cs="Times New Roman"/>
          <w:sz w:val="24"/>
          <w:szCs w:val="24"/>
          <w:lang w:val="es-ES_tradnl" w:eastAsia="es-ES"/>
        </w:rPr>
        <w:t xml:space="preserve">obstante, como precisa Esser: “… he aquí unos términos empleados continuamente por la teoría y la jurisprudencia, sin que jamás se haya procedido a un análisis sistemático de su respectivo sentido y alcance,  ni se ha intentado siquiera arrojar </w:t>
      </w:r>
      <w:r w:rsidRPr="00326638">
        <w:rPr>
          <w:rFonts w:ascii="Times New Roman" w:eastAsia="MS Mincho" w:hAnsi="Times New Roman" w:cs="Times New Roman"/>
          <w:sz w:val="24"/>
          <w:szCs w:val="24"/>
          <w:lang w:val="es-ES_tradnl" w:eastAsia="es-ES"/>
        </w:rPr>
        <w:lastRenderedPageBreak/>
        <w:t>luz sobre la función  y procedencia de los conceptos en ellos expresados. De ahí deriva que estos conceptos elementales sean usados para las tareas más diversas, se les pida más de lo que pueden dar, se abuse de ellos como panacea universal para resolver todo linaje de cuestiones y se les enjuicie del modo más contradictorio”… “La vaguedad de dichos conceptos generales es propicia a toda clase de abusos, en la política y en el foro: una expresión como «el principio inspirador del artículo tal» se presta fácilmente a toda suerte de razonamientos superficiales”</w:t>
      </w:r>
      <w:r w:rsidRPr="00326638">
        <w:rPr>
          <w:rFonts w:ascii="Times New Roman" w:eastAsia="MS Mincho" w:hAnsi="Times New Roman" w:cs="Times New Roman"/>
          <w:sz w:val="24"/>
          <w:szCs w:val="24"/>
          <w:vertAlign w:val="superscript"/>
          <w:lang w:val="es-ES_tradnl" w:eastAsia="es-ES"/>
        </w:rPr>
        <w:footnoteReference w:id="7"/>
      </w:r>
      <w:r w:rsidRPr="00326638">
        <w:rPr>
          <w:rFonts w:ascii="Times New Roman" w:eastAsia="MS Mincho" w:hAnsi="Times New Roman" w:cs="Times New Roman"/>
          <w:sz w:val="24"/>
          <w:szCs w:val="24"/>
          <w:lang w:val="es-ES_tradnl" w:eastAsia="es-ES"/>
        </w:rPr>
        <w:t xml:space="preserve">. </w:t>
      </w:r>
    </w:p>
    <w:p w:rsidR="00E45C52" w:rsidRPr="00326638" w:rsidRDefault="00E45C52" w:rsidP="00326638">
      <w:pPr>
        <w:pStyle w:val="Textonotapie"/>
        <w:spacing w:line="360" w:lineRule="auto"/>
        <w:ind w:firstLine="709"/>
        <w:contextualSpacing/>
        <w:jc w:val="both"/>
        <w:rPr>
          <w:rFonts w:ascii="Times New Roman" w:eastAsia="MS Mincho" w:hAnsi="Times New Roman" w:cs="Times New Roman"/>
          <w:sz w:val="24"/>
          <w:szCs w:val="24"/>
          <w:lang w:val="es-ES_tradnl" w:eastAsia="es-ES"/>
        </w:rPr>
      </w:pPr>
      <w:r w:rsidRPr="00326638">
        <w:rPr>
          <w:rFonts w:ascii="Times New Roman" w:eastAsia="MS Mincho" w:hAnsi="Times New Roman" w:cs="Times New Roman"/>
          <w:sz w:val="24"/>
          <w:szCs w:val="24"/>
          <w:lang w:val="es-ES_tradnl" w:eastAsia="es-ES"/>
        </w:rPr>
        <w:t xml:space="preserve">Y: </w:t>
      </w:r>
      <w:r w:rsidRPr="00326638">
        <w:rPr>
          <w:rFonts w:ascii="Times New Roman" w:eastAsia="Calibri" w:hAnsi="Times New Roman" w:cs="Times New Roman"/>
          <w:sz w:val="24"/>
          <w:szCs w:val="24"/>
          <w:lang w:val="es-MX"/>
        </w:rPr>
        <w:t xml:space="preserve">“Pero incluso fuera de los numerosos campos de iniciativa judicial, es cada vez más frecuente en el pensamiento jurídico continental una fundamentación directa de las sentencias a partir de «principios jurídicos generales», incompatibles con la idea del </w:t>
      </w:r>
      <w:r w:rsidRPr="00326638">
        <w:rPr>
          <w:rFonts w:ascii="Times New Roman" w:eastAsia="Calibri" w:hAnsi="Times New Roman" w:cs="Times New Roman"/>
          <w:i/>
          <w:sz w:val="24"/>
          <w:szCs w:val="24"/>
          <w:lang w:val="es-MX"/>
        </w:rPr>
        <w:t>Codex</w:t>
      </w:r>
      <w:r w:rsidRPr="00326638">
        <w:rPr>
          <w:rFonts w:ascii="Times New Roman" w:eastAsia="Calibri" w:hAnsi="Times New Roman" w:cs="Times New Roman"/>
          <w:sz w:val="24"/>
          <w:szCs w:val="24"/>
          <w:lang w:val="es-MX"/>
        </w:rPr>
        <w:t xml:space="preserve">…”. “… pasar por alto los penosos casos en que el término «pensamiento jurídico» no es sino un manido recurso para salir del paso, cuando el juez es incapaz de precisar un punto dogmático o no sabe extraer con exactitud la substancia positiva de las resoluciones anteriores –o sea, la </w:t>
      </w:r>
      <w:r w:rsidRPr="00326638">
        <w:rPr>
          <w:rFonts w:ascii="Times New Roman" w:eastAsia="Calibri" w:hAnsi="Times New Roman" w:cs="Times New Roman"/>
          <w:i/>
          <w:sz w:val="24"/>
          <w:szCs w:val="24"/>
          <w:lang w:val="es-MX"/>
        </w:rPr>
        <w:t>rule</w:t>
      </w:r>
      <w:r w:rsidRPr="00326638">
        <w:rPr>
          <w:rFonts w:ascii="Times New Roman" w:eastAsia="Calibri" w:hAnsi="Times New Roman" w:cs="Times New Roman"/>
          <w:sz w:val="24"/>
          <w:szCs w:val="24"/>
          <w:lang w:val="es-MX"/>
        </w:rPr>
        <w:t xml:space="preserve"> propiamente dicha”</w:t>
      </w:r>
      <w:r w:rsidRPr="00326638">
        <w:rPr>
          <w:rStyle w:val="Refdenotaalpie"/>
          <w:rFonts w:ascii="Times New Roman" w:eastAsia="Calibri" w:hAnsi="Times New Roman" w:cs="Times New Roman"/>
          <w:sz w:val="24"/>
          <w:szCs w:val="24"/>
          <w:lang w:val="es-MX"/>
        </w:rPr>
        <w:footnoteReference w:id="8"/>
      </w:r>
      <w:r w:rsidRPr="00326638">
        <w:rPr>
          <w:rFonts w:ascii="Times New Roman" w:eastAsia="Calibri" w:hAnsi="Times New Roman" w:cs="Times New Roman"/>
          <w:sz w:val="24"/>
          <w:szCs w:val="24"/>
          <w:lang w:val="es-MX"/>
        </w:rPr>
        <w:t xml:space="preserve">. </w:t>
      </w:r>
    </w:p>
    <w:p w:rsidR="00E45C52" w:rsidRPr="00326638" w:rsidRDefault="00E607D4"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t>Advertencia que significan otros juristas.</w:t>
      </w:r>
    </w:p>
    <w:p w:rsidR="00E607D4" w:rsidRPr="00326638" w:rsidRDefault="00E607D4" w:rsidP="00326638">
      <w:pPr>
        <w:spacing w:after="0" w:line="360" w:lineRule="auto"/>
        <w:ind w:firstLine="708"/>
        <w:contextualSpacing/>
        <w:jc w:val="both"/>
        <w:rPr>
          <w:rFonts w:ascii="Times New Roman" w:eastAsia="MS Mincho" w:hAnsi="Times New Roman" w:cs="Times New Roman"/>
          <w:sz w:val="24"/>
          <w:szCs w:val="24"/>
          <w:lang w:val="es-UY" w:eastAsia="es-ES"/>
        </w:rPr>
      </w:pPr>
      <w:r w:rsidRPr="00326638">
        <w:rPr>
          <w:rFonts w:ascii="Times New Roman" w:eastAsia="MS Mincho" w:hAnsi="Times New Roman" w:cs="Times New Roman"/>
          <w:sz w:val="24"/>
          <w:szCs w:val="24"/>
          <w:lang w:val="es-UY" w:eastAsia="es-ES"/>
        </w:rPr>
        <w:t xml:space="preserve"> Posturas </w:t>
      </w:r>
      <w:r w:rsidR="00912227" w:rsidRPr="00326638">
        <w:rPr>
          <w:rFonts w:ascii="Times New Roman" w:eastAsia="MS Mincho" w:hAnsi="Times New Roman" w:cs="Times New Roman"/>
          <w:sz w:val="24"/>
          <w:szCs w:val="24"/>
          <w:lang w:val="es-UY" w:eastAsia="es-ES"/>
        </w:rPr>
        <w:t>críticas</w:t>
      </w:r>
      <w:r w:rsidRPr="00326638">
        <w:rPr>
          <w:rFonts w:ascii="Times New Roman" w:eastAsia="MS Mincho" w:hAnsi="Times New Roman" w:cs="Times New Roman"/>
          <w:sz w:val="24"/>
          <w:szCs w:val="24"/>
          <w:lang w:val="es-UY" w:eastAsia="es-ES"/>
        </w:rPr>
        <w:t xml:space="preserve"> como la que manifiesta García Amado: “Mostrar hoy escepticismo frente a los principios jurídicos, y muy en especial los principios constitucionales, es atrevimiento bien similar a lo que en otro tiempo habría sido dudar de la existencia de Dios o de que la tierra era el centro y eje del sistema solar, anatema o blasfemia, indicio claro de que el sujeto en cuestión es poco menos que un agente del Averno. Pero algunos seguimos siendo escépticos, aunque pueda caernos el cielo sobre nuestras cabezas. Escépticos sobre la propia diferenciación entre reglas y principios, al menos en la mayoría de sus presentaciones actuales, y escépticos, sobre todo, respecto al propósito de esa distinción, que viene a ser, la mayoría de las veces, el de introducir las mismas tesis sustantivas del viejo iusnaturalismo, aunque sea por la puerta de atrás, aparentando fundamentos distintos, con estilo fingidamente analítico y reemplazando las ajadas sotanas por trajes más al gusto de los tiempos”</w:t>
      </w:r>
      <w:r w:rsidRPr="00326638">
        <w:rPr>
          <w:rFonts w:ascii="Times New Roman" w:eastAsia="MS Mincho" w:hAnsi="Times New Roman" w:cs="Times New Roman"/>
          <w:sz w:val="24"/>
          <w:szCs w:val="24"/>
          <w:vertAlign w:val="superscript"/>
          <w:lang w:val="es-UY" w:eastAsia="es-ES"/>
        </w:rPr>
        <w:footnoteReference w:id="9"/>
      </w:r>
      <w:r w:rsidR="00F64C88" w:rsidRPr="00326638">
        <w:rPr>
          <w:rFonts w:ascii="Times New Roman" w:eastAsia="MS Mincho" w:hAnsi="Times New Roman" w:cs="Times New Roman"/>
          <w:sz w:val="24"/>
          <w:szCs w:val="24"/>
          <w:lang w:val="es-UY" w:eastAsia="es-ES"/>
        </w:rPr>
        <w:t xml:space="preserve"> </w:t>
      </w:r>
      <w:r w:rsidR="00F64C88" w:rsidRPr="00326638">
        <w:rPr>
          <w:rStyle w:val="Refdenotaalpie"/>
          <w:rFonts w:ascii="Times New Roman" w:eastAsia="MS Mincho" w:hAnsi="Times New Roman" w:cs="Times New Roman"/>
          <w:sz w:val="24"/>
          <w:szCs w:val="24"/>
          <w:lang w:val="es-UY" w:eastAsia="es-ES"/>
        </w:rPr>
        <w:footnoteReference w:id="10"/>
      </w:r>
      <w:r w:rsidRPr="00326638">
        <w:rPr>
          <w:rFonts w:ascii="Times New Roman" w:eastAsia="MS Mincho" w:hAnsi="Times New Roman" w:cs="Times New Roman"/>
          <w:sz w:val="24"/>
          <w:szCs w:val="24"/>
          <w:lang w:val="es-UY" w:eastAsia="es-ES"/>
        </w:rPr>
        <w:t>.</w:t>
      </w:r>
    </w:p>
    <w:p w:rsidR="00195D3A" w:rsidRPr="00326638" w:rsidRDefault="00E607D4" w:rsidP="00326638">
      <w:pPr>
        <w:spacing w:line="360" w:lineRule="auto"/>
        <w:ind w:firstLine="708"/>
        <w:contextualSpacing/>
        <w:jc w:val="both"/>
        <w:rPr>
          <w:rFonts w:ascii="Times New Roman" w:hAnsi="Times New Roman" w:cs="Times New Roman"/>
          <w:sz w:val="24"/>
          <w:szCs w:val="24"/>
        </w:rPr>
      </w:pPr>
      <w:r w:rsidRPr="00326638">
        <w:rPr>
          <w:rFonts w:ascii="Times New Roman" w:hAnsi="Times New Roman" w:cs="Times New Roman"/>
          <w:sz w:val="24"/>
          <w:szCs w:val="24"/>
        </w:rPr>
        <w:lastRenderedPageBreak/>
        <w:t xml:space="preserve">Y las </w:t>
      </w:r>
      <w:r w:rsidR="00195D3A" w:rsidRPr="00326638">
        <w:rPr>
          <w:rFonts w:ascii="Times New Roman" w:hAnsi="Times New Roman" w:cs="Times New Roman"/>
          <w:sz w:val="24"/>
          <w:szCs w:val="24"/>
        </w:rPr>
        <w:t xml:space="preserve">precisiones de Chaumet: </w:t>
      </w:r>
      <w:r w:rsidR="00195D3A" w:rsidRPr="00326638">
        <w:rPr>
          <w:rFonts w:ascii="Times New Roman" w:eastAsia="Calibri" w:hAnsi="Times New Roman" w:cs="Times New Roman"/>
          <w:sz w:val="24"/>
          <w:szCs w:val="24"/>
          <w:lang w:val="es-UY"/>
        </w:rPr>
        <w:t xml:space="preserve">“…como es que muchas de las decisiones judiciales sobre aspectos centrales de las más variadas ramas jurídicas son justificadas directamente desde «principios constitucionales» (algo que, por lo demás, cualquier operador de derecho continental puede constatar cotidianamente)”… “… ello en gran medida implica omitir la mediación de una norma (habitualmente formalizada en una </w:t>
      </w:r>
      <w:r w:rsidR="00195D3A" w:rsidRPr="00326638">
        <w:rPr>
          <w:rFonts w:ascii="Times New Roman" w:eastAsia="Calibri" w:hAnsi="Times New Roman" w:cs="Times New Roman"/>
          <w:i/>
          <w:sz w:val="24"/>
          <w:szCs w:val="24"/>
          <w:lang w:val="es-UY"/>
        </w:rPr>
        <w:t>ley</w:t>
      </w:r>
      <w:r w:rsidR="00195D3A" w:rsidRPr="00326638">
        <w:rPr>
          <w:rFonts w:ascii="Times New Roman" w:eastAsia="Calibri" w:hAnsi="Times New Roman" w:cs="Times New Roman"/>
          <w:sz w:val="24"/>
          <w:szCs w:val="24"/>
          <w:lang w:val="es-UY"/>
        </w:rPr>
        <w:t xml:space="preserve">) que determine las condiciones de aplicación y los alcances del  «principio constitucional», tarea que es asumida por los jueces en la solución de cada caso concreto. Si éste es el escenario de la juridicidad actual, es menester ampliar las condiciones que posibiliten el control de la argumentación judicial”… “Buena parte de la producción de la teoría del derecho de este tiempo está dedicada, precisamente, a contener la discrecionalidad judicial tratando de encontrar parámetros racionales para la aplicación de los principios constitucionales”… “De todos los temas que trae aparejada la aplicación de principios en la argumentación de la adjudicación judicial, queremos detenernos especialmente en uno de los que más se invocan –especialmente en las decisiones judiciales de los tribunales constitucionales latinoamericanos- y de los que más se polemizan doctrinariamente: su </w:t>
      </w:r>
      <w:r w:rsidR="00195D3A" w:rsidRPr="00326638">
        <w:rPr>
          <w:rFonts w:ascii="Times New Roman" w:eastAsia="Calibri" w:hAnsi="Times New Roman" w:cs="Times New Roman"/>
          <w:i/>
          <w:sz w:val="24"/>
          <w:szCs w:val="24"/>
          <w:lang w:val="es-UY"/>
        </w:rPr>
        <w:t>ponderación</w:t>
      </w:r>
      <w:r w:rsidR="00195D3A" w:rsidRPr="00326638">
        <w:rPr>
          <w:rFonts w:ascii="Times New Roman" w:eastAsia="Calibri" w:hAnsi="Times New Roman" w:cs="Times New Roman"/>
          <w:sz w:val="24"/>
          <w:szCs w:val="24"/>
          <w:lang w:val="es-UY"/>
        </w:rPr>
        <w:t xml:space="preserve">. En un número significativo de casos, se apela a esa expresión, habitualmente designada con la metáfora de la asignación de </w:t>
      </w:r>
      <w:r w:rsidR="00195D3A" w:rsidRPr="00326638">
        <w:rPr>
          <w:rFonts w:ascii="Times New Roman" w:eastAsia="Calibri" w:hAnsi="Times New Roman" w:cs="Times New Roman"/>
          <w:i/>
          <w:sz w:val="24"/>
          <w:szCs w:val="24"/>
          <w:lang w:val="es-UY"/>
        </w:rPr>
        <w:t>pesos</w:t>
      </w:r>
      <w:r w:rsidR="00195D3A" w:rsidRPr="00326638">
        <w:rPr>
          <w:rFonts w:ascii="Times New Roman" w:eastAsia="Calibri" w:hAnsi="Times New Roman" w:cs="Times New Roman"/>
          <w:sz w:val="24"/>
          <w:szCs w:val="24"/>
          <w:lang w:val="es-UY"/>
        </w:rPr>
        <w:t xml:space="preserve"> distintos a los principios en juego … a fin de averiguar cual tiene más fuerza y. por tanto, desplazará al otro”</w:t>
      </w:r>
      <w:r w:rsidR="00195D3A" w:rsidRPr="00326638">
        <w:rPr>
          <w:rFonts w:ascii="Times New Roman" w:eastAsia="Calibri" w:hAnsi="Times New Roman" w:cs="Times New Roman"/>
          <w:sz w:val="24"/>
          <w:szCs w:val="24"/>
          <w:vertAlign w:val="superscript"/>
          <w:lang w:val="es-UY"/>
        </w:rPr>
        <w:footnoteReference w:id="11"/>
      </w:r>
      <w:r w:rsidR="00195D3A" w:rsidRPr="00326638">
        <w:rPr>
          <w:rFonts w:ascii="Times New Roman" w:eastAsia="Calibri" w:hAnsi="Times New Roman" w:cs="Times New Roman"/>
          <w:sz w:val="24"/>
          <w:szCs w:val="24"/>
          <w:lang w:val="es-UY"/>
        </w:rPr>
        <w:t>.</w:t>
      </w:r>
    </w:p>
    <w:p w:rsidR="00E607D4" w:rsidRPr="00326638" w:rsidRDefault="009713ED" w:rsidP="00326638">
      <w:pPr>
        <w:spacing w:after="0" w:line="360" w:lineRule="auto"/>
        <w:contextualSpacing/>
        <w:jc w:val="center"/>
        <w:rPr>
          <w:rFonts w:ascii="Times New Roman" w:hAnsi="Times New Roman" w:cs="Times New Roman"/>
          <w:b/>
          <w:sz w:val="24"/>
          <w:szCs w:val="24"/>
        </w:rPr>
      </w:pPr>
      <w:r w:rsidRPr="00326638">
        <w:rPr>
          <w:rFonts w:ascii="Times New Roman" w:hAnsi="Times New Roman" w:cs="Times New Roman"/>
          <w:b/>
          <w:sz w:val="24"/>
          <w:szCs w:val="24"/>
        </w:rPr>
        <w:t>II)</w:t>
      </w:r>
    </w:p>
    <w:p w:rsidR="009713ED" w:rsidRPr="00326638" w:rsidRDefault="009713ED" w:rsidP="00326638">
      <w:pPr>
        <w:spacing w:after="0" w:line="360" w:lineRule="auto"/>
        <w:contextualSpacing/>
        <w:jc w:val="both"/>
        <w:rPr>
          <w:rFonts w:ascii="Times New Roman" w:eastAsia="Calibri" w:hAnsi="Times New Roman" w:cs="Times New Roman"/>
          <w:sz w:val="24"/>
          <w:szCs w:val="24"/>
        </w:rPr>
      </w:pPr>
      <w:r w:rsidRPr="00326638">
        <w:rPr>
          <w:rFonts w:ascii="Times New Roman" w:hAnsi="Times New Roman" w:cs="Times New Roman"/>
          <w:b/>
          <w:sz w:val="24"/>
          <w:szCs w:val="24"/>
        </w:rPr>
        <w:tab/>
      </w:r>
      <w:r w:rsidRPr="00326638">
        <w:rPr>
          <w:rFonts w:ascii="Times New Roman" w:hAnsi="Times New Roman" w:cs="Times New Roman"/>
          <w:sz w:val="24"/>
          <w:szCs w:val="24"/>
        </w:rPr>
        <w:t xml:space="preserve">He sostenido antes de ahora que </w:t>
      </w:r>
      <w:r w:rsidR="00912227" w:rsidRPr="00326638">
        <w:rPr>
          <w:rFonts w:ascii="Times New Roman" w:hAnsi="Times New Roman" w:cs="Times New Roman"/>
          <w:sz w:val="24"/>
          <w:szCs w:val="24"/>
        </w:rPr>
        <w:t>l</w:t>
      </w:r>
      <w:r w:rsidRPr="00326638">
        <w:rPr>
          <w:rFonts w:ascii="Times New Roman" w:eastAsia="Calibri" w:hAnsi="Times New Roman" w:cs="Times New Roman"/>
          <w:sz w:val="24"/>
          <w:szCs w:val="24"/>
          <w:lang w:val="es-UY"/>
        </w:rPr>
        <w:t>os principios s</w:t>
      </w:r>
      <w:r w:rsidRPr="00326638">
        <w:rPr>
          <w:rFonts w:ascii="Times New Roman" w:eastAsia="Calibri" w:hAnsi="Times New Roman" w:cs="Times New Roman"/>
          <w:sz w:val="24"/>
          <w:szCs w:val="24"/>
        </w:rPr>
        <w:t xml:space="preserve">on tales en la medida en que no existan otros en los cuales puedan subsumirse; son  </w:t>
      </w:r>
      <w:r w:rsidR="00290E2F" w:rsidRPr="00326638">
        <w:rPr>
          <w:rFonts w:ascii="Times New Roman" w:eastAsia="Calibri" w:hAnsi="Times New Roman" w:cs="Times New Roman"/>
          <w:sz w:val="24"/>
          <w:szCs w:val="24"/>
        </w:rPr>
        <w:t xml:space="preserve">puntos </w:t>
      </w:r>
      <w:r w:rsidRPr="00326638">
        <w:rPr>
          <w:rFonts w:ascii="Times New Roman" w:eastAsia="Calibri" w:hAnsi="Times New Roman" w:cs="Times New Roman"/>
          <w:sz w:val="24"/>
          <w:szCs w:val="24"/>
        </w:rPr>
        <w:t>de partida absolutos no dependientes de ningún otro; son enunciados lógicos extraídos de la ordenación sistemática y coherente de un ordenamiento que conforman la armazón lógica del mismo. Se originan o extraen de una armonización sistemática de  los textos. Son de naturaleza normativa. No pueden ser confundidos con reglas técnicas o directrices. No lo son todos los que alguna doctrina incluye ni los que así son aludidos en los textos legales</w:t>
      </w:r>
      <w:r w:rsidRPr="00326638">
        <w:rPr>
          <w:rStyle w:val="Refdenotaalpie"/>
          <w:rFonts w:ascii="Times New Roman" w:eastAsia="Calibri" w:hAnsi="Times New Roman" w:cs="Times New Roman"/>
          <w:sz w:val="24"/>
          <w:szCs w:val="24"/>
        </w:rPr>
        <w:footnoteReference w:id="12"/>
      </w:r>
      <w:r w:rsidRPr="00326638">
        <w:rPr>
          <w:rFonts w:ascii="Times New Roman" w:eastAsia="Calibri" w:hAnsi="Times New Roman" w:cs="Times New Roman"/>
          <w:sz w:val="24"/>
          <w:szCs w:val="24"/>
        </w:rPr>
        <w:t xml:space="preserve">.  </w:t>
      </w:r>
    </w:p>
    <w:p w:rsidR="009713ED" w:rsidRPr="00326638" w:rsidRDefault="009713ED" w:rsidP="00326638">
      <w:pPr>
        <w:spacing w:after="0" w:line="360" w:lineRule="auto"/>
        <w:ind w:firstLine="703"/>
        <w:contextualSpacing/>
        <w:jc w:val="both"/>
        <w:rPr>
          <w:rFonts w:ascii="Times New Roman" w:eastAsia="MS Mincho" w:hAnsi="Times New Roman" w:cs="Times New Roman"/>
          <w:sz w:val="24"/>
          <w:szCs w:val="24"/>
          <w:lang w:val="es-ES_tradnl" w:eastAsia="es-ES"/>
        </w:rPr>
      </w:pPr>
      <w:r w:rsidRPr="00326638">
        <w:rPr>
          <w:rFonts w:ascii="Times New Roman" w:eastAsia="MS Mincho" w:hAnsi="Times New Roman" w:cs="Times New Roman"/>
          <w:sz w:val="24"/>
          <w:szCs w:val="24"/>
          <w:lang w:val="es-ES_tradnl" w:eastAsia="es-ES"/>
        </w:rPr>
        <w:t>Pero, al analizar los distintos “principios” –cuyo número varía entre los distintos autores, algunos de los cuales hipertrofian su elenco</w:t>
      </w:r>
      <w:r w:rsidRPr="00326638">
        <w:rPr>
          <w:rFonts w:ascii="Times New Roman" w:eastAsia="MS Mincho" w:hAnsi="Times New Roman" w:cs="Times New Roman"/>
          <w:sz w:val="24"/>
          <w:szCs w:val="24"/>
          <w:vertAlign w:val="superscript"/>
          <w:lang w:val="es-ES_tradnl" w:eastAsia="es-ES"/>
        </w:rPr>
        <w:footnoteReference w:id="13"/>
      </w:r>
      <w:r w:rsidRPr="00326638">
        <w:rPr>
          <w:rFonts w:ascii="Times New Roman" w:eastAsia="MS Mincho" w:hAnsi="Times New Roman" w:cs="Times New Roman"/>
          <w:sz w:val="24"/>
          <w:szCs w:val="24"/>
          <w:lang w:val="es-ES_tradnl" w:eastAsia="es-ES"/>
        </w:rPr>
        <w:t xml:space="preserve">-, parecen advertirse </w:t>
      </w:r>
      <w:r w:rsidRPr="00326638">
        <w:rPr>
          <w:rFonts w:ascii="Times New Roman" w:eastAsia="MS Mincho" w:hAnsi="Times New Roman" w:cs="Times New Roman"/>
          <w:sz w:val="24"/>
          <w:szCs w:val="24"/>
          <w:lang w:val="es-ES_tradnl" w:eastAsia="es-ES"/>
        </w:rPr>
        <w:lastRenderedPageBreak/>
        <w:t>inconsistencias: a) algunos autores refieren a principales o generales, consecuenciales, subconsecuenciales y hasta subsubconsecuenciales, lo que es incompatible con el concepto de principio</w:t>
      </w:r>
      <w:r w:rsidRPr="00326638">
        <w:rPr>
          <w:rFonts w:ascii="Times New Roman" w:eastAsia="MS Mincho" w:hAnsi="Times New Roman" w:cs="Times New Roman"/>
          <w:sz w:val="24"/>
          <w:szCs w:val="24"/>
          <w:vertAlign w:val="superscript"/>
          <w:lang w:val="es-ES_tradnl" w:eastAsia="es-ES"/>
        </w:rPr>
        <w:footnoteReference w:id="14"/>
      </w:r>
      <w:r w:rsidRPr="00326638">
        <w:rPr>
          <w:rFonts w:ascii="Times New Roman" w:eastAsia="MS Mincho" w:hAnsi="Times New Roman" w:cs="Times New Roman"/>
          <w:sz w:val="24"/>
          <w:szCs w:val="24"/>
          <w:lang w:val="es-ES_tradnl" w:eastAsia="es-ES"/>
        </w:rPr>
        <w:t>; b) se expresa que son bifrontes (algunos autores siguen a Peyrano que los refiere al dios Jano</w:t>
      </w:r>
      <w:r w:rsidRPr="00326638">
        <w:rPr>
          <w:rFonts w:ascii="Times New Roman" w:eastAsia="MS Mincho" w:hAnsi="Times New Roman" w:cs="Times New Roman"/>
          <w:sz w:val="24"/>
          <w:szCs w:val="24"/>
          <w:vertAlign w:val="superscript"/>
          <w:lang w:val="es-ES_tradnl" w:eastAsia="es-ES"/>
        </w:rPr>
        <w:footnoteReference w:id="15"/>
      </w:r>
      <w:r w:rsidRPr="00326638">
        <w:rPr>
          <w:rFonts w:ascii="Times New Roman" w:eastAsia="MS Mincho" w:hAnsi="Times New Roman" w:cs="Times New Roman"/>
          <w:sz w:val="24"/>
          <w:szCs w:val="24"/>
          <w:lang w:val="es-ES_tradnl" w:eastAsia="es-ES"/>
        </w:rPr>
        <w:t xml:space="preserve">) –esto es, que reconocen o admiten su contrario- y </w:t>
      </w:r>
      <w:r w:rsidR="00912227" w:rsidRPr="00326638">
        <w:rPr>
          <w:rFonts w:ascii="Times New Roman" w:eastAsia="MS Mincho" w:hAnsi="Times New Roman" w:cs="Times New Roman"/>
          <w:sz w:val="24"/>
          <w:szCs w:val="24"/>
          <w:lang w:val="es-ES_tradnl" w:eastAsia="es-ES"/>
        </w:rPr>
        <w:t>entre los principios sostenidos</w:t>
      </w:r>
      <w:r w:rsidRPr="00326638">
        <w:rPr>
          <w:rFonts w:ascii="Times New Roman" w:eastAsia="MS Mincho" w:hAnsi="Times New Roman" w:cs="Times New Roman"/>
          <w:sz w:val="24"/>
          <w:szCs w:val="24"/>
          <w:lang w:val="es-ES_tradnl" w:eastAsia="es-ES"/>
        </w:rPr>
        <w:t xml:space="preserve"> </w:t>
      </w:r>
      <w:r w:rsidRPr="00326638">
        <w:rPr>
          <w:rFonts w:ascii="Times New Roman" w:eastAsia="MS Mincho" w:hAnsi="Times New Roman" w:cs="Times New Roman"/>
          <w:i/>
          <w:sz w:val="24"/>
          <w:szCs w:val="24"/>
          <w:lang w:val="es-ES_tradnl" w:eastAsia="es-ES"/>
        </w:rPr>
        <w:t>nemine discrepante</w:t>
      </w:r>
      <w:r w:rsidRPr="00326638">
        <w:rPr>
          <w:rFonts w:ascii="Times New Roman" w:eastAsia="MS Mincho" w:hAnsi="Times New Roman" w:cs="Times New Roman"/>
          <w:sz w:val="24"/>
          <w:szCs w:val="24"/>
          <w:lang w:val="es-ES_tradnl" w:eastAsia="es-ES"/>
        </w:rPr>
        <w:t xml:space="preserve"> por la doctrina, se alude a la imparcialidad del juzgador</w:t>
      </w:r>
      <w:r w:rsidRPr="00326638">
        <w:rPr>
          <w:rFonts w:ascii="Times New Roman" w:eastAsia="MS Mincho" w:hAnsi="Times New Roman" w:cs="Times New Roman"/>
          <w:sz w:val="24"/>
          <w:szCs w:val="24"/>
          <w:vertAlign w:val="superscript"/>
          <w:lang w:val="es-ES_tradnl" w:eastAsia="es-ES"/>
        </w:rPr>
        <w:footnoteReference w:id="16"/>
      </w:r>
      <w:r w:rsidRPr="00326638">
        <w:rPr>
          <w:rFonts w:ascii="Times New Roman" w:eastAsia="MS Mincho" w:hAnsi="Times New Roman" w:cs="Times New Roman"/>
          <w:sz w:val="24"/>
          <w:szCs w:val="24"/>
          <w:lang w:val="es-ES_tradnl" w:eastAsia="es-ES"/>
        </w:rPr>
        <w:t xml:space="preserve"> y no parece que ni siquiera al que asó la manteca, se le haya ocurrido promover como principio… la parcialidad del juzgador</w:t>
      </w:r>
      <w:r w:rsidRPr="00326638">
        <w:rPr>
          <w:rFonts w:ascii="Times New Roman" w:eastAsia="MS Mincho" w:hAnsi="Times New Roman" w:cs="Times New Roman"/>
          <w:sz w:val="24"/>
          <w:szCs w:val="24"/>
          <w:vertAlign w:val="superscript"/>
          <w:lang w:val="es-ES_tradnl" w:eastAsia="es-ES"/>
        </w:rPr>
        <w:footnoteReference w:id="17"/>
      </w:r>
      <w:r w:rsidRPr="00326638">
        <w:rPr>
          <w:rFonts w:ascii="Times New Roman" w:eastAsia="MS Mincho" w:hAnsi="Times New Roman" w:cs="Times New Roman"/>
          <w:sz w:val="24"/>
          <w:szCs w:val="24"/>
          <w:lang w:val="es-ES_tradnl" w:eastAsia="es-ES"/>
        </w:rPr>
        <w:t xml:space="preserve">; c) se incluyen en el elenco de principios, lo que en puridad no son sino reglas técnicas, </w:t>
      </w:r>
      <w:r w:rsidRPr="00326638">
        <w:rPr>
          <w:rFonts w:ascii="Times New Roman" w:eastAsia="MS Mincho" w:hAnsi="Times New Roman" w:cs="Times New Roman"/>
          <w:i/>
          <w:sz w:val="24"/>
          <w:szCs w:val="24"/>
          <w:lang w:val="es-ES_tradnl" w:eastAsia="es-ES"/>
        </w:rPr>
        <w:t>v. gr.</w:t>
      </w:r>
      <w:r w:rsidRPr="00326638">
        <w:rPr>
          <w:rFonts w:ascii="Times New Roman" w:eastAsia="MS Mincho" w:hAnsi="Times New Roman" w:cs="Times New Roman"/>
          <w:sz w:val="24"/>
          <w:szCs w:val="24"/>
          <w:lang w:val="es-ES_tradnl" w:eastAsia="es-ES"/>
        </w:rPr>
        <w:t>: oralidad-escritura en los actos procesales, que se proponen además como opuestos cuando en puridad no lo son, porque pueden sucederse en distintas etapas del proceso –unas escritas y otras orales-</w:t>
      </w:r>
      <w:r w:rsidRPr="00326638">
        <w:rPr>
          <w:rFonts w:ascii="Times New Roman" w:eastAsia="MS Mincho" w:hAnsi="Times New Roman" w:cs="Times New Roman"/>
          <w:sz w:val="24"/>
          <w:szCs w:val="24"/>
          <w:vertAlign w:val="superscript"/>
          <w:lang w:val="es-ES_tradnl" w:eastAsia="es-ES"/>
        </w:rPr>
        <w:footnoteReference w:id="18"/>
      </w:r>
      <w:r w:rsidRPr="00326638">
        <w:rPr>
          <w:rFonts w:ascii="Times New Roman" w:eastAsia="MS Mincho" w:hAnsi="Times New Roman" w:cs="Times New Roman"/>
          <w:sz w:val="24"/>
          <w:szCs w:val="24"/>
          <w:lang w:val="es-ES_tradnl" w:eastAsia="es-ES"/>
        </w:rPr>
        <w:t>.</w:t>
      </w:r>
    </w:p>
    <w:p w:rsidR="009713ED" w:rsidRPr="00326638" w:rsidRDefault="009713ED" w:rsidP="00326638">
      <w:pPr>
        <w:tabs>
          <w:tab w:val="left" w:pos="4253"/>
        </w:tabs>
        <w:spacing w:after="0" w:line="360" w:lineRule="auto"/>
        <w:contextualSpacing/>
        <w:jc w:val="both"/>
        <w:rPr>
          <w:rFonts w:ascii="Times New Roman" w:eastAsia="MS Mincho" w:hAnsi="Times New Roman" w:cs="Times New Roman"/>
          <w:sz w:val="24"/>
          <w:szCs w:val="24"/>
          <w:lang w:eastAsia="es-ES"/>
        </w:rPr>
      </w:pPr>
      <w:r w:rsidRPr="00326638">
        <w:rPr>
          <w:rFonts w:ascii="Times New Roman" w:eastAsia="Calibri" w:hAnsi="Times New Roman" w:cs="Times New Roman"/>
          <w:sz w:val="24"/>
          <w:szCs w:val="24"/>
          <w:lang w:val="es-ES_tradnl"/>
        </w:rPr>
        <w:t xml:space="preserve">              </w:t>
      </w:r>
      <w:r w:rsidRPr="00326638">
        <w:rPr>
          <w:rFonts w:ascii="Times New Roman" w:eastAsia="Calibri" w:hAnsi="Times New Roman" w:cs="Times New Roman"/>
          <w:sz w:val="24"/>
          <w:szCs w:val="24"/>
        </w:rPr>
        <w:t>En la Argentina, y en sentido similar,  Alvarado Velloso</w:t>
      </w:r>
      <w:r w:rsidRPr="00326638">
        <w:rPr>
          <w:rFonts w:ascii="Times New Roman" w:eastAsia="Calibri" w:hAnsi="Times New Roman" w:cs="Times New Roman"/>
          <w:sz w:val="24"/>
          <w:szCs w:val="24"/>
          <w:vertAlign w:val="superscript"/>
        </w:rPr>
        <w:footnoteReference w:id="19"/>
      </w:r>
      <w:r w:rsidRPr="00326638">
        <w:rPr>
          <w:rFonts w:ascii="Times New Roman" w:eastAsia="Calibri" w:hAnsi="Times New Roman" w:cs="Times New Roman"/>
          <w:sz w:val="24"/>
          <w:szCs w:val="24"/>
        </w:rPr>
        <w:t xml:space="preserve">, distingue entre principios –líneas directivas fundamentales que deben imprescindiblemente ser respetadas para lograr el mínimo de coherencia que supone todo sistema- y  reglas técnicas del debate procesal –que se presentan siempre en forma antagónica, binaria o </w:t>
      </w:r>
      <w:r w:rsidRPr="00326638">
        <w:rPr>
          <w:rFonts w:ascii="Times New Roman" w:eastAsia="Calibri" w:hAnsi="Times New Roman" w:cs="Times New Roman"/>
          <w:sz w:val="24"/>
          <w:szCs w:val="24"/>
        </w:rPr>
        <w:lastRenderedPageBreak/>
        <w:t>como pares antinómicos, que se relacionan con el medio de expresión en el proceso, con sus formalidades, con su coste y rapidez de solución, con su publicidad, con el orden de la discusión, etc.-.</w:t>
      </w:r>
    </w:p>
    <w:p w:rsidR="009713ED" w:rsidRPr="00326638" w:rsidRDefault="009713ED" w:rsidP="00326638">
      <w:pPr>
        <w:spacing w:after="0" w:line="360" w:lineRule="auto"/>
        <w:ind w:firstLine="703"/>
        <w:contextualSpacing/>
        <w:jc w:val="both"/>
        <w:rPr>
          <w:rFonts w:ascii="Times New Roman" w:eastAsia="MS Mincho" w:hAnsi="Times New Roman" w:cs="Times New Roman"/>
          <w:sz w:val="24"/>
          <w:szCs w:val="24"/>
          <w:lang w:val="es-ES_tradnl" w:eastAsia="es-ES"/>
        </w:rPr>
      </w:pPr>
      <w:r w:rsidRPr="00326638">
        <w:rPr>
          <w:rFonts w:ascii="Times New Roman" w:eastAsia="MS Mincho" w:hAnsi="Times New Roman" w:cs="Times New Roman"/>
          <w:sz w:val="24"/>
          <w:szCs w:val="24"/>
          <w:lang w:val="es-ES_tradnl" w:eastAsia="es-ES"/>
        </w:rPr>
        <w:t>“Lo que seguramente no resulta racional es, por un lado, la «inflación» de principios que (como la moneda) cuanto más se emite, menos valor expresan, y por otro, la mezcla de auténticos principios-valores con principios de otra naturaleza, por cuanto, ello «rebaja» la calidad del conjunto”</w:t>
      </w:r>
      <w:r w:rsidRPr="00326638">
        <w:rPr>
          <w:rFonts w:ascii="Times New Roman" w:eastAsia="MS Mincho" w:hAnsi="Times New Roman" w:cs="Times New Roman"/>
          <w:sz w:val="24"/>
          <w:szCs w:val="24"/>
          <w:vertAlign w:val="superscript"/>
          <w:lang w:val="es-ES_tradnl" w:eastAsia="es-ES"/>
        </w:rPr>
        <w:footnoteReference w:id="20"/>
      </w:r>
      <w:r w:rsidRPr="00326638">
        <w:rPr>
          <w:rFonts w:ascii="Times New Roman" w:eastAsia="MS Mincho" w:hAnsi="Times New Roman" w:cs="Times New Roman"/>
          <w:sz w:val="24"/>
          <w:szCs w:val="24"/>
          <w:lang w:val="es-ES_tradnl" w:eastAsia="es-ES"/>
        </w:rPr>
        <w:t>.</w:t>
      </w:r>
    </w:p>
    <w:p w:rsidR="009713ED" w:rsidRPr="00326638" w:rsidRDefault="009713ED" w:rsidP="00326638">
      <w:pPr>
        <w:spacing w:after="0" w:line="360" w:lineRule="auto"/>
        <w:ind w:firstLine="703"/>
        <w:contextualSpacing/>
        <w:jc w:val="both"/>
        <w:rPr>
          <w:rFonts w:ascii="Times New Roman" w:eastAsia="MS Mincho" w:hAnsi="Times New Roman" w:cs="Times New Roman"/>
          <w:sz w:val="24"/>
          <w:szCs w:val="24"/>
          <w:lang w:val="es-ES_tradnl" w:eastAsia="es-ES"/>
        </w:rPr>
      </w:pPr>
      <w:r w:rsidRPr="00326638">
        <w:rPr>
          <w:rFonts w:ascii="Times New Roman" w:eastAsia="MS Mincho" w:hAnsi="Times New Roman" w:cs="Times New Roman"/>
          <w:sz w:val="24"/>
          <w:szCs w:val="24"/>
          <w:lang w:val="es-ES_tradnl" w:eastAsia="es-ES"/>
        </w:rPr>
        <w:t>En punto a la proliferación de “principios”, frente al proceso penal Montero Aroca señala: “Es evidente que de verdaderos principios debería hablarse solamente con relación a aquellos que hacen a la esencia del proceso, los que llevan a que el proceso penal sea lo que es y no otra cosa, mientras que debería hablarse de reglas conformadoras  respecto de lo accidental de ese proceso. Estaríamos así siendo rigurosos con la terminología, pero el caso es que después de siglos de hablar de principios del proceso penal, mezclando verdaderos principios y reglas conformadoras, el intento de rigor en la terminología podría llevarnos más bien a confundir al lector. Quede, con todo, hecha la advertencia”</w:t>
      </w:r>
      <w:r w:rsidRPr="00326638">
        <w:rPr>
          <w:rFonts w:ascii="Times New Roman" w:eastAsia="MS Mincho" w:hAnsi="Times New Roman" w:cs="Times New Roman"/>
          <w:sz w:val="24"/>
          <w:szCs w:val="24"/>
          <w:vertAlign w:val="superscript"/>
          <w:lang w:val="es-ES_tradnl" w:eastAsia="es-ES"/>
        </w:rPr>
        <w:footnoteReference w:id="21"/>
      </w:r>
      <w:r w:rsidRPr="00326638">
        <w:rPr>
          <w:rFonts w:ascii="Times New Roman" w:eastAsia="MS Mincho" w:hAnsi="Times New Roman" w:cs="Times New Roman"/>
          <w:sz w:val="24"/>
          <w:szCs w:val="24"/>
          <w:lang w:val="es-ES_tradnl" w:eastAsia="es-ES"/>
        </w:rPr>
        <w:t>.</w:t>
      </w:r>
    </w:p>
    <w:p w:rsidR="009713ED" w:rsidRPr="00326638" w:rsidRDefault="009713ED" w:rsidP="00326638">
      <w:pPr>
        <w:spacing w:after="0" w:line="360" w:lineRule="auto"/>
        <w:contextualSpacing/>
        <w:jc w:val="center"/>
        <w:rPr>
          <w:rFonts w:ascii="Times New Roman" w:hAnsi="Times New Roman" w:cs="Times New Roman"/>
          <w:b/>
          <w:sz w:val="24"/>
          <w:szCs w:val="24"/>
        </w:rPr>
      </w:pPr>
      <w:r w:rsidRPr="00326638">
        <w:rPr>
          <w:rFonts w:ascii="Times New Roman" w:hAnsi="Times New Roman" w:cs="Times New Roman"/>
          <w:b/>
          <w:sz w:val="24"/>
          <w:szCs w:val="24"/>
        </w:rPr>
        <w:t>III)</w:t>
      </w:r>
    </w:p>
    <w:p w:rsidR="009713ED" w:rsidRPr="00326638" w:rsidRDefault="009713ED"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b/>
          <w:sz w:val="24"/>
          <w:szCs w:val="24"/>
        </w:rPr>
        <w:tab/>
      </w:r>
      <w:r w:rsidRPr="00326638">
        <w:rPr>
          <w:rFonts w:ascii="Times New Roman" w:hAnsi="Times New Roman" w:cs="Times New Roman"/>
          <w:sz w:val="24"/>
          <w:szCs w:val="24"/>
        </w:rPr>
        <w:t>Los principios participan de la naturaleza del Derecho.</w:t>
      </w:r>
    </w:p>
    <w:p w:rsidR="000F541C" w:rsidRPr="00326638" w:rsidRDefault="000F541C" w:rsidP="00326638">
      <w:pPr>
        <w:spacing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La concepción de Couture concurre en la orientació</w:t>
      </w:r>
      <w:r w:rsidR="00912227" w:rsidRPr="00326638">
        <w:rPr>
          <w:rFonts w:ascii="Times New Roman" w:eastAsia="Calibri" w:hAnsi="Times New Roman" w:cs="Times New Roman"/>
          <w:sz w:val="24"/>
          <w:szCs w:val="24"/>
          <w:lang w:val="es-UY"/>
        </w:rPr>
        <w:t>n</w:t>
      </w:r>
      <w:r w:rsidRPr="00326638">
        <w:rPr>
          <w:rFonts w:ascii="Times New Roman" w:eastAsia="Calibri" w:hAnsi="Times New Roman" w:cs="Times New Roman"/>
          <w:sz w:val="24"/>
          <w:szCs w:val="24"/>
          <w:lang w:val="es-UY"/>
        </w:rPr>
        <w:t xml:space="preserve"> apuntada: los principios generales de derecho se constituyen a partir de la abstracción de las soluciones normativas y la generalización orientadora; </w:t>
      </w:r>
      <w:r w:rsidRPr="00326638">
        <w:rPr>
          <w:rFonts w:ascii="Times New Roman" w:eastAsia="Calibri" w:hAnsi="Times New Roman" w:cs="Times New Roman"/>
          <w:i/>
          <w:sz w:val="24"/>
          <w:szCs w:val="24"/>
          <w:lang w:val="es-UY"/>
        </w:rPr>
        <w:t>id est</w:t>
      </w:r>
      <w:r w:rsidRPr="00326638">
        <w:rPr>
          <w:rFonts w:ascii="Times New Roman" w:eastAsia="Calibri" w:hAnsi="Times New Roman" w:cs="Times New Roman"/>
          <w:sz w:val="24"/>
          <w:szCs w:val="24"/>
          <w:lang w:val="es-UY"/>
        </w:rPr>
        <w:t>: son Derecho, están hechos de Derecho.</w:t>
      </w:r>
    </w:p>
    <w:p w:rsidR="000F541C" w:rsidRPr="00326638" w:rsidRDefault="000F541C"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Expresa asimismo el Maestro: “Pero, a su vez, los principios procesales se revelan en leyes procesales”</w:t>
      </w:r>
      <w:r w:rsidRPr="00326638">
        <w:rPr>
          <w:rFonts w:ascii="Times New Roman" w:eastAsia="Calibri" w:hAnsi="Times New Roman" w:cs="Times New Roman"/>
          <w:sz w:val="24"/>
          <w:szCs w:val="24"/>
          <w:vertAlign w:val="superscript"/>
          <w:lang w:val="es-UY"/>
        </w:rPr>
        <w:footnoteReference w:id="22"/>
      </w:r>
      <w:r w:rsidRPr="00326638">
        <w:rPr>
          <w:rFonts w:ascii="Times New Roman" w:eastAsia="Calibri" w:hAnsi="Times New Roman" w:cs="Times New Roman"/>
          <w:sz w:val="24"/>
          <w:szCs w:val="24"/>
          <w:lang w:val="es-UY"/>
        </w:rPr>
        <w:t>.</w:t>
      </w:r>
    </w:p>
    <w:p w:rsidR="000F541C" w:rsidRPr="00326638" w:rsidRDefault="000F541C"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Y relaciona, compartiéndola, la opinión de Recasens Siches: “Alguien dijo, expresó, que la tarea del jurista consta de cuatro operaciones entrelazadas: hallazgo de la </w:t>
      </w:r>
      <w:r w:rsidRPr="00326638">
        <w:rPr>
          <w:rFonts w:ascii="Times New Roman" w:eastAsia="Calibri" w:hAnsi="Times New Roman" w:cs="Times New Roman"/>
          <w:sz w:val="24"/>
          <w:szCs w:val="24"/>
          <w:lang w:val="es-UY"/>
        </w:rPr>
        <w:lastRenderedPageBreak/>
        <w:t>norma aplicable, inteligencia de esa norma, construcción de la norma concreta dentro del perfil de la institución y articulación de ese perfil en la sistemática del ordenamiento jurídico. Los principios que permiten realizar tal tarea son tan positivos como la misma ley”. Y más adelante: “En la reducción a principios de un sistema codificado, se halla el derecho positivo igual que en la determinación de soluciones particulares por acto del legislador”</w:t>
      </w:r>
      <w:r w:rsidRPr="00326638">
        <w:rPr>
          <w:rFonts w:ascii="Times New Roman" w:eastAsia="Calibri" w:hAnsi="Times New Roman" w:cs="Times New Roman"/>
          <w:sz w:val="24"/>
          <w:szCs w:val="24"/>
          <w:vertAlign w:val="superscript"/>
          <w:lang w:val="es-UY"/>
        </w:rPr>
        <w:footnoteReference w:id="23"/>
      </w:r>
      <w:r w:rsidRPr="00326638">
        <w:rPr>
          <w:rFonts w:ascii="Times New Roman" w:eastAsia="Calibri" w:hAnsi="Times New Roman" w:cs="Times New Roman"/>
          <w:sz w:val="24"/>
          <w:szCs w:val="24"/>
          <w:lang w:val="es-UY"/>
        </w:rPr>
        <w:t>.</w:t>
      </w:r>
    </w:p>
    <w:p w:rsidR="000F541C" w:rsidRPr="00326638" w:rsidRDefault="000F541C"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Y esa fue, también, la opinión de Boulanger: “</w:t>
      </w:r>
      <w:r w:rsidRPr="00326638">
        <w:rPr>
          <w:rFonts w:ascii="Times New Roman" w:eastAsia="Calibri" w:hAnsi="Times New Roman" w:cs="Times New Roman"/>
          <w:i/>
          <w:sz w:val="24"/>
          <w:szCs w:val="24"/>
          <w:lang w:val="es-UY"/>
        </w:rPr>
        <w:t>Un príncipe est simplement impliqué par un ensemble de règles</w:t>
      </w:r>
      <w:r w:rsidRPr="00326638">
        <w:rPr>
          <w:rFonts w:ascii="Times New Roman" w:eastAsia="Calibri" w:hAnsi="Times New Roman" w:cs="Times New Roman"/>
          <w:sz w:val="24"/>
          <w:szCs w:val="24"/>
          <w:lang w:val="es-UY"/>
        </w:rPr>
        <w:t>”</w:t>
      </w:r>
      <w:r w:rsidRPr="00326638">
        <w:rPr>
          <w:rFonts w:ascii="Times New Roman" w:eastAsia="Calibri" w:hAnsi="Times New Roman" w:cs="Times New Roman"/>
          <w:sz w:val="24"/>
          <w:szCs w:val="24"/>
          <w:vertAlign w:val="superscript"/>
          <w:lang w:val="es-UY"/>
        </w:rPr>
        <w:footnoteReference w:id="24"/>
      </w:r>
      <w:r w:rsidRPr="00326638">
        <w:rPr>
          <w:rFonts w:ascii="Times New Roman" w:eastAsia="Calibri" w:hAnsi="Times New Roman" w:cs="Times New Roman"/>
          <w:sz w:val="24"/>
          <w:szCs w:val="24"/>
          <w:lang w:val="es-UY"/>
        </w:rPr>
        <w:t xml:space="preserve">. </w:t>
      </w:r>
    </w:p>
    <w:p w:rsidR="000F541C" w:rsidRPr="00326638" w:rsidRDefault="000F541C"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lang w:val="es-UY"/>
        </w:rPr>
        <w:t>En esa misma línea se orienta la doctrina: Guasp (“Tales principios se obtienen precisamente mediante una inducción de los preceptos concretos legales”. … “Funcionan en cuanto a su aplicación lo mismo que otra norma cualquiera, es decir, tienen que ser elegidos, interpretados y actuados exactamente igual que cualquier otra disposición”.)</w:t>
      </w:r>
      <w:r w:rsidRPr="00326638">
        <w:rPr>
          <w:rFonts w:ascii="Times New Roman" w:eastAsia="Calibri" w:hAnsi="Times New Roman" w:cs="Times New Roman"/>
          <w:sz w:val="24"/>
          <w:szCs w:val="24"/>
          <w:vertAlign w:val="superscript"/>
          <w:lang w:val="es-UY"/>
        </w:rPr>
        <w:footnoteReference w:id="25"/>
      </w:r>
      <w:r w:rsidRPr="00326638">
        <w:rPr>
          <w:rFonts w:ascii="Times New Roman" w:eastAsia="Calibri" w:hAnsi="Times New Roman" w:cs="Times New Roman"/>
          <w:sz w:val="24"/>
          <w:szCs w:val="24"/>
          <w:lang w:val="es-UY"/>
        </w:rPr>
        <w:t xml:space="preserve">, Peyrano (son “…construcciones jurídicas normativas subsidiarias, porque su imperatividad nacería al conjuro de las situaciones previstas por la norma convalidatoria prealudida” - antes adelantó su naturaleza normativa “…tan positivos como la misma ley” citando a Couture- y “…son construcciones jurídicas normativas. Precisando aún más: serían construcciones jurídicas normativas subsidiarias, porque su imperatividad nacería al conjuro de las situaciones previstas en la norma convalidatoria prealudida”. Y antes: “Desconocer la normatividad de los principios procesales equivale a quitar obligatoriedad a su aplicación… Se diga o no, todo ordenamiento adjetivo incluye una norma convalidatoria de la imperatividad de los principios </w:t>
      </w:r>
      <w:r w:rsidRPr="00326638">
        <w:rPr>
          <w:rFonts w:ascii="Times New Roman" w:eastAsia="Calibri" w:hAnsi="Times New Roman" w:cs="Times New Roman"/>
          <w:i/>
          <w:sz w:val="24"/>
          <w:szCs w:val="24"/>
          <w:lang w:val="es-UY"/>
        </w:rPr>
        <w:t>sub examine</w:t>
      </w:r>
      <w:r w:rsidRPr="00326638">
        <w:rPr>
          <w:rFonts w:ascii="Times New Roman" w:eastAsia="Calibri" w:hAnsi="Times New Roman" w:cs="Times New Roman"/>
          <w:sz w:val="24"/>
          <w:szCs w:val="24"/>
          <w:lang w:val="es-UY"/>
        </w:rPr>
        <w:t xml:space="preserve"> que puede conceptualizarse de la siguiente manera: dado un vacío o conflicto normativo, debe buscarse la solución dirimente teniendo en cuenta el principio procesal respectivo”. Y más adelante: “…son construcciones normativas jurídicas de índole subsidiaria, producto de la más cuidadosa decantación técnico-sistemática de las normas que regulan un proceso civil dado…”)</w:t>
      </w:r>
      <w:r w:rsidRPr="00326638">
        <w:rPr>
          <w:rFonts w:ascii="Times New Roman" w:eastAsia="Calibri" w:hAnsi="Times New Roman" w:cs="Times New Roman"/>
          <w:sz w:val="24"/>
          <w:szCs w:val="24"/>
          <w:vertAlign w:val="superscript"/>
          <w:lang w:val="es-UY"/>
        </w:rPr>
        <w:footnoteReference w:id="26"/>
      </w:r>
      <w:r w:rsidRPr="00326638">
        <w:rPr>
          <w:rFonts w:ascii="Times New Roman" w:eastAsia="Calibri" w:hAnsi="Times New Roman" w:cs="Times New Roman"/>
          <w:sz w:val="24"/>
          <w:szCs w:val="24"/>
          <w:lang w:val="es-UY"/>
        </w:rPr>
        <w:t>,Palacio (“Es que los principios procesales, en la medida que se extraen de un determinado contexto normativo…”)</w:t>
      </w:r>
      <w:r w:rsidRPr="00326638">
        <w:rPr>
          <w:rFonts w:ascii="Times New Roman" w:eastAsia="Calibri" w:hAnsi="Times New Roman" w:cs="Times New Roman"/>
          <w:sz w:val="24"/>
          <w:szCs w:val="24"/>
          <w:vertAlign w:val="superscript"/>
          <w:lang w:val="es-UY"/>
        </w:rPr>
        <w:footnoteReference w:id="27"/>
      </w:r>
      <w:r w:rsidRPr="00326638">
        <w:rPr>
          <w:rFonts w:ascii="Times New Roman" w:eastAsia="Calibri" w:hAnsi="Times New Roman" w:cs="Times New Roman"/>
          <w:sz w:val="24"/>
          <w:szCs w:val="24"/>
          <w:lang w:val="es-UY"/>
        </w:rPr>
        <w:t xml:space="preserve">, Véscovi </w:t>
      </w:r>
      <w:r w:rsidRPr="00326638">
        <w:rPr>
          <w:rFonts w:ascii="Times New Roman" w:eastAsia="Calibri" w:hAnsi="Times New Roman" w:cs="Times New Roman"/>
          <w:i/>
          <w:sz w:val="24"/>
          <w:szCs w:val="24"/>
          <w:lang w:val="es-UY"/>
        </w:rPr>
        <w:t xml:space="preserve">et al. </w:t>
      </w:r>
      <w:r w:rsidRPr="00326638">
        <w:rPr>
          <w:rFonts w:ascii="Times New Roman" w:eastAsia="Calibri" w:hAnsi="Times New Roman" w:cs="Times New Roman"/>
          <w:sz w:val="24"/>
          <w:szCs w:val="24"/>
          <w:lang w:val="es-UY"/>
        </w:rPr>
        <w:t xml:space="preserve">(“La naturaleza normativa de los principios procesales se ve mayormente confirmada en un ordenamiento </w:t>
      </w:r>
      <w:r w:rsidRPr="00326638">
        <w:rPr>
          <w:rFonts w:ascii="Times New Roman" w:eastAsia="Calibri" w:hAnsi="Times New Roman" w:cs="Times New Roman"/>
          <w:sz w:val="24"/>
          <w:szCs w:val="24"/>
          <w:lang w:val="es-UY"/>
        </w:rPr>
        <w:lastRenderedPageBreak/>
        <w:t>en el que, como sucede con el CGP, se priorizan los principios procesales como vértices fundamentales de toda la estructura procesal, ya que muchos de ellos están consagrados a texto expreso en un título especial, y otros –que si bien no están consagrados en forma tan sistemática- surgen mediante el análisis de un grupo de disposiciones de las que se los extrae por inducción, o de una norma clave, concreta e individual, de la que se lo hace por deducción”)</w:t>
      </w:r>
      <w:r w:rsidRPr="00326638">
        <w:rPr>
          <w:rFonts w:ascii="Times New Roman" w:eastAsia="Calibri" w:hAnsi="Times New Roman" w:cs="Times New Roman"/>
          <w:sz w:val="24"/>
          <w:szCs w:val="24"/>
          <w:vertAlign w:val="superscript"/>
          <w:lang w:val="es-UY"/>
        </w:rPr>
        <w:footnoteReference w:id="28"/>
      </w:r>
      <w:r w:rsidRPr="00326638">
        <w:rPr>
          <w:rFonts w:ascii="Times New Roman" w:eastAsia="Calibri" w:hAnsi="Times New Roman" w:cs="Times New Roman"/>
          <w:sz w:val="24"/>
          <w:szCs w:val="24"/>
          <w:lang w:val="es-UY"/>
        </w:rPr>
        <w:t xml:space="preserve"> y Arruda Alvim (”Los principios constituyen las grandes reglas de un sistema, y son </w:t>
      </w:r>
      <w:r w:rsidRPr="00326638">
        <w:rPr>
          <w:rFonts w:ascii="Times New Roman" w:eastAsia="Calibri" w:hAnsi="Times New Roman" w:cs="Times New Roman"/>
          <w:i/>
          <w:sz w:val="24"/>
          <w:szCs w:val="24"/>
          <w:lang w:val="es-UY"/>
        </w:rPr>
        <w:t>inducidos</w:t>
      </w:r>
      <w:r w:rsidRPr="00326638">
        <w:rPr>
          <w:rFonts w:ascii="Times New Roman" w:eastAsia="Calibri" w:hAnsi="Times New Roman" w:cs="Times New Roman"/>
          <w:sz w:val="24"/>
          <w:szCs w:val="24"/>
          <w:lang w:val="es-UY"/>
        </w:rPr>
        <w:t xml:space="preserve"> del sistema mismo”... “Significan la visión grandiosa de un ordenamiento, estudiado desde el punto de vista de la óptica de su positivismo…”)</w:t>
      </w:r>
      <w:r w:rsidRPr="00326638">
        <w:rPr>
          <w:rFonts w:ascii="Times New Roman" w:eastAsia="Calibri" w:hAnsi="Times New Roman" w:cs="Times New Roman"/>
          <w:sz w:val="24"/>
          <w:szCs w:val="24"/>
          <w:vertAlign w:val="superscript"/>
          <w:lang w:val="es-UY"/>
        </w:rPr>
        <w:footnoteReference w:id="29"/>
      </w:r>
      <w:r w:rsidRPr="00326638">
        <w:rPr>
          <w:rFonts w:ascii="Times New Roman" w:eastAsia="Calibri" w:hAnsi="Times New Roman" w:cs="Times New Roman"/>
          <w:sz w:val="24"/>
          <w:szCs w:val="24"/>
          <w:lang w:val="es-UY"/>
        </w:rPr>
        <w:t>.</w:t>
      </w:r>
    </w:p>
    <w:p w:rsidR="000F541C" w:rsidRPr="00326638" w:rsidRDefault="000F541C"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En esta línea, significa Esser: “… Son derecho positivo, aunque no normas (</w:t>
      </w:r>
      <w:r w:rsidRPr="00326638">
        <w:rPr>
          <w:rFonts w:ascii="Times New Roman" w:eastAsia="Calibri" w:hAnsi="Times New Roman" w:cs="Times New Roman"/>
          <w:i/>
          <w:sz w:val="24"/>
          <w:szCs w:val="24"/>
        </w:rPr>
        <w:t>rules</w:t>
      </w:r>
      <w:r w:rsidRPr="00326638">
        <w:rPr>
          <w:rFonts w:ascii="Times New Roman" w:eastAsia="Calibri" w:hAnsi="Times New Roman" w:cs="Times New Roman"/>
          <w:sz w:val="24"/>
          <w:szCs w:val="24"/>
        </w:rPr>
        <w:t xml:space="preserve">) pecisas e independientes del derecho, los llamados pensamientos jurídicos generales, las </w:t>
      </w:r>
      <w:r w:rsidRPr="00326638">
        <w:rPr>
          <w:rFonts w:ascii="Times New Roman" w:eastAsia="Calibri" w:hAnsi="Times New Roman" w:cs="Times New Roman"/>
          <w:i/>
          <w:sz w:val="24"/>
          <w:szCs w:val="24"/>
        </w:rPr>
        <w:t>rationes legis</w:t>
      </w:r>
      <w:r w:rsidRPr="00326638">
        <w:rPr>
          <w:rFonts w:ascii="Times New Roman" w:eastAsia="Calibri" w:hAnsi="Times New Roman" w:cs="Times New Roman"/>
          <w:sz w:val="24"/>
          <w:szCs w:val="24"/>
        </w:rPr>
        <w:t xml:space="preserve">, los principios valorativos y constructivos de un sistema, pero también los principios éticos y de justicia que privan en un ámbito jurídico al margen de su  sistema escolástico: todos, </w:t>
      </w:r>
      <w:r w:rsidRPr="00326638">
        <w:rPr>
          <w:rFonts w:ascii="Times New Roman" w:eastAsia="Calibri" w:hAnsi="Times New Roman" w:cs="Times New Roman"/>
          <w:b/>
          <w:sz w:val="24"/>
          <w:szCs w:val="24"/>
        </w:rPr>
        <w:t>siempre que hayan obtenido validez en formas concretas del ordenamiento</w:t>
      </w:r>
      <w:r w:rsidRPr="00326638">
        <w:rPr>
          <w:rFonts w:ascii="Times New Roman" w:eastAsia="Calibri" w:hAnsi="Times New Roman" w:cs="Times New Roman"/>
          <w:sz w:val="24"/>
          <w:szCs w:val="24"/>
        </w:rPr>
        <w:t xml:space="preserve">” </w:t>
      </w:r>
      <w:r w:rsidRPr="00326638">
        <w:rPr>
          <w:rFonts w:ascii="Times New Roman" w:eastAsia="Calibri" w:hAnsi="Times New Roman" w:cs="Times New Roman"/>
          <w:sz w:val="24"/>
          <w:szCs w:val="24"/>
          <w:vertAlign w:val="superscript"/>
        </w:rPr>
        <w:footnoteReference w:id="30"/>
      </w:r>
      <w:r w:rsidRPr="00326638">
        <w:rPr>
          <w:rFonts w:ascii="Times New Roman" w:eastAsia="Calibri" w:hAnsi="Times New Roman" w:cs="Times New Roman"/>
          <w:sz w:val="24"/>
          <w:szCs w:val="24"/>
        </w:rPr>
        <w:t>.</w:t>
      </w:r>
    </w:p>
    <w:p w:rsidR="000F541C" w:rsidRPr="00326638" w:rsidRDefault="000F541C"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Y expresa la pluma magistral de  Carnelutti –refiriendo a solventar las lagunas de la ley-: “El proceso de autointegración se funda en el concepto de principio jurídico. Principio, como ya expresa la palabra misma, es algo que se contrapone a terminación («compimento») y, por tanto, a la norma terminada o completa; es, en otras palabras, el pensamiento cuya formulación representa la norma”</w:t>
      </w:r>
      <w:r w:rsidRPr="00326638">
        <w:rPr>
          <w:rFonts w:ascii="Times New Roman" w:eastAsia="Calibri" w:hAnsi="Times New Roman" w:cs="Times New Roman"/>
          <w:sz w:val="24"/>
          <w:szCs w:val="24"/>
          <w:vertAlign w:val="superscript"/>
        </w:rPr>
        <w:footnoteReference w:id="31"/>
      </w:r>
      <w:r w:rsidRPr="00326638">
        <w:rPr>
          <w:rFonts w:ascii="Times New Roman" w:eastAsia="Calibri" w:hAnsi="Times New Roman" w:cs="Times New Roman"/>
          <w:sz w:val="24"/>
          <w:szCs w:val="24"/>
        </w:rPr>
        <w:t>.</w:t>
      </w:r>
    </w:p>
    <w:p w:rsidR="000F541C" w:rsidRPr="00326638" w:rsidRDefault="000F541C"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 xml:space="preserve">Y más adelante: “los principios generales no son, pues, algo que exista </w:t>
      </w:r>
      <w:r w:rsidRPr="00326638">
        <w:rPr>
          <w:rFonts w:ascii="Times New Roman" w:eastAsia="Calibri" w:hAnsi="Times New Roman" w:cs="Times New Roman"/>
          <w:i/>
          <w:sz w:val="24"/>
          <w:szCs w:val="24"/>
        </w:rPr>
        <w:t>fuera del Derecho escrito</w:t>
      </w:r>
      <w:r w:rsidRPr="00326638">
        <w:rPr>
          <w:rFonts w:ascii="Times New Roman" w:eastAsia="Calibri" w:hAnsi="Times New Roman" w:cs="Times New Roman"/>
          <w:sz w:val="24"/>
          <w:szCs w:val="24"/>
        </w:rPr>
        <w:t xml:space="preserve">, sino </w:t>
      </w:r>
      <w:r w:rsidRPr="00326638">
        <w:rPr>
          <w:rFonts w:ascii="Times New Roman" w:eastAsia="Calibri" w:hAnsi="Times New Roman" w:cs="Times New Roman"/>
          <w:i/>
          <w:sz w:val="24"/>
          <w:szCs w:val="24"/>
        </w:rPr>
        <w:t>dentro del mismo</w:t>
      </w:r>
      <w:r w:rsidRPr="00326638">
        <w:rPr>
          <w:rFonts w:ascii="Times New Roman" w:eastAsia="Calibri" w:hAnsi="Times New Roman" w:cs="Times New Roman"/>
          <w:sz w:val="24"/>
          <w:szCs w:val="24"/>
        </w:rPr>
        <w:t xml:space="preserve">, ya que se extraen sólo de las normas constituidas. Están dentro del derecho escrito, como el alcohol está dentro del vino; representan el espíritu o la esencia de la ley. Por ello son principios de Derecho positivo, no de derecho natural o de derecho histórico. La historia o la filosofía no son aquello </w:t>
      </w:r>
      <w:r w:rsidRPr="00326638">
        <w:rPr>
          <w:rFonts w:ascii="Times New Roman" w:eastAsia="Calibri" w:hAnsi="Times New Roman" w:cs="Times New Roman"/>
          <w:i/>
          <w:sz w:val="24"/>
          <w:szCs w:val="24"/>
        </w:rPr>
        <w:t>de que</w:t>
      </w:r>
      <w:r w:rsidRPr="00326638">
        <w:rPr>
          <w:rFonts w:ascii="Times New Roman" w:eastAsia="Calibri" w:hAnsi="Times New Roman" w:cs="Times New Roman"/>
          <w:sz w:val="24"/>
          <w:szCs w:val="24"/>
        </w:rPr>
        <w:t xml:space="preserve"> se extraen, sino, eventualmente, aquello </w:t>
      </w:r>
      <w:r w:rsidRPr="00326638">
        <w:rPr>
          <w:rFonts w:ascii="Times New Roman" w:eastAsia="Calibri" w:hAnsi="Times New Roman" w:cs="Times New Roman"/>
          <w:i/>
          <w:sz w:val="24"/>
          <w:szCs w:val="24"/>
        </w:rPr>
        <w:t>con que</w:t>
      </w:r>
      <w:r w:rsidRPr="00326638">
        <w:rPr>
          <w:rFonts w:ascii="Times New Roman" w:eastAsia="Calibri" w:hAnsi="Times New Roman" w:cs="Times New Roman"/>
          <w:sz w:val="24"/>
          <w:szCs w:val="24"/>
        </w:rPr>
        <w:t xml:space="preserve"> se extraen los principios generales, de las normas constituidas, es decir, medios para la interpretación de éstas. Semejan a los reactivos adoptados para poder extraer mejor la esencia”</w:t>
      </w:r>
      <w:r w:rsidRPr="00326638">
        <w:rPr>
          <w:rFonts w:ascii="Times New Roman" w:eastAsia="Calibri" w:hAnsi="Times New Roman" w:cs="Times New Roman"/>
          <w:sz w:val="24"/>
          <w:szCs w:val="24"/>
          <w:vertAlign w:val="superscript"/>
        </w:rPr>
        <w:footnoteReference w:id="32"/>
      </w:r>
      <w:r w:rsidRPr="00326638">
        <w:rPr>
          <w:rFonts w:ascii="Times New Roman" w:eastAsia="Calibri" w:hAnsi="Times New Roman" w:cs="Times New Roman"/>
          <w:sz w:val="24"/>
          <w:szCs w:val="24"/>
        </w:rPr>
        <w:t xml:space="preserve"> . </w:t>
      </w:r>
    </w:p>
    <w:p w:rsidR="000F541C" w:rsidRPr="00326638" w:rsidRDefault="000F541C"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Y en esta línea se pronuncia Jiménez de Aréchaga, con la cita de Carnelutti</w:t>
      </w:r>
      <w:r w:rsidRPr="00326638">
        <w:rPr>
          <w:rFonts w:ascii="Times New Roman" w:eastAsia="Calibri" w:hAnsi="Times New Roman" w:cs="Times New Roman"/>
          <w:sz w:val="24"/>
          <w:szCs w:val="24"/>
          <w:vertAlign w:val="superscript"/>
        </w:rPr>
        <w:footnoteReference w:id="33"/>
      </w:r>
      <w:r w:rsidRPr="00326638">
        <w:rPr>
          <w:rFonts w:ascii="Times New Roman" w:eastAsia="Calibri" w:hAnsi="Times New Roman" w:cs="Times New Roman"/>
          <w:sz w:val="24"/>
          <w:szCs w:val="24"/>
        </w:rPr>
        <w:t>.</w:t>
      </w:r>
    </w:p>
    <w:p w:rsidR="002C10B4" w:rsidRPr="00326638" w:rsidRDefault="002C10B4" w:rsidP="00326638">
      <w:pPr>
        <w:spacing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lastRenderedPageBreak/>
        <w:tab/>
      </w:r>
      <w:r w:rsidRPr="00326638">
        <w:rPr>
          <w:rFonts w:ascii="Times New Roman" w:eastAsia="Calibri" w:hAnsi="Times New Roman" w:cs="Times New Roman"/>
          <w:sz w:val="24"/>
          <w:szCs w:val="24"/>
          <w:lang w:val="es-UY"/>
        </w:rPr>
        <w:t xml:space="preserve">El derecho positivo patrio, recoge, en diversos códigos –se omiten otras referencias </w:t>
      </w:r>
      <w:r w:rsidRPr="00326638">
        <w:rPr>
          <w:rFonts w:ascii="Times New Roman" w:eastAsia="Calibri" w:hAnsi="Times New Roman" w:cs="Times New Roman"/>
          <w:i/>
          <w:sz w:val="24"/>
          <w:szCs w:val="24"/>
          <w:lang w:val="es-UY"/>
        </w:rPr>
        <w:t>brevita</w:t>
      </w:r>
      <w:r w:rsidR="007040DA" w:rsidRPr="00326638">
        <w:rPr>
          <w:rFonts w:ascii="Times New Roman" w:eastAsia="Calibri" w:hAnsi="Times New Roman" w:cs="Times New Roman"/>
          <w:i/>
          <w:sz w:val="24"/>
          <w:szCs w:val="24"/>
          <w:lang w:val="es-UY"/>
        </w:rPr>
        <w:t>t</w:t>
      </w:r>
      <w:r w:rsidRPr="00326638">
        <w:rPr>
          <w:rFonts w:ascii="Times New Roman" w:eastAsia="Calibri" w:hAnsi="Times New Roman" w:cs="Times New Roman"/>
          <w:i/>
          <w:sz w:val="24"/>
          <w:szCs w:val="24"/>
          <w:lang w:val="es-UY"/>
        </w:rPr>
        <w:t>is causa</w:t>
      </w:r>
      <w:r w:rsidRPr="00326638">
        <w:rPr>
          <w:rFonts w:ascii="Times New Roman" w:eastAsia="Calibri" w:hAnsi="Times New Roman" w:cs="Times New Roman"/>
          <w:sz w:val="24"/>
          <w:szCs w:val="24"/>
          <w:vertAlign w:val="superscript"/>
          <w:lang w:val="es-UY"/>
        </w:rPr>
        <w:footnoteReference w:id="34"/>
      </w:r>
      <w:r w:rsidRPr="00326638">
        <w:rPr>
          <w:rFonts w:ascii="Times New Roman" w:eastAsia="Calibri" w:hAnsi="Times New Roman" w:cs="Times New Roman"/>
          <w:i/>
          <w:sz w:val="24"/>
          <w:szCs w:val="24"/>
          <w:lang w:val="es-UY"/>
        </w:rPr>
        <w:t xml:space="preserve">- </w:t>
      </w:r>
      <w:r w:rsidRPr="00326638">
        <w:rPr>
          <w:rFonts w:ascii="Times New Roman" w:eastAsia="Calibri" w:hAnsi="Times New Roman" w:cs="Times New Roman"/>
          <w:sz w:val="24"/>
          <w:szCs w:val="24"/>
          <w:lang w:val="es-UY"/>
        </w:rPr>
        <w:t>la referencia a los “principios generales de derecho”.El artículo 16 del Código Civil</w:t>
      </w:r>
      <w:r w:rsidRPr="00326638">
        <w:rPr>
          <w:rFonts w:ascii="Times New Roman" w:eastAsia="Calibri" w:hAnsi="Times New Roman" w:cs="Times New Roman"/>
          <w:sz w:val="24"/>
          <w:szCs w:val="24"/>
          <w:vertAlign w:val="superscript"/>
          <w:lang w:val="es-UY"/>
        </w:rPr>
        <w:footnoteReference w:id="35"/>
      </w:r>
      <w:r w:rsidRPr="00326638">
        <w:rPr>
          <w:rFonts w:ascii="Times New Roman" w:eastAsia="Calibri" w:hAnsi="Times New Roman" w:cs="Times New Roman"/>
          <w:sz w:val="24"/>
          <w:szCs w:val="24"/>
          <w:lang w:val="es-UY"/>
        </w:rPr>
        <w:t>, el artículo 332 de la Constitución</w:t>
      </w:r>
      <w:r w:rsidRPr="00326638">
        <w:rPr>
          <w:rFonts w:ascii="Times New Roman" w:eastAsia="Calibri" w:hAnsi="Times New Roman" w:cs="Times New Roman"/>
          <w:sz w:val="24"/>
          <w:szCs w:val="24"/>
          <w:vertAlign w:val="superscript"/>
          <w:lang w:val="es-UY"/>
        </w:rPr>
        <w:footnoteReference w:id="36"/>
      </w:r>
      <w:r w:rsidRPr="00326638">
        <w:rPr>
          <w:rFonts w:ascii="Times New Roman" w:eastAsia="Calibri" w:hAnsi="Times New Roman" w:cs="Times New Roman"/>
          <w:sz w:val="24"/>
          <w:szCs w:val="24"/>
          <w:lang w:val="es-UY"/>
        </w:rPr>
        <w:t>, los artículos 14 y 15 del Código General del Proceso</w:t>
      </w:r>
      <w:r w:rsidRPr="00326638">
        <w:rPr>
          <w:rFonts w:ascii="Times New Roman" w:eastAsia="Calibri" w:hAnsi="Times New Roman" w:cs="Times New Roman"/>
          <w:sz w:val="24"/>
          <w:szCs w:val="24"/>
          <w:vertAlign w:val="superscript"/>
          <w:lang w:val="es-UY"/>
        </w:rPr>
        <w:footnoteReference w:id="37"/>
      </w:r>
      <w:r w:rsidRPr="00326638">
        <w:rPr>
          <w:rFonts w:ascii="Times New Roman" w:eastAsia="Calibri" w:hAnsi="Times New Roman" w:cs="Times New Roman"/>
          <w:sz w:val="24"/>
          <w:szCs w:val="24"/>
          <w:lang w:val="es-UY"/>
        </w:rPr>
        <w:t xml:space="preserve"> y el artículo 14 del Código del Proceso Penal (Ley Nº 19.293)</w:t>
      </w:r>
      <w:r w:rsidRPr="00326638">
        <w:rPr>
          <w:rFonts w:ascii="Times New Roman" w:eastAsia="Calibri" w:hAnsi="Times New Roman" w:cs="Times New Roman"/>
          <w:sz w:val="24"/>
          <w:szCs w:val="24"/>
          <w:vertAlign w:val="superscript"/>
          <w:lang w:val="es-UY"/>
        </w:rPr>
        <w:footnoteReference w:id="38"/>
      </w:r>
      <w:r w:rsidRPr="00326638">
        <w:rPr>
          <w:rFonts w:ascii="Times New Roman" w:eastAsia="Calibri" w:hAnsi="Times New Roman" w:cs="Times New Roman"/>
          <w:sz w:val="24"/>
          <w:szCs w:val="24"/>
          <w:lang w:val="es-UY"/>
        </w:rPr>
        <w:t>.</w:t>
      </w:r>
    </w:p>
    <w:p w:rsidR="002C10B4" w:rsidRPr="00326638" w:rsidRDefault="002C10B4"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Y esa recepción expresa en el ordenamiento normativo, se verifica con una clara expresión “principios generales </w:t>
      </w:r>
      <w:r w:rsidRPr="00326638">
        <w:rPr>
          <w:rFonts w:ascii="Times New Roman" w:eastAsia="Calibri" w:hAnsi="Times New Roman" w:cs="Times New Roman"/>
          <w:b/>
          <w:sz w:val="24"/>
          <w:szCs w:val="24"/>
          <w:lang w:val="es-UY"/>
        </w:rPr>
        <w:t>de</w:t>
      </w:r>
      <w:r w:rsidRPr="00326638">
        <w:rPr>
          <w:rFonts w:ascii="Times New Roman" w:eastAsia="Calibri" w:hAnsi="Times New Roman" w:cs="Times New Roman"/>
          <w:sz w:val="24"/>
          <w:szCs w:val="24"/>
          <w:lang w:val="es-UY"/>
        </w:rPr>
        <w:t xml:space="preserve"> derecho” y no “principios generales </w:t>
      </w:r>
      <w:r w:rsidRPr="00326638">
        <w:rPr>
          <w:rFonts w:ascii="Times New Roman" w:eastAsia="Calibri" w:hAnsi="Times New Roman" w:cs="Times New Roman"/>
          <w:b/>
          <w:sz w:val="24"/>
          <w:szCs w:val="24"/>
          <w:lang w:val="es-UY"/>
        </w:rPr>
        <w:t xml:space="preserve">del </w:t>
      </w:r>
      <w:r w:rsidRPr="00326638">
        <w:rPr>
          <w:rFonts w:ascii="Times New Roman" w:eastAsia="Calibri" w:hAnsi="Times New Roman" w:cs="Times New Roman"/>
          <w:sz w:val="24"/>
          <w:szCs w:val="24"/>
          <w:lang w:val="es-UY"/>
        </w:rPr>
        <w:t>derecho”, como sí lo refieren otros textos, entre ellos, el artículo 16 de la Ley Argentina Nº 340, Código Civil redactado por el Dr. Dalmacio Vélez Sársfield</w:t>
      </w:r>
      <w:r w:rsidRPr="00326638">
        <w:rPr>
          <w:rFonts w:ascii="Times New Roman" w:eastAsia="Calibri" w:hAnsi="Times New Roman" w:cs="Times New Roman"/>
          <w:sz w:val="24"/>
          <w:szCs w:val="24"/>
          <w:vertAlign w:val="superscript"/>
          <w:lang w:val="es-UY"/>
        </w:rPr>
        <w:footnoteReference w:id="39"/>
      </w: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vertAlign w:val="superscript"/>
          <w:lang w:val="es-UY"/>
        </w:rPr>
        <w:footnoteReference w:id="40"/>
      </w: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vertAlign w:val="superscript"/>
          <w:lang w:val="es-UY"/>
        </w:rPr>
        <w:footnoteReference w:id="41"/>
      </w:r>
      <w:r w:rsidRPr="00326638">
        <w:rPr>
          <w:rFonts w:ascii="Times New Roman" w:eastAsia="Calibri" w:hAnsi="Times New Roman" w:cs="Times New Roman"/>
          <w:sz w:val="24"/>
          <w:szCs w:val="24"/>
          <w:lang w:val="es-UY"/>
        </w:rPr>
        <w:t>.</w:t>
      </w:r>
    </w:p>
    <w:p w:rsidR="002C10B4" w:rsidRPr="00326638" w:rsidRDefault="002C10B4"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Aun cuando no es </w:t>
      </w:r>
      <w:r w:rsidRPr="00326638">
        <w:rPr>
          <w:rFonts w:ascii="Times New Roman" w:eastAsia="Calibri" w:hAnsi="Times New Roman" w:cs="Times New Roman"/>
          <w:i/>
          <w:sz w:val="24"/>
          <w:szCs w:val="24"/>
          <w:lang w:val="es-UY"/>
        </w:rPr>
        <w:t xml:space="preserve">per  se </w:t>
      </w:r>
      <w:r w:rsidRPr="00326638">
        <w:rPr>
          <w:rFonts w:ascii="Times New Roman" w:eastAsia="Calibri" w:hAnsi="Times New Roman" w:cs="Times New Roman"/>
          <w:sz w:val="24"/>
          <w:szCs w:val="24"/>
          <w:lang w:val="es-UY"/>
        </w:rPr>
        <w:t>definitorio, el criterio filológico en el uso de las preposiciones “de” o “del”, proyecta consecuencias.</w:t>
      </w:r>
    </w:p>
    <w:p w:rsidR="002C10B4" w:rsidRPr="00326638" w:rsidRDefault="002C10B4"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lastRenderedPageBreak/>
        <w:t>“Si nos atenemos a las reglas (de) la gramática española, la utilización la preposición material o de composición «de» denotaría que esos principios «están hechos» de derecho, esto es, que su materia son derecho, a secas. Si partiéramos de la base de que el derecho es algo distinto de la moral (independientemente de que ésta sea más importante o no), entonces, el uso de la expresión «de derecho» estaría significando que los principios no son algo distinto del propio derecho, y que (en todo caso) sólo provienen de la abstracción de sus soluciones o por inferencia de sus presupuestos inmanentes.</w:t>
      </w:r>
    </w:p>
    <w:p w:rsidR="002C10B4" w:rsidRPr="00326638" w:rsidRDefault="002C10B4"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“En cambio, en la fórmula «principios generales del derecho», la preposición «de» antecede al artículo determinado «el» referido a «derecho», con lo cual cambia drásticamente el sentido. Ahora, parece claro que los principios son algo externo al derecho pero cumplen una función respecto de él… Esta dualidad de sentido, responde perfectamente a la tradicional dualidad en la interpretación de los principios: o son inmanentes al derecho (son parte de su existencia, aun cuando sean abstracción de las mismas) o son externos al derecho (como causas, justificaciones, determinantes, etc.)”</w:t>
      </w:r>
      <w:r w:rsidRPr="00326638">
        <w:rPr>
          <w:rFonts w:ascii="Times New Roman" w:eastAsia="Calibri" w:hAnsi="Times New Roman" w:cs="Times New Roman"/>
          <w:sz w:val="24"/>
          <w:szCs w:val="24"/>
          <w:vertAlign w:val="superscript"/>
          <w:lang w:val="es-UY"/>
        </w:rPr>
        <w:footnoteReference w:id="42"/>
      </w: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vertAlign w:val="superscript"/>
          <w:lang w:val="es-UY"/>
        </w:rPr>
        <w:footnoteReference w:id="43"/>
      </w:r>
      <w:r w:rsidRPr="00326638">
        <w:rPr>
          <w:rFonts w:ascii="Times New Roman" w:eastAsia="Calibri" w:hAnsi="Times New Roman" w:cs="Times New Roman"/>
          <w:sz w:val="24"/>
          <w:szCs w:val="24"/>
          <w:lang w:val="es-UY"/>
        </w:rPr>
        <w:t xml:space="preserve">. </w:t>
      </w:r>
    </w:p>
    <w:p w:rsidR="002C10B4" w:rsidRPr="00326638" w:rsidRDefault="007040DA" w:rsidP="00326638">
      <w:pPr>
        <w:spacing w:after="200" w:line="360" w:lineRule="auto"/>
        <w:contextualSpacing/>
        <w:jc w:val="center"/>
        <w:rPr>
          <w:rFonts w:ascii="Times New Roman" w:eastAsia="Calibri" w:hAnsi="Times New Roman" w:cs="Times New Roman"/>
          <w:b/>
          <w:sz w:val="24"/>
          <w:szCs w:val="24"/>
        </w:rPr>
      </w:pPr>
      <w:r w:rsidRPr="00326638">
        <w:rPr>
          <w:rFonts w:ascii="Times New Roman" w:eastAsia="Calibri" w:hAnsi="Times New Roman" w:cs="Times New Roman"/>
          <w:b/>
          <w:sz w:val="24"/>
          <w:szCs w:val="24"/>
        </w:rPr>
        <w:t>IV)</w:t>
      </w:r>
    </w:p>
    <w:p w:rsidR="007040DA" w:rsidRPr="00326638" w:rsidRDefault="007040DA"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Y ello</w:t>
      </w:r>
      <w:r w:rsidR="00290E2F" w:rsidRPr="00326638">
        <w:rPr>
          <w:rFonts w:ascii="Times New Roman" w:eastAsia="Calibri" w:hAnsi="Times New Roman" w:cs="Times New Roman"/>
          <w:sz w:val="24"/>
          <w:szCs w:val="24"/>
        </w:rPr>
        <w:t xml:space="preserve">, unido a la proliferación de principios, </w:t>
      </w:r>
      <w:r w:rsidRPr="00326638">
        <w:rPr>
          <w:rFonts w:ascii="Times New Roman" w:eastAsia="Calibri" w:hAnsi="Times New Roman" w:cs="Times New Roman"/>
          <w:sz w:val="24"/>
          <w:szCs w:val="24"/>
        </w:rPr>
        <w:t xml:space="preserve"> adquiere trascendencia singular.</w:t>
      </w:r>
    </w:p>
    <w:p w:rsidR="007040DA" w:rsidRPr="00326638" w:rsidRDefault="007040DA" w:rsidP="00326638">
      <w:pPr>
        <w:spacing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ab/>
      </w:r>
      <w:r w:rsidRPr="00326638">
        <w:rPr>
          <w:rFonts w:ascii="Times New Roman" w:eastAsia="Calibri" w:hAnsi="Times New Roman" w:cs="Times New Roman"/>
          <w:sz w:val="24"/>
          <w:szCs w:val="24"/>
          <w:lang w:val="es-UY"/>
        </w:rPr>
        <w:t xml:space="preserve">Sobre el dogma de la división de poderes, entre otros, se articuló el Estado de Derecho Liberal. Ese principio de organización garantiza que  los derechos de la libertad sólo limitadamente podrán ser restringidos por el Estado; para tal finalidad, la división permite establecer frenos y controles recíprocos. La libertad reside y se expresa en la legalidad, como regularidad externa para la elaboración de las leyes y en la formación de las demás decisiones del estado, la legalidad, en suma, una técnica, toma el lugar de la legitimidad. Los neoconstitucionalistas afirman que la legalidad no puede sustituir la legitimidad y dejando de lado la división de poderes, intentan acorazar, por medio de una </w:t>
      </w:r>
      <w:r w:rsidRPr="00326638">
        <w:rPr>
          <w:rFonts w:ascii="Times New Roman" w:eastAsia="Calibri" w:hAnsi="Times New Roman" w:cs="Times New Roman"/>
          <w:sz w:val="24"/>
          <w:szCs w:val="24"/>
          <w:lang w:val="es-UY"/>
        </w:rPr>
        <w:lastRenderedPageBreak/>
        <w:t>manufacturación incesante de principios y valores, referidos a los derechos humanos, que tienen como principal actor ahora, al juez activista</w:t>
      </w:r>
      <w:r w:rsidRPr="00326638">
        <w:rPr>
          <w:rFonts w:ascii="Times New Roman" w:eastAsia="Calibri" w:hAnsi="Times New Roman" w:cs="Times New Roman"/>
          <w:sz w:val="24"/>
          <w:szCs w:val="24"/>
          <w:vertAlign w:val="superscript"/>
          <w:lang w:val="es-UY"/>
        </w:rPr>
        <w:footnoteReference w:id="44"/>
      </w: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vertAlign w:val="superscript"/>
          <w:lang w:val="es-UY"/>
        </w:rPr>
        <w:footnoteReference w:id="45"/>
      </w:r>
      <w:r w:rsidRPr="00326638">
        <w:rPr>
          <w:rFonts w:ascii="Times New Roman" w:eastAsia="Calibri" w:hAnsi="Times New Roman" w:cs="Times New Roman"/>
          <w:sz w:val="24"/>
          <w:szCs w:val="24"/>
          <w:lang w:val="es-UY"/>
        </w:rPr>
        <w:t>.</w:t>
      </w:r>
    </w:p>
    <w:p w:rsidR="007040DA" w:rsidRPr="00326638" w:rsidRDefault="007040DA"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No obstante es menester precisar que desde Italia, la Prof.ª Pozzolo, quien contribuyó al empleo del término “neoconstitucionalismo”, destaca “… la ambigüedad que reside en la tesis neoconstitucionalista de la interpretación moral de la Constitución” y que “El reconocimiento del valor jurídico de la Constitución y sobre todo de sus principios no necesita, al menos desde el punto de vista teórico, un englobamiento del derecho en la moral” y “Pero, quizás, el neoconstitucionalismo no ha decidido todavía si quiere hacer teoría o ideología, y probablemente quisiera hacer ambas cosas. Pero esto hace surgir un problema distinto que contribuye a hacer del neoconstitucionalismo, si no otra cosa, un constitucionalismo ambiguo”</w:t>
      </w:r>
      <w:r w:rsidRPr="00326638">
        <w:rPr>
          <w:rFonts w:ascii="Times New Roman" w:eastAsia="Calibri" w:hAnsi="Times New Roman" w:cs="Times New Roman"/>
          <w:sz w:val="24"/>
          <w:szCs w:val="24"/>
          <w:vertAlign w:val="superscript"/>
          <w:lang w:val="es-UY"/>
        </w:rPr>
        <w:footnoteReference w:id="46"/>
      </w: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vertAlign w:val="superscript"/>
          <w:lang w:val="es-UY"/>
        </w:rPr>
        <w:footnoteReference w:id="47"/>
      </w:r>
      <w:r w:rsidRPr="00326638">
        <w:rPr>
          <w:rFonts w:ascii="Times New Roman" w:eastAsia="Calibri" w:hAnsi="Times New Roman" w:cs="Times New Roman"/>
          <w:sz w:val="24"/>
          <w:szCs w:val="24"/>
          <w:lang w:val="es-UY"/>
        </w:rPr>
        <w:t xml:space="preserve">. </w:t>
      </w:r>
    </w:p>
    <w:p w:rsidR="007040DA" w:rsidRPr="00326638" w:rsidRDefault="007040DA"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Línea de opinión adecuadamente criticada en la doctrina vernácula, por Gamarra</w:t>
      </w:r>
      <w:r w:rsidRPr="00326638">
        <w:rPr>
          <w:rFonts w:ascii="Times New Roman" w:eastAsia="Calibri" w:hAnsi="Times New Roman" w:cs="Times New Roman"/>
          <w:sz w:val="24"/>
          <w:szCs w:val="24"/>
          <w:vertAlign w:val="superscript"/>
          <w:lang w:val="es-UY"/>
        </w:rPr>
        <w:footnoteReference w:id="48"/>
      </w:r>
      <w:r w:rsidRPr="00326638">
        <w:rPr>
          <w:rFonts w:ascii="Times New Roman" w:eastAsia="Calibri" w:hAnsi="Times New Roman" w:cs="Times New Roman"/>
          <w:sz w:val="24"/>
          <w:szCs w:val="24"/>
          <w:lang w:val="es-UY"/>
        </w:rPr>
        <w:t>.</w:t>
      </w:r>
    </w:p>
    <w:p w:rsidR="007040DA" w:rsidRPr="00326638" w:rsidRDefault="00F472BC" w:rsidP="00326638">
      <w:pPr>
        <w:spacing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Por García Amado </w:t>
      </w:r>
      <w:r w:rsidRPr="00326638">
        <w:rPr>
          <w:rFonts w:ascii="Times New Roman" w:eastAsia="Calibri" w:hAnsi="Times New Roman" w:cs="Times New Roman"/>
          <w:sz w:val="24"/>
          <w:szCs w:val="24"/>
          <w:lang w:val="es-UY"/>
        </w:rPr>
        <w:t>aludiendo al papel que asumen algunos jueces: “… se vuelven expertos en el pesaje de principios y no sirven en adelante a más señor que a la justicia ni a más valor que los valores constitucionales”. “Sólo hay derechos en serio donde el derecho se toma en serio y sólo hay constitucionalismo de verdad cuando las constituciones son ante nada lo que su texto entero dice y no lo que de ellas o a costa de ellas extraen algunos hábiles exploradores de platónicas cavernas”</w:t>
      </w:r>
      <w:r w:rsidRPr="00326638">
        <w:rPr>
          <w:rFonts w:ascii="Times New Roman" w:eastAsia="Calibri" w:hAnsi="Times New Roman" w:cs="Times New Roman"/>
          <w:sz w:val="24"/>
          <w:szCs w:val="24"/>
          <w:vertAlign w:val="superscript"/>
          <w:lang w:val="es-UY"/>
        </w:rPr>
        <w:footnoteReference w:id="49"/>
      </w:r>
      <w:r w:rsidRPr="00326638">
        <w:rPr>
          <w:rFonts w:ascii="Times New Roman" w:eastAsia="Calibri" w:hAnsi="Times New Roman" w:cs="Times New Roman"/>
          <w:sz w:val="24"/>
          <w:szCs w:val="24"/>
          <w:lang w:val="es-UY"/>
        </w:rPr>
        <w:t xml:space="preserve">. </w:t>
      </w:r>
    </w:p>
    <w:p w:rsidR="00F472BC" w:rsidRPr="00326638" w:rsidRDefault="00F472BC"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Por Chaumet“… creemos que tanto en la jurisprudencia como en la doctrina argentina (y por qué no en otros países de Latinoamérica) se sostienen posturas que, directa o indirectamente, invocan un neoconstitucionalismo que calificaremos como simplificador. Las palabras ponderación (en mayor medida) y proporcionalidad son recurrentemente utilizadas en razonamientos que, sobre la base de principios constitucionales, pretenden demostrar la certeza inmanente de una decisión. Es más, en </w:t>
      </w:r>
      <w:r w:rsidRPr="00326638">
        <w:rPr>
          <w:rFonts w:ascii="Times New Roman" w:eastAsia="Calibri" w:hAnsi="Times New Roman" w:cs="Times New Roman"/>
          <w:sz w:val="24"/>
          <w:szCs w:val="24"/>
          <w:lang w:val="es-UY"/>
        </w:rPr>
        <w:lastRenderedPageBreak/>
        <w:t xml:space="preserve">la mayoría de los casos -y más allá de las menciones sobre Alexy que a veces se realiza- es fácil advertir que sólo se trae la voz «ponderación», pero se omite utilizar las reglas que el propio profesor de Kiel propone, generando así una pátina de rigor racional a la conclusión. En otros casos, jueces y doctrinarios ignoran o soslayan la indeterminación de los principios constitucionales y actúan «como si» subsumieran los hechos en reglas determinadas, no expresando las razones por las que se sostiene, por ejemplo, que esta, y no otra opción, es la que realiza el interés superior del niño, la salud, o el patrimonio histórico. Asimismo, en ocasiones no se ponderan principios sino que se descarta la clara normatividad legal existente haciendo alusión a la fuerza retórica de algún criterio constitucional. Desde bases neoconstitucionalistas y comentando una sentencia sobre derecho de acceso a una vivienda digna, se ha enfatizado que «los derechos sostenidos por la fuerza normativa de la Constitución deben hacerse efectivos con ley, sin ley o contra ley». En realidad, bajo la invocación mediante palabras (ponderación-proporcionalidad) que remitiría a un método intelectualista, se esconde un desmedido voluntarismo”… “… ello ha llevado a algunos pensadores –y a nosotros mismos- a preguntarse si </w:t>
      </w:r>
      <w:r w:rsidRPr="00326638">
        <w:rPr>
          <w:rFonts w:ascii="Times New Roman" w:eastAsia="Calibri" w:hAnsi="Times New Roman" w:cs="Times New Roman"/>
          <w:i/>
          <w:sz w:val="24"/>
          <w:szCs w:val="24"/>
          <w:lang w:val="es-UY"/>
        </w:rPr>
        <w:t>el derecho es el juego de los jueces</w:t>
      </w:r>
      <w:r w:rsidRPr="00326638">
        <w:rPr>
          <w:rFonts w:ascii="Times New Roman" w:eastAsia="Calibri" w:hAnsi="Times New Roman" w:cs="Times New Roman"/>
          <w:sz w:val="24"/>
          <w:szCs w:val="24"/>
          <w:lang w:val="es-UY"/>
        </w:rPr>
        <w:t>”. “La invocación simplificada de principios de alta carga retórica puede constituirse en una herramienta peligrosísima en la metodología judicial (también doctrinaria)…”</w:t>
      </w:r>
      <w:r w:rsidRPr="00326638">
        <w:rPr>
          <w:rFonts w:ascii="Times New Roman" w:eastAsia="Calibri" w:hAnsi="Times New Roman" w:cs="Times New Roman"/>
          <w:sz w:val="24"/>
          <w:szCs w:val="24"/>
          <w:vertAlign w:val="superscript"/>
          <w:lang w:val="es-UY"/>
        </w:rPr>
        <w:footnoteReference w:id="50"/>
      </w:r>
      <w:r w:rsidRPr="00326638">
        <w:rPr>
          <w:rFonts w:ascii="Times New Roman" w:eastAsia="Calibri" w:hAnsi="Times New Roman" w:cs="Times New Roman"/>
          <w:sz w:val="24"/>
          <w:szCs w:val="24"/>
          <w:lang w:val="es-UY"/>
        </w:rPr>
        <w:t>.</w:t>
      </w:r>
    </w:p>
    <w:p w:rsidR="00A2189E" w:rsidRPr="00326638" w:rsidRDefault="00AB55C7"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t>Y Atienza en punto a la expresión neoconstitucionalismo: “Esta última expresión tiene su origen en varios autores de la escuela genovesa, pero, a pesar de la vocación que quienes pertenecen a ella dicen tener por la claridad y precisión conc</w:t>
      </w:r>
      <w:r w:rsidR="005A5AF3" w:rsidRPr="00326638">
        <w:rPr>
          <w:rFonts w:ascii="Times New Roman" w:hAnsi="Times New Roman" w:cs="Times New Roman"/>
          <w:sz w:val="24"/>
          <w:szCs w:val="24"/>
        </w:rPr>
        <w:t>eptuales, en este caso no puede</w:t>
      </w:r>
      <w:r w:rsidRPr="00326638">
        <w:rPr>
          <w:rFonts w:ascii="Times New Roman" w:hAnsi="Times New Roman" w:cs="Times New Roman"/>
          <w:sz w:val="24"/>
          <w:szCs w:val="24"/>
        </w:rPr>
        <w:t xml:space="preserve"> decirse que hayan tenido mucho éxito, pues a lo que han contribuido es justamente a lo contrario: a una considerable –por momentos espantosa- confusión”</w:t>
      </w:r>
      <w:r w:rsidRPr="00326638">
        <w:rPr>
          <w:rStyle w:val="Refdenotaalpie"/>
          <w:rFonts w:ascii="Times New Roman" w:hAnsi="Times New Roman" w:cs="Times New Roman"/>
          <w:sz w:val="24"/>
          <w:szCs w:val="24"/>
        </w:rPr>
        <w:footnoteReference w:id="51"/>
      </w:r>
      <w:r w:rsidRPr="00326638">
        <w:rPr>
          <w:rFonts w:ascii="Times New Roman" w:hAnsi="Times New Roman" w:cs="Times New Roman"/>
          <w:sz w:val="24"/>
          <w:szCs w:val="24"/>
        </w:rPr>
        <w:t xml:space="preserve">. </w:t>
      </w:r>
    </w:p>
    <w:p w:rsidR="004108DE" w:rsidRPr="00326638" w:rsidRDefault="004108DE" w:rsidP="00326638">
      <w:pPr>
        <w:spacing w:after="0" w:line="360" w:lineRule="auto"/>
        <w:contextualSpacing/>
        <w:jc w:val="center"/>
        <w:rPr>
          <w:rFonts w:ascii="Times New Roman" w:hAnsi="Times New Roman" w:cs="Times New Roman"/>
          <w:b/>
          <w:sz w:val="24"/>
          <w:szCs w:val="24"/>
        </w:rPr>
      </w:pPr>
      <w:r w:rsidRPr="00326638">
        <w:rPr>
          <w:rFonts w:ascii="Times New Roman" w:hAnsi="Times New Roman" w:cs="Times New Roman"/>
          <w:b/>
          <w:sz w:val="24"/>
          <w:szCs w:val="24"/>
        </w:rPr>
        <w:t>V)</w:t>
      </w:r>
    </w:p>
    <w:p w:rsidR="004108DE" w:rsidRPr="00326638" w:rsidRDefault="004108DE"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b/>
          <w:sz w:val="24"/>
          <w:szCs w:val="24"/>
        </w:rPr>
        <w:tab/>
      </w:r>
      <w:r w:rsidRPr="00326638">
        <w:rPr>
          <w:rFonts w:ascii="Times New Roman" w:hAnsi="Times New Roman" w:cs="Times New Roman"/>
          <w:sz w:val="24"/>
          <w:szCs w:val="24"/>
        </w:rPr>
        <w:t>Con el riesgo de las interpretaciones morales.</w:t>
      </w:r>
    </w:p>
    <w:p w:rsidR="004108DE" w:rsidRPr="00326638" w:rsidRDefault="004108DE" w:rsidP="00326638">
      <w:pPr>
        <w:spacing w:after="0" w:line="360" w:lineRule="auto"/>
        <w:contextualSpacing/>
        <w:jc w:val="both"/>
        <w:rPr>
          <w:rFonts w:ascii="Times New Roman" w:eastAsia="Calibri" w:hAnsi="Times New Roman" w:cs="Times New Roman"/>
          <w:sz w:val="24"/>
          <w:szCs w:val="24"/>
          <w:lang w:val="es-UY"/>
        </w:rPr>
      </w:pPr>
      <w:r w:rsidRPr="00326638">
        <w:rPr>
          <w:rFonts w:ascii="Times New Roman" w:hAnsi="Times New Roman" w:cs="Times New Roman"/>
          <w:sz w:val="24"/>
          <w:szCs w:val="24"/>
        </w:rPr>
        <w:tab/>
      </w:r>
      <w:r w:rsidRPr="00326638">
        <w:rPr>
          <w:rFonts w:ascii="Times New Roman" w:eastAsia="Calibri" w:hAnsi="Times New Roman" w:cs="Times New Roman"/>
          <w:sz w:val="24"/>
          <w:szCs w:val="24"/>
          <w:lang w:val="es-UY"/>
        </w:rPr>
        <w:t>Pozzolo, quien contribuyó al empleo del término “neoconstitucionalismo”, destaca “El imperialismo de la moral, típico del neoconstitucionalismo, no me parece que haga nada más que elevar un nuevo «rey» por encima del Derecho, y quien tuviera la «sapiencia» para acceder al «conocimiento moral» podría transformarse en un déspota mucho más peligroso que</w:t>
      </w:r>
      <w:r w:rsidR="00290E2F" w:rsidRPr="00326638">
        <w:rPr>
          <w:rFonts w:ascii="Times New Roman" w:eastAsia="Calibri" w:hAnsi="Times New Roman" w:cs="Times New Roman"/>
          <w:sz w:val="24"/>
          <w:szCs w:val="24"/>
          <w:lang w:val="es-UY"/>
        </w:rPr>
        <w:t xml:space="preserve"> la terrena autoridad política”</w:t>
      </w:r>
      <w:r w:rsidRPr="00326638">
        <w:rPr>
          <w:rFonts w:ascii="Times New Roman" w:eastAsia="Calibri" w:hAnsi="Times New Roman" w:cs="Times New Roman"/>
          <w:sz w:val="24"/>
          <w:szCs w:val="24"/>
          <w:vertAlign w:val="superscript"/>
          <w:lang w:val="es-UY"/>
        </w:rPr>
        <w:footnoteReference w:id="52"/>
      </w: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vertAlign w:val="superscript"/>
          <w:lang w:val="es-UY"/>
        </w:rPr>
        <w:footnoteReference w:id="53"/>
      </w:r>
      <w:r w:rsidRPr="00326638">
        <w:rPr>
          <w:rFonts w:ascii="Times New Roman" w:eastAsia="Calibri" w:hAnsi="Times New Roman" w:cs="Times New Roman"/>
          <w:sz w:val="24"/>
          <w:szCs w:val="24"/>
          <w:lang w:val="es-UY"/>
        </w:rPr>
        <w:t>.</w:t>
      </w:r>
    </w:p>
    <w:p w:rsidR="004108DE" w:rsidRPr="00326638" w:rsidRDefault="004108DE" w:rsidP="00326638">
      <w:pPr>
        <w:spacing w:after="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lastRenderedPageBreak/>
        <w:tab/>
        <w:t xml:space="preserve">Ferrajoli,  rechaza la tentación de volver a confundir Derecho y moral, incluso bajo la forma del </w:t>
      </w:r>
      <w:r w:rsidRPr="00326638">
        <w:rPr>
          <w:rFonts w:ascii="Times New Roman" w:eastAsia="Calibri" w:hAnsi="Times New Roman" w:cs="Times New Roman"/>
          <w:i/>
          <w:sz w:val="24"/>
          <w:szCs w:val="24"/>
        </w:rPr>
        <w:t>constitucionalismo ético</w:t>
      </w:r>
      <w:r w:rsidRPr="00326638">
        <w:rPr>
          <w:rFonts w:ascii="Times New Roman" w:eastAsia="Calibri" w:hAnsi="Times New Roman" w:cs="Times New Roman"/>
          <w:sz w:val="24"/>
          <w:szCs w:val="24"/>
        </w:rPr>
        <w:t xml:space="preserve">. “Admitirá siempre, como punto de vista autónomo del Derecho y sobre el Derecho, el punto de vista externo a él de la moral y de la política… Pero es justamente esta separación la que constituye el fundamento de todo liberalismo y de la misma democracia constitucional. Justamente porque el constitucionalismo democrático reconoce y pretende tutelar el pluralismo moral, ideológico y cultural que recorre la sociedad abierta y mínimamente compleja, la idea de que éste se funde en alguna objetividad de la moral o que exprese alguna pretensión de justicia objetiva, choca con sus mismos principios, a comenzar por la libertad de conciencia y de pensamiento”. Prosigue que la separación del Derecho y moral es presupuesto y garantía del pluralismo moral y del multiculturalismo y, asimismo, presupuesto y garantía de la sujeción de los jueces a la ley y de su independencia frente al </w:t>
      </w:r>
      <w:r w:rsidRPr="00326638">
        <w:rPr>
          <w:rFonts w:ascii="Times New Roman" w:eastAsia="Calibri" w:hAnsi="Times New Roman" w:cs="Times New Roman"/>
          <w:i/>
          <w:sz w:val="24"/>
          <w:szCs w:val="24"/>
        </w:rPr>
        <w:t>cognoscitivismo ético-judicial</w:t>
      </w:r>
      <w:r w:rsidRPr="00326638">
        <w:rPr>
          <w:rFonts w:ascii="Times New Roman" w:eastAsia="Calibri" w:hAnsi="Times New Roman" w:cs="Times New Roman"/>
          <w:sz w:val="24"/>
          <w:szCs w:val="24"/>
          <w:vertAlign w:val="superscript"/>
        </w:rPr>
        <w:footnoteReference w:id="54"/>
      </w:r>
      <w:r w:rsidRPr="00326638">
        <w:rPr>
          <w:rFonts w:ascii="Times New Roman" w:eastAsia="Calibri" w:hAnsi="Times New Roman" w:cs="Times New Roman"/>
          <w:sz w:val="24"/>
          <w:szCs w:val="24"/>
        </w:rPr>
        <w:t>.</w:t>
      </w:r>
    </w:p>
    <w:p w:rsidR="004108DE" w:rsidRPr="00326638" w:rsidRDefault="004108DE" w:rsidP="00326638">
      <w:pPr>
        <w:spacing w:after="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Expresa asimismo: “… la constitucionalización de los principios de justicia no incide en modo alguno en la separación de derecho y moral. En efecto, la tesis de la separación es simplemente un corolario del principio de legalidad como norma de reconocimiento del derecho positivo existente. Sólo quiere decir que, en un ordenamiento  nomodinámico, «derecho» es todo y sólo lo puesto como tal por las autoridades jurídicamente habilitadas para producirlo, sea cual fuere –guste o no guste, se considere justo o injusto- su contenido normativo; que, consecuentemente, el derecho es cosa distinta de la moral, dado que el carácter positivo de una norma …, no implica su justicia…  La moral y la justicia… son siempre puntos de vista externos al derecho; los puntos de vista morales y políticos, no objetivos sino subjetivos, de cada uno de nosotros, ya sean de adhesión o rechazo, total o parcial…”</w:t>
      </w:r>
      <w:r w:rsidRPr="00326638">
        <w:rPr>
          <w:rFonts w:ascii="Times New Roman" w:eastAsia="Calibri" w:hAnsi="Times New Roman" w:cs="Times New Roman"/>
          <w:sz w:val="24"/>
          <w:szCs w:val="24"/>
          <w:vertAlign w:val="superscript"/>
        </w:rPr>
        <w:footnoteReference w:id="55"/>
      </w:r>
      <w:r w:rsidRPr="00326638">
        <w:rPr>
          <w:rFonts w:ascii="Times New Roman" w:eastAsia="Calibri" w:hAnsi="Times New Roman" w:cs="Times New Roman"/>
          <w:sz w:val="24"/>
          <w:szCs w:val="24"/>
        </w:rPr>
        <w:t xml:space="preserve">. </w:t>
      </w:r>
    </w:p>
    <w:p w:rsidR="004108DE" w:rsidRPr="00326638" w:rsidRDefault="004108DE" w:rsidP="00326638">
      <w:pPr>
        <w:spacing w:after="0" w:line="360" w:lineRule="auto"/>
        <w:contextualSpacing/>
        <w:jc w:val="both"/>
        <w:rPr>
          <w:rFonts w:ascii="Times New Roman" w:eastAsia="Calibri" w:hAnsi="Times New Roman" w:cs="Times New Roman"/>
          <w:sz w:val="24"/>
          <w:szCs w:val="24"/>
        </w:rPr>
      </w:pPr>
      <w:r w:rsidRPr="00326638">
        <w:rPr>
          <w:rFonts w:ascii="Times New Roman" w:hAnsi="Times New Roman" w:cs="Times New Roman"/>
          <w:sz w:val="24"/>
          <w:szCs w:val="24"/>
        </w:rPr>
        <w:tab/>
        <w:t xml:space="preserve">Y García Amado: </w:t>
      </w:r>
      <w:r w:rsidRPr="00326638">
        <w:rPr>
          <w:rFonts w:ascii="Times New Roman" w:eastAsia="Calibri" w:hAnsi="Times New Roman" w:cs="Times New Roman"/>
          <w:sz w:val="24"/>
          <w:szCs w:val="24"/>
        </w:rPr>
        <w:t>“Y porque la moral es de cada uno, pero el derecho es de todos”</w:t>
      </w:r>
      <w:r w:rsidRPr="00326638">
        <w:rPr>
          <w:rFonts w:ascii="Times New Roman" w:eastAsia="Calibri" w:hAnsi="Times New Roman" w:cs="Times New Roman"/>
          <w:sz w:val="24"/>
          <w:szCs w:val="24"/>
          <w:vertAlign w:val="superscript"/>
        </w:rPr>
        <w:footnoteReference w:id="56"/>
      </w:r>
      <w:r w:rsidRPr="00326638">
        <w:rPr>
          <w:rFonts w:ascii="Times New Roman" w:eastAsia="Calibri" w:hAnsi="Times New Roman" w:cs="Times New Roman"/>
          <w:sz w:val="24"/>
          <w:szCs w:val="24"/>
        </w:rPr>
        <w:t xml:space="preserve">.  </w:t>
      </w:r>
    </w:p>
    <w:p w:rsidR="00E607D4" w:rsidRPr="00326638" w:rsidRDefault="004956CF"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t xml:space="preserve">Sumadas a </w:t>
      </w:r>
      <w:r w:rsidR="004108DE" w:rsidRPr="00326638">
        <w:rPr>
          <w:rFonts w:ascii="Times New Roman" w:hAnsi="Times New Roman" w:cs="Times New Roman"/>
          <w:sz w:val="24"/>
          <w:szCs w:val="24"/>
        </w:rPr>
        <w:t xml:space="preserve"> recientes reflexiones</w:t>
      </w:r>
      <w:r w:rsidR="004641ED" w:rsidRPr="00326638">
        <w:rPr>
          <w:rFonts w:ascii="Times New Roman" w:hAnsi="Times New Roman" w:cs="Times New Roman"/>
          <w:sz w:val="24"/>
          <w:szCs w:val="24"/>
        </w:rPr>
        <w:t xml:space="preserve"> de Benaventos y Fernández Dellepiane</w:t>
      </w:r>
      <w:r w:rsidRPr="00326638">
        <w:rPr>
          <w:rFonts w:ascii="Times New Roman" w:hAnsi="Times New Roman" w:cs="Times New Roman"/>
          <w:sz w:val="24"/>
          <w:szCs w:val="24"/>
        </w:rPr>
        <w:t>:</w:t>
      </w:r>
      <w:r w:rsidR="004108DE" w:rsidRPr="00326638">
        <w:rPr>
          <w:rFonts w:ascii="Times New Roman" w:hAnsi="Times New Roman" w:cs="Times New Roman"/>
          <w:sz w:val="24"/>
          <w:szCs w:val="24"/>
        </w:rPr>
        <w:t xml:space="preserve"> </w:t>
      </w:r>
      <w:r w:rsidR="00E607D4" w:rsidRPr="00326638">
        <w:rPr>
          <w:rFonts w:ascii="Times New Roman" w:hAnsi="Times New Roman" w:cs="Times New Roman"/>
          <w:sz w:val="24"/>
          <w:szCs w:val="24"/>
        </w:rPr>
        <w:t xml:space="preserve">“Una sociedad democrática, republicana y moderna acepta el </w:t>
      </w:r>
      <w:r w:rsidR="00E607D4" w:rsidRPr="00326638">
        <w:rPr>
          <w:rFonts w:ascii="Times New Roman" w:hAnsi="Times New Roman" w:cs="Times New Roman"/>
          <w:i/>
          <w:sz w:val="24"/>
          <w:szCs w:val="24"/>
        </w:rPr>
        <w:t>pluralismo moral</w:t>
      </w:r>
      <w:r w:rsidR="00E607D4" w:rsidRPr="00326638">
        <w:rPr>
          <w:rFonts w:ascii="Times New Roman" w:hAnsi="Times New Roman" w:cs="Times New Roman"/>
          <w:sz w:val="24"/>
          <w:szCs w:val="24"/>
        </w:rPr>
        <w:t xml:space="preserve">. Es la heterogeneidad la que permite la convivencia pacífica entre diversos lenguajes morales </w:t>
      </w:r>
      <w:r w:rsidR="00E607D4" w:rsidRPr="00326638">
        <w:rPr>
          <w:rFonts w:ascii="Times New Roman" w:hAnsi="Times New Roman" w:cs="Times New Roman"/>
          <w:sz w:val="24"/>
          <w:szCs w:val="24"/>
        </w:rPr>
        <w:lastRenderedPageBreak/>
        <w:t>en tanto reconozcan al individuo y sus premisas básicas de: humanidad, racionalidad, libertad e igualdad”</w:t>
      </w:r>
      <w:r w:rsidR="00E607D4" w:rsidRPr="00326638">
        <w:rPr>
          <w:rStyle w:val="Refdenotaalpie"/>
          <w:rFonts w:ascii="Times New Roman" w:hAnsi="Times New Roman" w:cs="Times New Roman"/>
          <w:sz w:val="24"/>
          <w:szCs w:val="24"/>
        </w:rPr>
        <w:footnoteReference w:id="57"/>
      </w:r>
      <w:r w:rsidR="00E607D4" w:rsidRPr="00326638">
        <w:rPr>
          <w:rFonts w:ascii="Times New Roman" w:hAnsi="Times New Roman" w:cs="Times New Roman"/>
          <w:sz w:val="24"/>
          <w:szCs w:val="24"/>
        </w:rPr>
        <w:t>.</w:t>
      </w:r>
    </w:p>
    <w:p w:rsidR="004956CF" w:rsidRPr="00326638" w:rsidRDefault="004956CF" w:rsidP="00326638">
      <w:pPr>
        <w:spacing w:after="0" w:line="360" w:lineRule="auto"/>
        <w:contextualSpacing/>
        <w:jc w:val="center"/>
        <w:rPr>
          <w:rFonts w:ascii="Times New Roman" w:hAnsi="Times New Roman" w:cs="Times New Roman"/>
          <w:b/>
          <w:sz w:val="24"/>
          <w:szCs w:val="24"/>
        </w:rPr>
      </w:pPr>
      <w:r w:rsidRPr="00326638">
        <w:rPr>
          <w:rFonts w:ascii="Times New Roman" w:hAnsi="Times New Roman" w:cs="Times New Roman"/>
          <w:b/>
          <w:sz w:val="24"/>
          <w:szCs w:val="24"/>
        </w:rPr>
        <w:t>VI)</w:t>
      </w:r>
    </w:p>
    <w:p w:rsidR="004956CF" w:rsidRPr="00326638" w:rsidRDefault="004956CF"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b/>
          <w:sz w:val="24"/>
          <w:szCs w:val="24"/>
        </w:rPr>
        <w:tab/>
      </w:r>
      <w:r w:rsidRPr="00326638">
        <w:rPr>
          <w:rFonts w:ascii="Times New Roman" w:hAnsi="Times New Roman" w:cs="Times New Roman"/>
          <w:sz w:val="24"/>
          <w:szCs w:val="24"/>
        </w:rPr>
        <w:t>Los principios están previstos en forma secundaria o argumentativa, como elementos auxiliares a los efectos de la decisión.</w:t>
      </w:r>
    </w:p>
    <w:p w:rsidR="004956CF" w:rsidRPr="00326638" w:rsidRDefault="004956CF"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t>Puede así sostener</w:t>
      </w:r>
      <w:r w:rsidR="005A792E" w:rsidRPr="00326638">
        <w:rPr>
          <w:rFonts w:ascii="Times New Roman" w:hAnsi="Times New Roman" w:cs="Times New Roman"/>
          <w:sz w:val="24"/>
          <w:szCs w:val="24"/>
        </w:rPr>
        <w:t>se</w:t>
      </w:r>
      <w:r w:rsidRPr="00326638">
        <w:rPr>
          <w:rFonts w:ascii="Times New Roman" w:hAnsi="Times New Roman" w:cs="Times New Roman"/>
          <w:sz w:val="24"/>
          <w:szCs w:val="24"/>
        </w:rPr>
        <w:t xml:space="preserve"> con Alchourrón y B</w:t>
      </w:r>
      <w:r w:rsidR="00E51732" w:rsidRPr="00326638">
        <w:rPr>
          <w:rFonts w:ascii="Times New Roman" w:hAnsi="Times New Roman" w:cs="Times New Roman"/>
          <w:sz w:val="24"/>
          <w:szCs w:val="24"/>
        </w:rPr>
        <w:t>ulygin, que integran el sistema secundario o sistema del juez, sistema de normas que regulan las conductas de los jueces que son aquellas que establecen en qué condiciones los jueces pueden juzgar y las que establecen obligaciones y prohibiciones (juzgar y fundar sus decisiones en derecho)</w:t>
      </w:r>
      <w:r w:rsidR="00E51732" w:rsidRPr="00326638">
        <w:rPr>
          <w:rStyle w:val="Refdenotaalpie"/>
          <w:rFonts w:ascii="Times New Roman" w:hAnsi="Times New Roman" w:cs="Times New Roman"/>
          <w:sz w:val="24"/>
          <w:szCs w:val="24"/>
        </w:rPr>
        <w:footnoteReference w:id="58"/>
      </w:r>
      <w:r w:rsidR="00E51732" w:rsidRPr="00326638">
        <w:rPr>
          <w:rFonts w:ascii="Times New Roman" w:hAnsi="Times New Roman" w:cs="Times New Roman"/>
          <w:sz w:val="24"/>
          <w:szCs w:val="24"/>
        </w:rPr>
        <w:t>.</w:t>
      </w:r>
    </w:p>
    <w:p w:rsidR="00E51732" w:rsidRPr="00326638" w:rsidRDefault="00E51732" w:rsidP="00326638">
      <w:pPr>
        <w:spacing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Entre los siglos XVIII y XIX, se desarrolla el gran movimiento codificador en Europa. Fenómeno que se realiza en forma pragmáticamente positivista, ya que busca regular y acotar la labor de los jueces, de conformidad con las necesidades de seguridad jurídica y previsibilidad de los derechos</w:t>
      </w:r>
      <w:r w:rsidRPr="00326638">
        <w:rPr>
          <w:rFonts w:ascii="Times New Roman" w:eastAsia="Calibri" w:hAnsi="Times New Roman" w:cs="Times New Roman"/>
          <w:sz w:val="24"/>
          <w:szCs w:val="24"/>
          <w:vertAlign w:val="superscript"/>
          <w:lang w:val="es-UY"/>
        </w:rPr>
        <w:footnoteReference w:id="59"/>
      </w:r>
      <w:r w:rsidRPr="00326638">
        <w:rPr>
          <w:rFonts w:ascii="Times New Roman" w:eastAsia="Calibri" w:hAnsi="Times New Roman" w:cs="Times New Roman"/>
          <w:sz w:val="24"/>
          <w:szCs w:val="24"/>
          <w:lang w:val="es-UY"/>
        </w:rPr>
        <w:t>.</w:t>
      </w:r>
    </w:p>
    <w:p w:rsidR="00E51732" w:rsidRPr="00326638" w:rsidRDefault="00E51732"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Ello impone al juez el deber de fallar, sin que pueda excusarse a pretexto de silencio, oscuridad o insuficiencia de las leyes</w:t>
      </w:r>
      <w:r w:rsidRPr="00326638">
        <w:rPr>
          <w:rFonts w:ascii="Times New Roman" w:eastAsia="Calibri" w:hAnsi="Times New Roman" w:cs="Times New Roman"/>
          <w:sz w:val="24"/>
          <w:szCs w:val="24"/>
          <w:vertAlign w:val="superscript"/>
          <w:lang w:val="es-UY"/>
        </w:rPr>
        <w:footnoteReference w:id="60"/>
      </w:r>
      <w:r w:rsidRPr="00326638">
        <w:rPr>
          <w:rFonts w:ascii="Times New Roman" w:eastAsia="Calibri" w:hAnsi="Times New Roman" w:cs="Times New Roman"/>
          <w:sz w:val="24"/>
          <w:szCs w:val="24"/>
          <w:lang w:val="es-UY"/>
        </w:rPr>
        <w:t>.</w:t>
      </w:r>
    </w:p>
    <w:p w:rsidR="00E51732" w:rsidRPr="00326638" w:rsidRDefault="00E51732"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Oscuridad de la Ley: el juez debe aclarar, a través de la interpretación, la disposición legislativa que no  es clara.</w:t>
      </w:r>
    </w:p>
    <w:p w:rsidR="00E51732" w:rsidRPr="00326638" w:rsidRDefault="00E51732"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Insuficiencia de la Ley: en cuanto no resuelve completamente un caso, dejando sin considerar algún elemento; el juez debe integrar el precepto legislativo.</w:t>
      </w:r>
    </w:p>
    <w:p w:rsidR="00E51732" w:rsidRPr="00326638" w:rsidRDefault="00E51732"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Silencio de la Ley: cuando ésta calla sobre una determinada cuestión (el caso típico de las llamadas lagunas, que también se producen en supuestos de insuficiencia): el juez debe suplir la ley, obteniendo de algún modo, la regla para resolver la controversia a examen y que debe obtenerla dentro del orden normativo dado</w:t>
      </w:r>
      <w:r w:rsidRPr="00326638">
        <w:rPr>
          <w:rFonts w:ascii="Times New Roman" w:eastAsia="Calibri" w:hAnsi="Times New Roman" w:cs="Times New Roman"/>
          <w:sz w:val="24"/>
          <w:szCs w:val="24"/>
          <w:vertAlign w:val="superscript"/>
          <w:lang w:val="es-UY"/>
        </w:rPr>
        <w:footnoteReference w:id="61"/>
      </w:r>
      <w:r w:rsidRPr="00326638">
        <w:rPr>
          <w:rFonts w:ascii="Times New Roman" w:eastAsia="Calibri" w:hAnsi="Times New Roman" w:cs="Times New Roman"/>
          <w:sz w:val="24"/>
          <w:szCs w:val="24"/>
          <w:lang w:val="es-UY"/>
        </w:rPr>
        <w:t xml:space="preserve">. </w:t>
      </w:r>
    </w:p>
    <w:p w:rsidR="00E51732" w:rsidRPr="00326638" w:rsidRDefault="00E51732"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lastRenderedPageBreak/>
        <w:t>Se contienen así, dos dogmas: que el juez no crea derecho y que sin posibilidad de excusarse, debe fallar siempre de acuerdo a derecho</w:t>
      </w:r>
      <w:r w:rsidRPr="00326638">
        <w:rPr>
          <w:rFonts w:ascii="Times New Roman" w:eastAsia="Calibri" w:hAnsi="Times New Roman" w:cs="Times New Roman"/>
          <w:sz w:val="24"/>
          <w:szCs w:val="24"/>
          <w:vertAlign w:val="superscript"/>
          <w:lang w:val="es-UY"/>
        </w:rPr>
        <w:footnoteReference w:id="62"/>
      </w:r>
      <w:r w:rsidRPr="00326638">
        <w:rPr>
          <w:rFonts w:ascii="Times New Roman" w:eastAsia="Calibri" w:hAnsi="Times New Roman" w:cs="Times New Roman"/>
          <w:sz w:val="24"/>
          <w:szCs w:val="24"/>
          <w:lang w:val="es-UY"/>
        </w:rPr>
        <w:t>.</w:t>
      </w:r>
    </w:p>
    <w:p w:rsidR="00E51732" w:rsidRPr="00326638" w:rsidRDefault="00E51732" w:rsidP="00326638">
      <w:pPr>
        <w:spacing w:after="200"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Estas dos soluciones sólo resultan  compatibles, si se establece  un tercer dogma de plenitud y coherencia del ordenamiento y las referencias a los principios fueron una técnica para sostenerlo. Así los principios pasan a ser el componente que dota de completitud, cohesión –y hasta para algunos de moralidad- al sistema</w:t>
      </w:r>
      <w:r w:rsidRPr="00326638">
        <w:rPr>
          <w:rFonts w:ascii="Times New Roman" w:eastAsia="Calibri" w:hAnsi="Times New Roman" w:cs="Times New Roman"/>
          <w:sz w:val="24"/>
          <w:szCs w:val="24"/>
          <w:vertAlign w:val="superscript"/>
          <w:lang w:val="es-UY"/>
        </w:rPr>
        <w:footnoteReference w:id="63"/>
      </w:r>
      <w:r w:rsidRPr="00326638">
        <w:rPr>
          <w:rFonts w:ascii="Times New Roman" w:eastAsia="Calibri" w:hAnsi="Times New Roman" w:cs="Times New Roman"/>
          <w:sz w:val="24"/>
          <w:szCs w:val="24"/>
          <w:lang w:val="es-UY"/>
        </w:rPr>
        <w:t>.</w:t>
      </w:r>
      <w:r w:rsidR="00634D40" w:rsidRPr="00326638">
        <w:rPr>
          <w:rFonts w:ascii="Times New Roman" w:eastAsia="Calibri" w:hAnsi="Times New Roman" w:cs="Times New Roman"/>
          <w:sz w:val="24"/>
          <w:szCs w:val="24"/>
          <w:lang w:val="es-UY"/>
        </w:rPr>
        <w:t xml:space="preserve"> Completitud, idea racional que se funda única y exclusivamente en el Principio de Razón Suficiente y que presenta tres exigencias: a) principio de inexcusabilidad (</w:t>
      </w:r>
      <w:r w:rsidR="00E27A55" w:rsidRPr="00326638">
        <w:rPr>
          <w:rFonts w:ascii="Times New Roman" w:eastAsia="Calibri" w:hAnsi="Times New Roman" w:cs="Times New Roman"/>
          <w:sz w:val="24"/>
          <w:szCs w:val="24"/>
          <w:lang w:val="es-UY"/>
        </w:rPr>
        <w:t>los jueces deben resolver todos los casos que les fueren planteados dentro de la esfera de su competencia), b) principio de justificación (los jueces deben dar razón de sus decisiones –deben ser fundadas-), c) principio de legalidad (las resoluciones judiciales deben fundarse en normas de derecho)</w:t>
      </w:r>
      <w:r w:rsidR="00E27A55" w:rsidRPr="00326638">
        <w:rPr>
          <w:rStyle w:val="Refdenotaalpie"/>
          <w:rFonts w:ascii="Times New Roman" w:eastAsia="Calibri" w:hAnsi="Times New Roman" w:cs="Times New Roman"/>
          <w:sz w:val="24"/>
          <w:szCs w:val="24"/>
          <w:lang w:val="es-UY"/>
        </w:rPr>
        <w:footnoteReference w:id="64"/>
      </w:r>
      <w:r w:rsidR="00E27A55" w:rsidRPr="00326638">
        <w:rPr>
          <w:rFonts w:ascii="Times New Roman" w:eastAsia="Calibri" w:hAnsi="Times New Roman" w:cs="Times New Roman"/>
          <w:sz w:val="24"/>
          <w:szCs w:val="24"/>
          <w:lang w:val="es-UY"/>
        </w:rPr>
        <w:t>.</w:t>
      </w:r>
      <w:r w:rsidR="00634D40" w:rsidRPr="00326638">
        <w:rPr>
          <w:rFonts w:ascii="Times New Roman" w:eastAsia="Calibri" w:hAnsi="Times New Roman" w:cs="Times New Roman"/>
          <w:sz w:val="24"/>
          <w:szCs w:val="24"/>
          <w:lang w:val="es-UY"/>
        </w:rPr>
        <w:t xml:space="preserve"> </w:t>
      </w:r>
    </w:p>
    <w:p w:rsidR="00E51732" w:rsidRPr="00326638" w:rsidRDefault="00E51732"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Como señala Klett: “Cuando se habla de la plenitud hermética del orden jurídico quiere expresarse que no hay situación jurídica alguna que no pueda ser resuelta jurídicamente, esto es, de acuerdo con principios de derecho.</w:t>
      </w:r>
    </w:p>
    <w:p w:rsidR="00E51732" w:rsidRPr="00326638" w:rsidRDefault="00E51732"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“Toda controversia sometida a la decisión de un Tribunal debe ser resuelta y resuelta jurídicamente”</w:t>
      </w:r>
      <w:r w:rsidRPr="00326638">
        <w:rPr>
          <w:rFonts w:ascii="Times New Roman" w:eastAsia="Calibri" w:hAnsi="Times New Roman" w:cs="Times New Roman"/>
          <w:sz w:val="24"/>
          <w:szCs w:val="24"/>
          <w:vertAlign w:val="superscript"/>
        </w:rPr>
        <w:footnoteReference w:id="65"/>
      </w:r>
      <w:r w:rsidRPr="00326638">
        <w:rPr>
          <w:rFonts w:ascii="Times New Roman" w:eastAsia="Calibri" w:hAnsi="Times New Roman" w:cs="Times New Roman"/>
          <w:sz w:val="24"/>
          <w:szCs w:val="24"/>
        </w:rPr>
        <w:t xml:space="preserve">. </w:t>
      </w:r>
    </w:p>
    <w:p w:rsidR="00E51732" w:rsidRPr="00326638" w:rsidRDefault="00E51732"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 xml:space="preserve">Y también: “… las reglas creadas por los humanos no están siempre en condiciones de resolver adecuadamente los conflictos y, por dicha razón, es necesario acudir a los principios (explícitos o implícitos) que subyacen a dichas reglas. No se trata de los principios del derecho natural, se trata de principios que pueden ser </w:t>
      </w:r>
      <w:r w:rsidRPr="00326638">
        <w:rPr>
          <w:rFonts w:ascii="Times New Roman" w:eastAsia="Calibri" w:hAnsi="Times New Roman" w:cs="Times New Roman"/>
          <w:i/>
          <w:sz w:val="24"/>
          <w:szCs w:val="24"/>
        </w:rPr>
        <w:t xml:space="preserve">inducidos </w:t>
      </w:r>
      <w:r w:rsidRPr="00326638">
        <w:rPr>
          <w:rFonts w:ascii="Times New Roman" w:eastAsia="Calibri" w:hAnsi="Times New Roman" w:cs="Times New Roman"/>
          <w:sz w:val="24"/>
          <w:szCs w:val="24"/>
        </w:rPr>
        <w:t xml:space="preserve">o, tal vez, </w:t>
      </w:r>
      <w:r w:rsidRPr="00326638">
        <w:rPr>
          <w:rFonts w:ascii="Times New Roman" w:eastAsia="Calibri" w:hAnsi="Times New Roman" w:cs="Times New Roman"/>
          <w:i/>
          <w:sz w:val="24"/>
          <w:szCs w:val="24"/>
        </w:rPr>
        <w:t>abducidos</w:t>
      </w:r>
      <w:r w:rsidRPr="00326638">
        <w:rPr>
          <w:rFonts w:ascii="Times New Roman" w:eastAsia="Calibri" w:hAnsi="Times New Roman" w:cs="Times New Roman"/>
          <w:sz w:val="24"/>
          <w:szCs w:val="24"/>
        </w:rPr>
        <w:t xml:space="preserve"> a partir de las reglas positivas y que ofrecen su mejor explicación”</w:t>
      </w:r>
      <w:r w:rsidRPr="00326638">
        <w:rPr>
          <w:rFonts w:ascii="Times New Roman" w:eastAsia="Calibri" w:hAnsi="Times New Roman" w:cs="Times New Roman"/>
          <w:sz w:val="24"/>
          <w:szCs w:val="24"/>
          <w:vertAlign w:val="superscript"/>
        </w:rPr>
        <w:footnoteReference w:id="66"/>
      </w:r>
      <w:r w:rsidRPr="00326638">
        <w:rPr>
          <w:rFonts w:ascii="Times New Roman" w:eastAsia="Calibri" w:hAnsi="Times New Roman" w:cs="Times New Roman"/>
          <w:sz w:val="24"/>
          <w:szCs w:val="24"/>
        </w:rPr>
        <w:t>.</w:t>
      </w:r>
    </w:p>
    <w:p w:rsidR="00E27A55" w:rsidRPr="00326638" w:rsidRDefault="00634D40" w:rsidP="00326638">
      <w:pPr>
        <w:spacing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ab/>
      </w:r>
      <w:r w:rsidR="00E27A55" w:rsidRPr="00326638">
        <w:rPr>
          <w:rFonts w:ascii="Times New Roman" w:eastAsia="Calibri" w:hAnsi="Times New Roman" w:cs="Times New Roman"/>
          <w:sz w:val="24"/>
          <w:szCs w:val="24"/>
          <w:lang w:val="es-UY"/>
        </w:rPr>
        <w:t>Y la función asignada a los principios es colaborar en la aplicación del Derecho.</w:t>
      </w:r>
    </w:p>
    <w:p w:rsidR="00E27A55" w:rsidRPr="00326638" w:rsidRDefault="00E27A55"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lang w:val="es-UY"/>
        </w:rPr>
        <w:tab/>
        <w:t xml:space="preserve">Así </w:t>
      </w:r>
      <w:r w:rsidRPr="00326638">
        <w:rPr>
          <w:rFonts w:ascii="Times New Roman" w:eastAsia="Calibri" w:hAnsi="Times New Roman" w:cs="Times New Roman"/>
          <w:sz w:val="24"/>
          <w:szCs w:val="24"/>
        </w:rPr>
        <w:t>Couture: “La tarea interpretativa constituye en todo caso, una referencia al conjunto de principios, los que a su vez constituyen un desenvolvimiento de algo anterior, genéricamente establecido.</w:t>
      </w:r>
    </w:p>
    <w:p w:rsidR="00E27A55" w:rsidRPr="00326638" w:rsidRDefault="00E27A55"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lastRenderedPageBreak/>
        <w:tab/>
        <w:t>“Cuando la letra de la ley desfallece, cuando su texto es notoriamente erróneo, cuando coliden un texto con otro texto, o cuando se nos presenta un texto en pugna con un principio, o un principio con otro principio, o cuando el silencio sume al lector en perplejidad, la tarea interpretativa adquiere su jerarquía propia”</w:t>
      </w:r>
      <w:r w:rsidRPr="00326638">
        <w:rPr>
          <w:rFonts w:ascii="Times New Roman" w:eastAsia="Calibri" w:hAnsi="Times New Roman" w:cs="Times New Roman"/>
          <w:sz w:val="24"/>
          <w:szCs w:val="24"/>
          <w:vertAlign w:val="superscript"/>
        </w:rPr>
        <w:footnoteReference w:id="67"/>
      </w:r>
      <w:r w:rsidRPr="00326638">
        <w:rPr>
          <w:rFonts w:ascii="Times New Roman" w:eastAsia="Calibri" w:hAnsi="Times New Roman" w:cs="Times New Roman"/>
          <w:sz w:val="24"/>
          <w:szCs w:val="24"/>
        </w:rPr>
        <w:t>.</w:t>
      </w:r>
    </w:p>
    <w:p w:rsidR="00E27A55" w:rsidRPr="00326638" w:rsidRDefault="00E27A55"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ab/>
      </w:r>
      <w:r w:rsidRPr="00326638">
        <w:rPr>
          <w:rFonts w:ascii="Times New Roman" w:eastAsia="Calibri" w:hAnsi="Times New Roman" w:cs="Times New Roman"/>
          <w:sz w:val="24"/>
          <w:szCs w:val="24"/>
          <w:lang w:val="es-UY"/>
        </w:rPr>
        <w:t>Peyrano, en punto a las funciones que cumplen, señala que: “… si bien asumen la conocida de ser la argamasa que cubre los resquicios que pueda presentar un ordenamiento adjetivo dado, no debe olvidarse que son las vigas maestras que sustentan, armonizan y explican el edificio procedimental todo”. Y que: “… se obtienen fundamentalmente mediante el análisis de los textos legales…”</w:t>
      </w:r>
      <w:r w:rsidRPr="00326638">
        <w:rPr>
          <w:rFonts w:ascii="Times New Roman" w:eastAsia="Calibri" w:hAnsi="Times New Roman" w:cs="Times New Roman"/>
          <w:sz w:val="24"/>
          <w:szCs w:val="24"/>
          <w:vertAlign w:val="superscript"/>
          <w:lang w:val="es-UY"/>
        </w:rPr>
        <w:footnoteReference w:id="68"/>
      </w:r>
      <w:r w:rsidRPr="00326638">
        <w:rPr>
          <w:rFonts w:ascii="Times New Roman" w:eastAsia="Calibri" w:hAnsi="Times New Roman" w:cs="Times New Roman"/>
          <w:sz w:val="24"/>
          <w:szCs w:val="24"/>
          <w:lang w:val="es-UY"/>
        </w:rPr>
        <w:t>.</w:t>
      </w:r>
    </w:p>
    <w:p w:rsidR="00E27A55" w:rsidRPr="00326638" w:rsidRDefault="00E27A55"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Y que son el recurso “… más técnico con que cuenta el juez vacilante en cuanto al partido que debe tomar frente a un intríngulis procesal”… “aportan solución allí donde otras herramientas interpretativas del ordenamiento fracasan o arriban a soluciones contrarias al espíritu del mismo”</w:t>
      </w:r>
      <w:r w:rsidRPr="00326638">
        <w:rPr>
          <w:rFonts w:ascii="Times New Roman" w:eastAsia="Calibri" w:hAnsi="Times New Roman" w:cs="Times New Roman"/>
          <w:sz w:val="24"/>
          <w:szCs w:val="24"/>
          <w:vertAlign w:val="superscript"/>
          <w:lang w:val="es-UY"/>
        </w:rPr>
        <w:footnoteReference w:id="69"/>
      </w:r>
      <w:r w:rsidRPr="00326638">
        <w:rPr>
          <w:rFonts w:ascii="Times New Roman" w:eastAsia="Calibri" w:hAnsi="Times New Roman" w:cs="Times New Roman"/>
          <w:sz w:val="24"/>
          <w:szCs w:val="24"/>
          <w:lang w:val="es-UY"/>
        </w:rPr>
        <w:t xml:space="preserve">. </w:t>
      </w:r>
    </w:p>
    <w:p w:rsidR="00E27A55" w:rsidRPr="00326638" w:rsidRDefault="00E27A55"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 xml:space="preserve">Véscovi </w:t>
      </w:r>
      <w:r w:rsidRPr="00326638">
        <w:rPr>
          <w:rFonts w:ascii="Times New Roman" w:eastAsia="Calibri" w:hAnsi="Times New Roman" w:cs="Times New Roman"/>
          <w:i/>
          <w:sz w:val="24"/>
          <w:szCs w:val="24"/>
          <w:lang w:val="es-UY"/>
        </w:rPr>
        <w:t xml:space="preserve"> et al.</w:t>
      </w:r>
      <w:r w:rsidRPr="00326638">
        <w:rPr>
          <w:rFonts w:ascii="Times New Roman" w:eastAsia="Calibri" w:hAnsi="Times New Roman" w:cs="Times New Roman"/>
          <w:sz w:val="24"/>
          <w:szCs w:val="24"/>
          <w:lang w:val="es-UY"/>
        </w:rPr>
        <w:t xml:space="preserve"> señalan la importancia de los principios como instrumentos fundamentales de interpretación, de vital importancia en el ordenamiento procesal</w:t>
      </w:r>
      <w:r w:rsidRPr="00326638">
        <w:rPr>
          <w:rFonts w:ascii="Times New Roman" w:eastAsia="Calibri" w:hAnsi="Times New Roman" w:cs="Times New Roman"/>
          <w:sz w:val="24"/>
          <w:szCs w:val="24"/>
          <w:vertAlign w:val="superscript"/>
          <w:lang w:val="es-UY"/>
        </w:rPr>
        <w:footnoteReference w:id="70"/>
      </w:r>
      <w:r w:rsidRPr="00326638">
        <w:rPr>
          <w:rFonts w:ascii="Times New Roman" w:eastAsia="Calibri" w:hAnsi="Times New Roman" w:cs="Times New Roman"/>
          <w:sz w:val="24"/>
          <w:szCs w:val="24"/>
          <w:lang w:val="es-UY"/>
        </w:rPr>
        <w:t>.</w:t>
      </w:r>
    </w:p>
    <w:p w:rsidR="00E27A55" w:rsidRPr="00326638" w:rsidRDefault="00E27A55"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lang w:val="es-UY"/>
        </w:rPr>
        <w:tab/>
      </w:r>
      <w:r w:rsidRPr="00326638">
        <w:rPr>
          <w:rFonts w:ascii="Times New Roman" w:eastAsia="Calibri" w:hAnsi="Times New Roman" w:cs="Times New Roman"/>
          <w:sz w:val="24"/>
          <w:szCs w:val="24"/>
        </w:rPr>
        <w:t>Palacio expresa que se extraen de un contexto normativo, que no tienen carácter absoluto, que sirven de base a la estructuración de las leyes procesales, que constituyen importantes instrumentos auxiliares en la función interpretativa. Destaca asimismo que no existe acuerdo en los autores en punto al número e individualización de los principios</w:t>
      </w:r>
      <w:r w:rsidRPr="00326638">
        <w:rPr>
          <w:rFonts w:ascii="Times New Roman" w:eastAsia="Calibri" w:hAnsi="Times New Roman" w:cs="Times New Roman"/>
          <w:sz w:val="24"/>
          <w:szCs w:val="24"/>
          <w:vertAlign w:val="superscript"/>
        </w:rPr>
        <w:footnoteReference w:id="71"/>
      </w:r>
      <w:r w:rsidRPr="00326638">
        <w:rPr>
          <w:rFonts w:ascii="Times New Roman" w:eastAsia="Calibri" w:hAnsi="Times New Roman" w:cs="Times New Roman"/>
          <w:sz w:val="24"/>
          <w:szCs w:val="24"/>
        </w:rPr>
        <w:t xml:space="preserve">.   </w:t>
      </w:r>
    </w:p>
    <w:p w:rsidR="00E27A55" w:rsidRPr="00326638" w:rsidRDefault="00E27A55"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ab/>
      </w:r>
      <w:r w:rsidRPr="00326638">
        <w:rPr>
          <w:rFonts w:ascii="Times New Roman" w:eastAsia="Calibri" w:hAnsi="Times New Roman" w:cs="Times New Roman"/>
          <w:sz w:val="24"/>
          <w:szCs w:val="24"/>
          <w:lang w:val="es-UY"/>
        </w:rPr>
        <w:t>“De ahí se infieren esas consecuencias advertidas ya por la doctrina: el que las directrices puedan estar expuestas a la ley, sea como exposición de motivos o como bases y aún como normas generales; el que ellos sirvan para llenar las lagunas, el que se utilicen para integrar la ley, el que en caso de contradicción normativa resuelvan la dificultad y, en fin, que ante la duda sobre la inteligencia de la ley, sea por defecto terminológico o técnico, se deba acudir a sus  orientaciones, pero no a cualquier directriz, sino a las de esa ley”</w:t>
      </w:r>
      <w:r w:rsidRPr="00326638">
        <w:rPr>
          <w:rFonts w:ascii="Times New Roman" w:eastAsia="Calibri" w:hAnsi="Times New Roman" w:cs="Times New Roman"/>
          <w:sz w:val="24"/>
          <w:szCs w:val="24"/>
          <w:vertAlign w:val="superscript"/>
          <w:lang w:val="es-UY"/>
        </w:rPr>
        <w:footnoteReference w:id="72"/>
      </w:r>
      <w:r w:rsidRPr="00326638">
        <w:rPr>
          <w:rFonts w:ascii="Times New Roman" w:eastAsia="Calibri" w:hAnsi="Times New Roman" w:cs="Times New Roman"/>
          <w:sz w:val="24"/>
          <w:szCs w:val="24"/>
          <w:lang w:val="es-UY"/>
        </w:rPr>
        <w:t>.</w:t>
      </w:r>
    </w:p>
    <w:p w:rsidR="00E27A55" w:rsidRPr="00326638" w:rsidRDefault="00E27A55"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lang w:val="es-UY"/>
        </w:rPr>
        <w:t xml:space="preserve">             </w:t>
      </w:r>
      <w:r w:rsidRPr="00326638">
        <w:rPr>
          <w:rFonts w:ascii="Times New Roman" w:eastAsia="Calibri" w:hAnsi="Times New Roman" w:cs="Times New Roman"/>
          <w:sz w:val="24"/>
          <w:szCs w:val="24"/>
        </w:rPr>
        <w:t xml:space="preserve">La necesidad de elementos auxiliares a las reglas a los efectos de la decisión, ya era apuntada en el proyecto de Código Napoleón, cuyo principal autor, Portalis, admitía </w:t>
      </w:r>
      <w:r w:rsidRPr="00326638">
        <w:rPr>
          <w:rFonts w:ascii="Times New Roman" w:eastAsia="Calibri" w:hAnsi="Times New Roman" w:cs="Times New Roman"/>
          <w:sz w:val="24"/>
          <w:szCs w:val="24"/>
        </w:rPr>
        <w:lastRenderedPageBreak/>
        <w:t>que el legislador no podía prever todo</w:t>
      </w:r>
      <w:r w:rsidRPr="00326638">
        <w:rPr>
          <w:rFonts w:ascii="Times New Roman" w:eastAsia="Calibri" w:hAnsi="Times New Roman" w:cs="Times New Roman"/>
          <w:sz w:val="24"/>
          <w:szCs w:val="24"/>
          <w:vertAlign w:val="superscript"/>
        </w:rPr>
        <w:footnoteReference w:id="73"/>
      </w:r>
      <w:r w:rsidRPr="00326638">
        <w:rPr>
          <w:rFonts w:ascii="Times New Roman" w:eastAsia="Calibri" w:hAnsi="Times New Roman" w:cs="Times New Roman"/>
          <w:sz w:val="24"/>
          <w:szCs w:val="24"/>
        </w:rPr>
        <w:t xml:space="preserve"> y se otorgaba al juez la posibilidad de la integración, solución no seguida en el texto aprobado</w:t>
      </w:r>
      <w:r w:rsidRPr="00326638">
        <w:rPr>
          <w:rFonts w:ascii="Times New Roman" w:eastAsia="Calibri" w:hAnsi="Times New Roman" w:cs="Times New Roman"/>
          <w:sz w:val="24"/>
          <w:szCs w:val="24"/>
          <w:vertAlign w:val="superscript"/>
        </w:rPr>
        <w:footnoteReference w:id="74"/>
      </w:r>
      <w:r w:rsidRPr="00326638">
        <w:rPr>
          <w:rFonts w:ascii="Times New Roman" w:eastAsia="Calibri" w:hAnsi="Times New Roman" w:cs="Times New Roman"/>
          <w:sz w:val="24"/>
          <w:szCs w:val="24"/>
        </w:rPr>
        <w:t>. Así, en su discurso de 1 Pluvioso año IX, expresaba: “</w:t>
      </w:r>
      <w:r w:rsidRPr="00326638">
        <w:rPr>
          <w:rFonts w:ascii="Times New Roman" w:eastAsia="Calibri" w:hAnsi="Times New Roman" w:cs="Times New Roman"/>
          <w:i/>
          <w:sz w:val="24"/>
          <w:szCs w:val="24"/>
        </w:rPr>
        <w:t>Nous nous sommes également préservés de la dangereuse ambition de tout régler et de tout prévoir”… “…qu´il est imposible au législateur de pourvoir à tout”… “Une foule de choses sont donc  nécessairement abandonnées à l´empire de l´usage, à la discussion des homes instruits, à l´arbitrage des juges”… “C´est au magistrat et au jurisconsulte, pénétrés de l´esprit général des lois, à en diriger l´application”… “Mais, à défaut de texte précis sur chaque matière… on remonte aux príncipes du droit naturel”</w:t>
      </w:r>
      <w:r w:rsidRPr="00326638">
        <w:rPr>
          <w:rFonts w:ascii="Times New Roman" w:eastAsia="Calibri" w:hAnsi="Times New Roman" w:cs="Times New Roman"/>
          <w:sz w:val="24"/>
          <w:szCs w:val="24"/>
          <w:vertAlign w:val="superscript"/>
        </w:rPr>
        <w:footnoteReference w:id="75"/>
      </w:r>
      <w:r w:rsidRPr="00326638">
        <w:rPr>
          <w:rFonts w:ascii="Times New Roman" w:eastAsia="Calibri" w:hAnsi="Times New Roman" w:cs="Times New Roman"/>
          <w:sz w:val="24"/>
          <w:szCs w:val="24"/>
        </w:rPr>
        <w:t>.</w:t>
      </w:r>
    </w:p>
    <w:p w:rsidR="00634D40" w:rsidRPr="00326638" w:rsidRDefault="00E27A55"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La solución del Derecho Patrio es la ocurrencia a los principios de derecho, según normas ya relacionadas.</w:t>
      </w:r>
    </w:p>
    <w:p w:rsidR="00E51732" w:rsidRPr="00326638" w:rsidRDefault="0000762D" w:rsidP="00326638">
      <w:pPr>
        <w:spacing w:after="0" w:line="360" w:lineRule="auto"/>
        <w:contextualSpacing/>
        <w:jc w:val="center"/>
        <w:rPr>
          <w:rFonts w:ascii="Times New Roman" w:hAnsi="Times New Roman" w:cs="Times New Roman"/>
          <w:b/>
          <w:sz w:val="24"/>
          <w:szCs w:val="24"/>
        </w:rPr>
      </w:pPr>
      <w:r w:rsidRPr="00326638">
        <w:rPr>
          <w:rFonts w:ascii="Times New Roman" w:hAnsi="Times New Roman" w:cs="Times New Roman"/>
          <w:b/>
          <w:sz w:val="24"/>
          <w:szCs w:val="24"/>
        </w:rPr>
        <w:t>VII)</w:t>
      </w:r>
    </w:p>
    <w:p w:rsidR="00654D6F" w:rsidRPr="00326638" w:rsidRDefault="0000762D"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b/>
          <w:sz w:val="24"/>
          <w:szCs w:val="24"/>
        </w:rPr>
        <w:tab/>
      </w:r>
      <w:r w:rsidRPr="00326638">
        <w:rPr>
          <w:rFonts w:ascii="Times New Roman" w:hAnsi="Times New Roman" w:cs="Times New Roman"/>
          <w:sz w:val="24"/>
          <w:szCs w:val="24"/>
        </w:rPr>
        <w:t>Los principios pued</w:t>
      </w:r>
      <w:r w:rsidR="00654D6F" w:rsidRPr="00326638">
        <w:rPr>
          <w:rFonts w:ascii="Times New Roman" w:hAnsi="Times New Roman" w:cs="Times New Roman"/>
          <w:sz w:val="24"/>
          <w:szCs w:val="24"/>
        </w:rPr>
        <w:t>en ser explícitos o implícitos.</w:t>
      </w:r>
    </w:p>
    <w:p w:rsidR="00654D6F" w:rsidRPr="00326638" w:rsidRDefault="00654D6F" w:rsidP="00326638">
      <w:pPr>
        <w:spacing w:after="0" w:line="360" w:lineRule="auto"/>
        <w:contextualSpacing/>
        <w:jc w:val="both"/>
        <w:rPr>
          <w:rFonts w:ascii="Times New Roman" w:hAnsi="Times New Roman" w:cs="Times New Roman"/>
          <w:sz w:val="24"/>
          <w:szCs w:val="24"/>
        </w:rPr>
      </w:pPr>
      <w:r w:rsidRPr="00326638">
        <w:rPr>
          <w:rFonts w:ascii="Times New Roman" w:eastAsia="Calibri" w:hAnsi="Times New Roman" w:cs="Times New Roman"/>
          <w:sz w:val="24"/>
          <w:szCs w:val="24"/>
        </w:rPr>
        <w:tab/>
        <w:t>La circunstancia que haya un elenco de principios, reconocidos en forma expresa y articulados en los cuerpos normativos, no hace que los reconocidos (explícitos) pierdan su calidad de tales. Su regulación legal no impide ubicar otros (implícitos) por parte de los especialistas</w:t>
      </w:r>
      <w:r w:rsidRPr="00326638">
        <w:rPr>
          <w:rFonts w:ascii="Times New Roman" w:eastAsia="Calibri" w:hAnsi="Times New Roman" w:cs="Times New Roman"/>
          <w:sz w:val="24"/>
          <w:szCs w:val="24"/>
          <w:vertAlign w:val="superscript"/>
        </w:rPr>
        <w:footnoteReference w:id="76"/>
      </w:r>
      <w:r w:rsidRPr="00326638">
        <w:rPr>
          <w:rFonts w:ascii="Times New Roman" w:eastAsia="Calibri" w:hAnsi="Times New Roman" w:cs="Times New Roman"/>
          <w:sz w:val="24"/>
          <w:szCs w:val="24"/>
        </w:rPr>
        <w:t>.</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Ruiz Manero significa al respecto que es una distinción relevante la que media entre principios explícitos –esto es, expresamente dictados por una fuente de producción jurídica- y principios implícitos –los extraídos a partir de disposiciones expresas del ordenamiento, como racionalización de las mismas-</w:t>
      </w:r>
      <w:r w:rsidRPr="00326638">
        <w:rPr>
          <w:rFonts w:ascii="Times New Roman" w:eastAsia="Calibri" w:hAnsi="Times New Roman" w:cs="Times New Roman"/>
          <w:sz w:val="24"/>
          <w:szCs w:val="24"/>
          <w:vertAlign w:val="superscript"/>
        </w:rPr>
        <w:footnoteReference w:id="77"/>
      </w:r>
      <w:r w:rsidRPr="00326638">
        <w:rPr>
          <w:rFonts w:ascii="Times New Roman" w:eastAsia="Calibri" w:hAnsi="Times New Roman" w:cs="Times New Roman"/>
          <w:sz w:val="24"/>
          <w:szCs w:val="24"/>
        </w:rPr>
        <w:t xml:space="preserve"> </w:t>
      </w:r>
      <w:r w:rsidRPr="00326638">
        <w:rPr>
          <w:rFonts w:ascii="Times New Roman" w:eastAsia="Calibri" w:hAnsi="Times New Roman" w:cs="Times New Roman"/>
          <w:sz w:val="24"/>
          <w:szCs w:val="24"/>
          <w:vertAlign w:val="superscript"/>
        </w:rPr>
        <w:footnoteReference w:id="78"/>
      </w:r>
      <w:r w:rsidRPr="00326638">
        <w:rPr>
          <w:rFonts w:ascii="Times New Roman" w:eastAsia="Calibri" w:hAnsi="Times New Roman" w:cs="Times New Roman"/>
          <w:sz w:val="24"/>
          <w:szCs w:val="24"/>
        </w:rPr>
        <w:t>.</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lastRenderedPageBreak/>
        <w:t xml:space="preserve">            </w:t>
      </w:r>
      <w:r w:rsidR="00AB5DCA" w:rsidRPr="00326638">
        <w:rPr>
          <w:rFonts w:ascii="Times New Roman" w:eastAsia="Calibri" w:hAnsi="Times New Roman" w:cs="Times New Roman"/>
          <w:sz w:val="24"/>
          <w:szCs w:val="24"/>
        </w:rPr>
        <w:t>E</w:t>
      </w:r>
      <w:r w:rsidRPr="00326638">
        <w:rPr>
          <w:rFonts w:ascii="Times New Roman" w:eastAsia="Calibri" w:hAnsi="Times New Roman" w:cs="Times New Roman"/>
          <w:sz w:val="24"/>
          <w:szCs w:val="24"/>
        </w:rPr>
        <w:t>n presentación conjunta, Atienza y Ruiz Manero</w:t>
      </w:r>
      <w:r w:rsidR="00AB5DCA" w:rsidRPr="00326638">
        <w:rPr>
          <w:rStyle w:val="Refdenotaalpie"/>
          <w:rFonts w:ascii="Times New Roman" w:eastAsia="Calibri" w:hAnsi="Times New Roman" w:cs="Times New Roman"/>
          <w:sz w:val="24"/>
          <w:szCs w:val="24"/>
        </w:rPr>
        <w:footnoteReference w:id="79"/>
      </w:r>
      <w:r w:rsidRPr="00326638">
        <w:rPr>
          <w:rFonts w:ascii="Times New Roman" w:eastAsia="Calibri" w:hAnsi="Times New Roman" w:cs="Times New Roman"/>
          <w:sz w:val="24"/>
          <w:szCs w:val="24"/>
        </w:rPr>
        <w:t>, introducen como última distinción, la que media entre principios explícitos (los formulados expresamente en el ordenamiento) y principios implícitos (los extraídos a partir de enunciados presentes en el ordenamiento jurídico), clasificación que consideran exhaustiva y excluyente.</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Los explícitos son razones para la acción, independientes del contenido pero no perentorias; los implícitos son razones para la acción no perentorias ni independientes del contenido. Los primeros son autoritativos, mientras que los segundos no. </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Señalaban asimismo que los segundos suponen mayor complejidad pues no sólo plantean el problema de cómo deben ser utilizados, sino, asimismo, cómo se justifica adoptarlos. Y ello viene a coincidir con el problema general de la interpretación jurídica, que dejan fuera de su consideración.</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Nada expresan –quizás porque se sobreeentiende-, destaca Alonso Vidal</w:t>
      </w:r>
      <w:r w:rsidRPr="00326638">
        <w:rPr>
          <w:rFonts w:ascii="Times New Roman" w:eastAsia="Calibri" w:hAnsi="Times New Roman" w:cs="Times New Roman"/>
          <w:sz w:val="24"/>
          <w:szCs w:val="24"/>
          <w:vertAlign w:val="superscript"/>
        </w:rPr>
        <w:footnoteReference w:id="80"/>
      </w:r>
      <w:r w:rsidRPr="00326638">
        <w:rPr>
          <w:rFonts w:ascii="Times New Roman" w:eastAsia="Calibri" w:hAnsi="Times New Roman" w:cs="Times New Roman"/>
          <w:sz w:val="24"/>
          <w:szCs w:val="24"/>
        </w:rPr>
        <w:t>, que la aplicación de un principio implícito siempre exigirá un mayor grado de deliberación que la de un principio explícito, porque además de ponderar si existen otras razones, el órgano jurisdiccional deberá hacer un juicio de adecuación del principio implícito con las reglas y principios explícitos del sistema.</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Los principios implícitos actúan en el sistema secundario o sistema del juez.</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Y a su respecto Guastini -que distingue entre principios expresos (los explícitamente formulados en una disposición constitucional o legislativa de la que puedan recabarse), y los no expresos (los no explícitamente formulados en alguna disposición constitucional o legislativa, sino que son construidos por los intérpretes en el momento de aplicar el derecho)- considera que la aplicación de los implícitos supone mayor discrecionalidad judicial</w:t>
      </w:r>
      <w:r w:rsidRPr="00326638">
        <w:rPr>
          <w:rFonts w:ascii="Times New Roman" w:eastAsia="Calibri" w:hAnsi="Times New Roman" w:cs="Times New Roman"/>
          <w:sz w:val="24"/>
          <w:szCs w:val="24"/>
          <w:vertAlign w:val="superscript"/>
        </w:rPr>
        <w:footnoteReference w:id="81"/>
      </w:r>
      <w:r w:rsidRPr="00326638">
        <w:rPr>
          <w:rFonts w:ascii="Times New Roman" w:eastAsia="Calibri" w:hAnsi="Times New Roman" w:cs="Times New Roman"/>
          <w:sz w:val="24"/>
          <w:szCs w:val="24"/>
        </w:rPr>
        <w:t xml:space="preserve">. </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Señala el mismo Guastini, que existen tres técnicas de construcción de principios implícitos: a) una consiste en la inducción de normas generales –mediante abstracción, generalización o universalización- a partir de normas particulares; procedimiento que califica como altamente discrecional. b) una segunda consiste en la búsqueda por el intérprete -para el autor se trata de conjeturas- de los fines, intenciones, valores, del legislador; es la que se emplea cada vez que se busca la </w:t>
      </w:r>
      <w:r w:rsidRPr="00326638">
        <w:rPr>
          <w:rFonts w:ascii="Times New Roman" w:eastAsia="Calibri" w:hAnsi="Times New Roman" w:cs="Times New Roman"/>
          <w:i/>
          <w:sz w:val="24"/>
          <w:szCs w:val="24"/>
        </w:rPr>
        <w:t>ratio legis</w:t>
      </w:r>
      <w:r w:rsidRPr="00326638">
        <w:rPr>
          <w:rFonts w:ascii="Times New Roman" w:eastAsia="Calibri" w:hAnsi="Times New Roman" w:cs="Times New Roman"/>
          <w:sz w:val="24"/>
          <w:szCs w:val="24"/>
        </w:rPr>
        <w:t xml:space="preserve">; también ampliamente discrecional. c) finalmente, la última consiste en elaborar una norma implícita que se </w:t>
      </w:r>
      <w:r w:rsidRPr="00326638">
        <w:rPr>
          <w:rFonts w:ascii="Times New Roman" w:eastAsia="Calibri" w:hAnsi="Times New Roman" w:cs="Times New Roman"/>
          <w:sz w:val="24"/>
          <w:szCs w:val="24"/>
        </w:rPr>
        <w:lastRenderedPageBreak/>
        <w:t xml:space="preserve">supone instrumental a la actuación de un principio previamente reconocido como tal y elevar luego esa norma implícita al rango de principio. </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En suma: para Guastini la aplicación judicial de principios implícitos no sería más que un ejercicio de discrecionalidad, cuando no de arbitrariedad por el tribunal</w:t>
      </w:r>
      <w:r w:rsidRPr="00326638">
        <w:rPr>
          <w:rFonts w:ascii="Times New Roman" w:eastAsia="Calibri" w:hAnsi="Times New Roman" w:cs="Times New Roman"/>
          <w:sz w:val="24"/>
          <w:szCs w:val="24"/>
          <w:vertAlign w:val="superscript"/>
        </w:rPr>
        <w:footnoteReference w:id="82"/>
      </w:r>
      <w:r w:rsidRPr="00326638">
        <w:rPr>
          <w:rFonts w:ascii="Times New Roman" w:eastAsia="Calibri" w:hAnsi="Times New Roman" w:cs="Times New Roman"/>
          <w:sz w:val="24"/>
          <w:szCs w:val="24"/>
        </w:rPr>
        <w:t xml:space="preserve">. </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En mi opinión, aludir a principios explícitos es, ni más ni menos, que referir a reglas. En efecto: cuando un texto normativo incluye preceptos que rotula como principios</w:t>
      </w:r>
      <w:r w:rsidRPr="00326638">
        <w:rPr>
          <w:rFonts w:ascii="Times New Roman" w:eastAsia="Calibri" w:hAnsi="Times New Roman" w:cs="Times New Roman"/>
          <w:sz w:val="24"/>
          <w:szCs w:val="24"/>
          <w:vertAlign w:val="superscript"/>
        </w:rPr>
        <w:footnoteReference w:id="83"/>
      </w:r>
      <w:r w:rsidRPr="00326638">
        <w:rPr>
          <w:rFonts w:ascii="Times New Roman" w:eastAsia="Calibri" w:hAnsi="Times New Roman" w:cs="Times New Roman"/>
          <w:sz w:val="24"/>
          <w:szCs w:val="24"/>
        </w:rPr>
        <w:t>, se está frente a reglas en los cuerpos legales.</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La solución no varía cuando los textos remiten a principios, aun cuando no los hagan objeto de más articulación que su referencia</w:t>
      </w:r>
      <w:r w:rsidRPr="00326638">
        <w:rPr>
          <w:rFonts w:ascii="Times New Roman" w:eastAsia="Calibri" w:hAnsi="Times New Roman" w:cs="Times New Roman"/>
          <w:sz w:val="24"/>
          <w:szCs w:val="24"/>
          <w:vertAlign w:val="superscript"/>
        </w:rPr>
        <w:footnoteReference w:id="84"/>
      </w:r>
      <w:r w:rsidRPr="00326638">
        <w:rPr>
          <w:rFonts w:ascii="Times New Roman" w:eastAsia="Calibri" w:hAnsi="Times New Roman" w:cs="Times New Roman"/>
          <w:sz w:val="24"/>
          <w:szCs w:val="24"/>
        </w:rPr>
        <w:t xml:space="preserve">. </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Lo más que podrá debatirse en estos supuestos, es si los así consagrados son verdaderos y propios principios, en atención a su regulación o alcance.</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Y allí la solución es clara: aplicar la regla.</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El problema se plantea –y Guastini advierte al respecto- con relación a los implícitos, por la eventual discrecionalidad –cuando no arbitrariedad-  judicial. Y no puede afirmarse, como lo hace Alonso Vidal “… porque la totalidad de los principios implícitos acaban por convertirse en principios explícitos”, para cuya aseveración encuentra fundamento en el sistema del </w:t>
      </w:r>
      <w:r w:rsidRPr="00326638">
        <w:rPr>
          <w:rFonts w:ascii="Times New Roman" w:eastAsia="Calibri" w:hAnsi="Times New Roman" w:cs="Times New Roman"/>
          <w:i/>
          <w:sz w:val="24"/>
          <w:szCs w:val="24"/>
        </w:rPr>
        <w:t>common law</w:t>
      </w:r>
      <w:r w:rsidRPr="00326638">
        <w:rPr>
          <w:rFonts w:ascii="Times New Roman" w:eastAsia="Calibri" w:hAnsi="Times New Roman" w:cs="Times New Roman"/>
          <w:sz w:val="24"/>
          <w:szCs w:val="24"/>
        </w:rPr>
        <w:t xml:space="preserve"> que reconoce como fuente de autoridad a la jurisprudencia de los tribunales. Pero que no es de recibo en el derecho continental –</w:t>
      </w:r>
      <w:r w:rsidRPr="00326638">
        <w:rPr>
          <w:rFonts w:ascii="Times New Roman" w:eastAsia="Calibri" w:hAnsi="Times New Roman" w:cs="Times New Roman"/>
          <w:i/>
          <w:sz w:val="24"/>
          <w:szCs w:val="24"/>
        </w:rPr>
        <w:t>civil law-</w:t>
      </w:r>
      <w:r w:rsidRPr="00326638">
        <w:rPr>
          <w:rFonts w:ascii="Times New Roman" w:eastAsia="Calibri" w:hAnsi="Times New Roman" w:cs="Times New Roman"/>
          <w:sz w:val="24"/>
          <w:szCs w:val="24"/>
        </w:rPr>
        <w:t xml:space="preserve"> a cuyo respecto los argumentos no resultan suasorios</w:t>
      </w:r>
      <w:r w:rsidRPr="00326638">
        <w:rPr>
          <w:rFonts w:ascii="Times New Roman" w:eastAsia="Calibri" w:hAnsi="Times New Roman" w:cs="Times New Roman"/>
          <w:sz w:val="24"/>
          <w:szCs w:val="24"/>
          <w:vertAlign w:val="superscript"/>
        </w:rPr>
        <w:footnoteReference w:id="85"/>
      </w:r>
      <w:r w:rsidRPr="00326638">
        <w:rPr>
          <w:rFonts w:ascii="Times New Roman" w:eastAsia="Calibri" w:hAnsi="Times New Roman" w:cs="Times New Roman"/>
          <w:sz w:val="24"/>
          <w:szCs w:val="24"/>
        </w:rPr>
        <w:t>. Los principios explícitos son tales en cuanto una regla los recoge. No puede derivarse de la elaboración de la doctrina y la jurisprudencia, aun en ausencia de reglas, de un elenco de principios ubicables, definidos y comúnmente aceptados, en la conversión de los mismos en explícitos.</w:t>
      </w:r>
    </w:p>
    <w:p w:rsidR="00654D6F" w:rsidRPr="00326638" w:rsidRDefault="00654D6F" w:rsidP="00326638">
      <w:pPr>
        <w:tabs>
          <w:tab w:val="left" w:pos="4253"/>
        </w:tabs>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Ahora bien, como destaca Ródenas</w:t>
      </w:r>
      <w:r w:rsidRPr="00326638">
        <w:rPr>
          <w:rFonts w:ascii="Times New Roman" w:eastAsia="Calibri" w:hAnsi="Times New Roman" w:cs="Times New Roman"/>
          <w:sz w:val="24"/>
          <w:szCs w:val="24"/>
          <w:vertAlign w:val="superscript"/>
        </w:rPr>
        <w:footnoteReference w:id="86"/>
      </w:r>
      <w:r w:rsidRPr="00326638">
        <w:rPr>
          <w:rFonts w:ascii="Times New Roman" w:eastAsia="Calibri" w:hAnsi="Times New Roman" w:cs="Times New Roman"/>
          <w:sz w:val="24"/>
          <w:szCs w:val="24"/>
        </w:rPr>
        <w:t xml:space="preserve">, una cosa es admitir que los jueces puedan aplicar normas que no resultan identificables de conformidad con los criterios autoritativos del sistema de fuentes, y otra diferente aludir a discrecionalidad en estos casos. El Derecho, prosigue, no renuncia a determinar cuándo pueden ser aplicables normas no identificables autoritativamente, ni le es indiferente su contenido. Y apunta a </w:t>
      </w:r>
      <w:r w:rsidRPr="00326638">
        <w:rPr>
          <w:rFonts w:ascii="Times New Roman" w:eastAsia="Calibri" w:hAnsi="Times New Roman" w:cs="Times New Roman"/>
          <w:sz w:val="24"/>
          <w:szCs w:val="24"/>
        </w:rPr>
        <w:lastRenderedPageBreak/>
        <w:t>que el operador deberá desarrollar una argumentación –para aplicar una norma no identificable autoritativamente- que demuestre que concurren razones para aplicarla.</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 xml:space="preserve">            Y resultan </w:t>
      </w:r>
      <w:r w:rsidRPr="00326638">
        <w:rPr>
          <w:rFonts w:ascii="Times New Roman" w:eastAsia="Calibri" w:hAnsi="Times New Roman" w:cs="Times New Roman"/>
          <w:sz w:val="24"/>
          <w:szCs w:val="24"/>
          <w:lang w:val="es-UY"/>
        </w:rPr>
        <w:t xml:space="preserve"> compartibles sus propuestas:</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“1) Salvo prueba en contrario, las reglas (de mandato) operarán en el razonamiento de los operadores del Derecho como razones perentorias e independientes del contenido.</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“2) Corresponde a quien lo alega mostrar que una regla no identificable autoritativamente debe ser aplicada a un caso, o que una regla así identificada no debe ser aplicada (bien porque el caso en cuestión constituye una excepción a la regla, está fuera de su alcance, o porque la regla resulta invalidada).</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“3) Quien pretenda la aplicación de una regla no identificable autoritativamente, o la inaplicación de una así identificada, deberá realizar un razonamiento tendiente a demostrar que, de acuerdo con las convenciones interpretativas vigentes (expresas o tácitas), hay razones suficientes, para incorporar una nueva regla al sistema o para apartarse de lo que ellas establecen”</w:t>
      </w:r>
      <w:r w:rsidRPr="00326638">
        <w:rPr>
          <w:rFonts w:ascii="Times New Roman" w:eastAsia="Calibri" w:hAnsi="Times New Roman" w:cs="Times New Roman"/>
          <w:sz w:val="24"/>
          <w:szCs w:val="24"/>
          <w:vertAlign w:val="superscript"/>
          <w:lang w:val="es-UY"/>
        </w:rPr>
        <w:footnoteReference w:id="87"/>
      </w:r>
      <w:r w:rsidRPr="00326638">
        <w:rPr>
          <w:rFonts w:ascii="Times New Roman" w:eastAsia="Calibri" w:hAnsi="Times New Roman" w:cs="Times New Roman"/>
          <w:sz w:val="24"/>
          <w:szCs w:val="24"/>
          <w:lang w:val="es-UY"/>
        </w:rPr>
        <w:t>.</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             En línea similar –aunque más restringida-, Alonso Vidal propone, para la aplicación de normas no identificadas autoritativamente:</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              “1) Los principios implícitos operarán en el razonamiento jurídico como razones para la acción no perentorias y no independientes de su contenido.</w:t>
      </w:r>
    </w:p>
    <w:p w:rsidR="00654D6F"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                “2) Corresponde a quien lo alega mostrar que un principio implícito debe ser aplicado (bien porque el caso en cuestión  no está regulado expresamente por una norma identificable autoritativamente, ya sea una regla o un principio explícito, o porque en el caso en cuestión constituye una excepción a la regla, está fuera de su alcance, o porque la regla resulta invalidada por la toma en consideración del principio implícito).</w:t>
      </w:r>
    </w:p>
    <w:p w:rsidR="007D66B3" w:rsidRPr="00326638" w:rsidRDefault="00654D6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                “3) Quien pretenda la aplicación de un principio implícito, deberá realizar un razonamiento dirigido a demostrar: </w:t>
      </w:r>
      <w:r w:rsidRPr="00326638">
        <w:rPr>
          <w:rFonts w:ascii="Times New Roman" w:eastAsia="Calibri" w:hAnsi="Times New Roman" w:cs="Times New Roman"/>
          <w:i/>
          <w:sz w:val="24"/>
          <w:szCs w:val="24"/>
          <w:lang w:val="es-UY"/>
        </w:rPr>
        <w:t>a)</w:t>
      </w:r>
      <w:r w:rsidRPr="00326638">
        <w:rPr>
          <w:rFonts w:ascii="Times New Roman" w:eastAsia="Calibri" w:hAnsi="Times New Roman" w:cs="Times New Roman"/>
          <w:sz w:val="24"/>
          <w:szCs w:val="24"/>
          <w:lang w:val="es-UY"/>
        </w:rPr>
        <w:t xml:space="preserve"> que el principio implícito se colige de principios o reglas explícitas del sistema, y </w:t>
      </w:r>
      <w:r w:rsidRPr="00326638">
        <w:rPr>
          <w:rFonts w:ascii="Times New Roman" w:eastAsia="Calibri" w:hAnsi="Times New Roman" w:cs="Times New Roman"/>
          <w:i/>
          <w:sz w:val="24"/>
          <w:szCs w:val="24"/>
          <w:lang w:val="es-UY"/>
        </w:rPr>
        <w:t>b)</w:t>
      </w:r>
      <w:r w:rsidRPr="00326638">
        <w:rPr>
          <w:rFonts w:ascii="Times New Roman" w:eastAsia="Calibri" w:hAnsi="Times New Roman" w:cs="Times New Roman"/>
          <w:sz w:val="24"/>
          <w:szCs w:val="24"/>
          <w:lang w:val="es-UY"/>
        </w:rPr>
        <w:t xml:space="preserve"> que de acuerdo a las convenciones interpretativas  explícitas, hay razones suficientes para la apl</w:t>
      </w:r>
      <w:r w:rsidR="007D66B3" w:rsidRPr="00326638">
        <w:rPr>
          <w:rFonts w:ascii="Times New Roman" w:eastAsia="Calibri" w:hAnsi="Times New Roman" w:cs="Times New Roman"/>
          <w:sz w:val="24"/>
          <w:szCs w:val="24"/>
          <w:lang w:val="es-UY"/>
        </w:rPr>
        <w:t>icación del principio implícito.</w:t>
      </w:r>
    </w:p>
    <w:p w:rsidR="007D66B3" w:rsidRPr="00326638" w:rsidRDefault="007D66B3" w:rsidP="00326638">
      <w:pPr>
        <w:spacing w:after="200" w:line="360" w:lineRule="auto"/>
        <w:contextualSpacing/>
        <w:jc w:val="center"/>
        <w:rPr>
          <w:rFonts w:ascii="Times New Roman" w:eastAsia="Calibri" w:hAnsi="Times New Roman" w:cs="Times New Roman"/>
          <w:b/>
          <w:sz w:val="24"/>
          <w:szCs w:val="24"/>
          <w:lang w:val="es-UY"/>
        </w:rPr>
      </w:pPr>
      <w:r w:rsidRPr="00326638">
        <w:rPr>
          <w:rFonts w:ascii="Times New Roman" w:eastAsia="Calibri" w:hAnsi="Times New Roman" w:cs="Times New Roman"/>
          <w:b/>
          <w:sz w:val="24"/>
          <w:szCs w:val="24"/>
          <w:lang w:val="es-UY"/>
        </w:rPr>
        <w:t>VIII)</w:t>
      </w:r>
    </w:p>
    <w:p w:rsidR="007D66B3" w:rsidRPr="00326638" w:rsidRDefault="007D66B3"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b/>
          <w:sz w:val="24"/>
          <w:szCs w:val="24"/>
          <w:lang w:val="es-UY"/>
        </w:rPr>
        <w:tab/>
      </w:r>
      <w:r w:rsidRPr="00326638">
        <w:rPr>
          <w:rFonts w:ascii="Times New Roman" w:eastAsia="Calibri" w:hAnsi="Times New Roman" w:cs="Times New Roman"/>
          <w:sz w:val="24"/>
          <w:szCs w:val="24"/>
          <w:lang w:val="es-UY"/>
        </w:rPr>
        <w:t>En supuesto de colisión entre reglas y principios, priorizan las reglas a los principios.</w:t>
      </w:r>
    </w:p>
    <w:p w:rsidR="007D66B3" w:rsidRPr="00326638" w:rsidRDefault="007D66B3" w:rsidP="00326638">
      <w:pPr>
        <w:spacing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lang w:val="es-UY"/>
        </w:rPr>
        <w:lastRenderedPageBreak/>
        <w:tab/>
      </w:r>
      <w:r w:rsidRPr="00326638">
        <w:rPr>
          <w:rFonts w:ascii="Times New Roman" w:eastAsia="Calibri" w:hAnsi="Times New Roman" w:cs="Times New Roman"/>
          <w:sz w:val="24"/>
          <w:szCs w:val="24"/>
        </w:rPr>
        <w:t>El legislador puede, sin dudas razonables, en soluciones particulares, dictar reglas que desconozcan o contradigan las que emerjan de los principios que puedan resultan incidentes, los que resultan excluidos en mérito al texto legal.</w:t>
      </w:r>
    </w:p>
    <w:p w:rsidR="007D66B3" w:rsidRPr="00326638" w:rsidRDefault="007D66B3"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ab/>
      </w:r>
      <w:r w:rsidRPr="00326638">
        <w:rPr>
          <w:rFonts w:ascii="Times New Roman" w:eastAsia="Calibri" w:hAnsi="Times New Roman" w:cs="Times New Roman"/>
          <w:sz w:val="24"/>
          <w:szCs w:val="24"/>
          <w:lang w:val="es-UY"/>
        </w:rPr>
        <w:t>Como expresara Julius von Kirchmann: “Tres palabras rectificadoras del legislador y bibliotecas enteras se convierten en maculatura”</w:t>
      </w:r>
      <w:r w:rsidRPr="00326638">
        <w:rPr>
          <w:rFonts w:ascii="Times New Roman" w:eastAsia="Calibri" w:hAnsi="Times New Roman" w:cs="Times New Roman"/>
          <w:sz w:val="24"/>
          <w:szCs w:val="24"/>
          <w:vertAlign w:val="superscript"/>
          <w:lang w:val="es-UY"/>
        </w:rPr>
        <w:footnoteReference w:id="88"/>
      </w:r>
      <w:r w:rsidRPr="00326638">
        <w:rPr>
          <w:rFonts w:ascii="Times New Roman" w:eastAsia="Calibri" w:hAnsi="Times New Roman" w:cs="Times New Roman"/>
          <w:sz w:val="24"/>
          <w:szCs w:val="24"/>
          <w:lang w:val="es-UY"/>
        </w:rPr>
        <w:t>.</w:t>
      </w:r>
    </w:p>
    <w:p w:rsidR="007D66B3" w:rsidRPr="00326638" w:rsidRDefault="007D66B3"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 xml:space="preserve">La regla contraria al principio actuaría, en el supuesto, como </w:t>
      </w:r>
      <w:r w:rsidRPr="00326638">
        <w:rPr>
          <w:rFonts w:ascii="Times New Roman" w:eastAsia="Calibri" w:hAnsi="Times New Roman" w:cs="Times New Roman"/>
          <w:i/>
          <w:sz w:val="24"/>
          <w:szCs w:val="24"/>
          <w:lang w:val="es-UY"/>
        </w:rPr>
        <w:t>lex specialis</w:t>
      </w:r>
      <w:r w:rsidRPr="00326638">
        <w:rPr>
          <w:rFonts w:ascii="Times New Roman" w:eastAsia="Calibri" w:hAnsi="Times New Roman" w:cs="Times New Roman"/>
          <w:sz w:val="24"/>
          <w:szCs w:val="24"/>
          <w:lang w:val="es-UY"/>
        </w:rPr>
        <w:t xml:space="preserve">, frente al principio que operaría como </w:t>
      </w:r>
      <w:r w:rsidRPr="00326638">
        <w:rPr>
          <w:rFonts w:ascii="Times New Roman" w:eastAsia="Calibri" w:hAnsi="Times New Roman" w:cs="Times New Roman"/>
          <w:i/>
          <w:sz w:val="24"/>
          <w:szCs w:val="24"/>
          <w:lang w:val="es-UY"/>
        </w:rPr>
        <w:t>lex generalis</w:t>
      </w:r>
      <w:r w:rsidRPr="00326638">
        <w:rPr>
          <w:rFonts w:ascii="Times New Roman" w:eastAsia="Calibri" w:hAnsi="Times New Roman" w:cs="Times New Roman"/>
          <w:sz w:val="24"/>
          <w:szCs w:val="24"/>
          <w:lang w:val="es-UY"/>
        </w:rPr>
        <w:t>.</w:t>
      </w:r>
    </w:p>
    <w:p w:rsidR="007D66B3" w:rsidRPr="00326638" w:rsidRDefault="007D66B3"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En este sentido, enseña  Peyrano: “… negamos enfáticamente, que el órgano jurisdiccional pueda arrogarse siempre y en cualquier hipótesis la facultad discrecional de hacer prevalecer la vigencia de un principio procesal sobre el expreso texto de la ley”</w:t>
      </w:r>
      <w:r w:rsidRPr="00326638">
        <w:rPr>
          <w:rFonts w:ascii="Times New Roman" w:eastAsia="Calibri" w:hAnsi="Times New Roman" w:cs="Times New Roman"/>
          <w:sz w:val="24"/>
          <w:szCs w:val="24"/>
          <w:vertAlign w:val="superscript"/>
          <w:lang w:val="es-UY"/>
        </w:rPr>
        <w:footnoteReference w:id="89"/>
      </w:r>
      <w:r w:rsidRPr="00326638">
        <w:rPr>
          <w:rFonts w:ascii="Times New Roman" w:eastAsia="Calibri" w:hAnsi="Times New Roman" w:cs="Times New Roman"/>
          <w:sz w:val="24"/>
          <w:szCs w:val="24"/>
          <w:lang w:val="es-UY"/>
        </w:rPr>
        <w:t xml:space="preserve">. </w:t>
      </w:r>
    </w:p>
    <w:p w:rsidR="007D66B3" w:rsidRPr="00326638" w:rsidRDefault="007D66B3" w:rsidP="00326638">
      <w:pPr>
        <w:spacing w:after="200" w:line="360" w:lineRule="auto"/>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Y más adelante: “… entendemos que…, los principios generales del proceso civil no pueden obstaculizar el imperio de una norma adjetiva explícita. Cabe acotar que autores de la talla de Couture, aparentemente se habrían pronunciado por la prevalencia indiscriminada del principio procesal sobre la norma que lo contradice. Creemos que tales opiniones deben ponderarse con reserva, puesto que se las ha vertido de manera incidental y en ocasión de tratar cuestiones vinculadas sólo tangencialmente sobre el punto”</w:t>
      </w:r>
      <w:r w:rsidRPr="00326638">
        <w:rPr>
          <w:rFonts w:ascii="Times New Roman" w:eastAsia="Calibri" w:hAnsi="Times New Roman" w:cs="Times New Roman"/>
          <w:sz w:val="24"/>
          <w:szCs w:val="24"/>
          <w:vertAlign w:val="superscript"/>
        </w:rPr>
        <w:footnoteReference w:id="90"/>
      </w:r>
      <w:r w:rsidRPr="00326638">
        <w:rPr>
          <w:rFonts w:ascii="Times New Roman" w:eastAsia="Calibri" w:hAnsi="Times New Roman" w:cs="Times New Roman"/>
          <w:sz w:val="24"/>
          <w:szCs w:val="24"/>
        </w:rPr>
        <w:t>.</w:t>
      </w:r>
    </w:p>
    <w:p w:rsidR="007D66B3" w:rsidRPr="00326638" w:rsidRDefault="007D66B3"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ab/>
        <w:t xml:space="preserve">En el mismo sentido, Gamarra </w:t>
      </w:r>
      <w:r w:rsidRPr="00326638">
        <w:rPr>
          <w:rFonts w:ascii="Times New Roman" w:eastAsia="Calibri" w:hAnsi="Times New Roman" w:cs="Times New Roman"/>
          <w:sz w:val="24"/>
          <w:szCs w:val="24"/>
          <w:lang w:val="es-UY"/>
        </w:rPr>
        <w:t>destaca  la prevalencia de las reglas sobre los principios y que el juez no puede suplir la ley con los principios</w:t>
      </w:r>
      <w:r w:rsidRPr="00326638">
        <w:rPr>
          <w:rFonts w:ascii="Times New Roman" w:eastAsia="Calibri" w:hAnsi="Times New Roman" w:cs="Times New Roman"/>
          <w:sz w:val="24"/>
          <w:szCs w:val="24"/>
          <w:vertAlign w:val="superscript"/>
          <w:lang w:val="es-UY"/>
        </w:rPr>
        <w:footnoteReference w:id="91"/>
      </w:r>
      <w:r w:rsidRPr="00326638">
        <w:rPr>
          <w:rFonts w:ascii="Times New Roman" w:eastAsia="Calibri" w:hAnsi="Times New Roman" w:cs="Times New Roman"/>
          <w:sz w:val="24"/>
          <w:szCs w:val="24"/>
          <w:lang w:val="es-UY"/>
        </w:rPr>
        <w:t>.</w:t>
      </w:r>
    </w:p>
    <w:p w:rsidR="007D66B3" w:rsidRPr="00326638" w:rsidRDefault="007D66B3" w:rsidP="00326638">
      <w:pPr>
        <w:spacing w:after="200" w:line="360" w:lineRule="auto"/>
        <w:contextualSpacing/>
        <w:jc w:val="center"/>
        <w:rPr>
          <w:rFonts w:ascii="Times New Roman" w:eastAsia="Calibri" w:hAnsi="Times New Roman" w:cs="Times New Roman"/>
          <w:b/>
          <w:sz w:val="24"/>
          <w:szCs w:val="24"/>
          <w:lang w:val="es-UY"/>
        </w:rPr>
      </w:pPr>
      <w:r w:rsidRPr="00326638">
        <w:rPr>
          <w:rFonts w:ascii="Times New Roman" w:eastAsia="Calibri" w:hAnsi="Times New Roman" w:cs="Times New Roman"/>
          <w:b/>
          <w:sz w:val="24"/>
          <w:szCs w:val="24"/>
          <w:lang w:val="es-UY"/>
        </w:rPr>
        <w:t>IX)</w:t>
      </w:r>
    </w:p>
    <w:p w:rsidR="00C918A7" w:rsidRPr="00326638" w:rsidRDefault="007D66B3" w:rsidP="00326638">
      <w:pPr>
        <w:spacing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lang w:val="es-UY"/>
        </w:rPr>
        <w:t>En caso de colisión entre principios</w:t>
      </w:r>
      <w:r w:rsidR="00C918A7" w:rsidRPr="00326638">
        <w:rPr>
          <w:rFonts w:ascii="Times New Roman" w:eastAsia="Calibri" w:hAnsi="Times New Roman" w:cs="Times New Roman"/>
          <w:sz w:val="24"/>
          <w:szCs w:val="24"/>
          <w:lang w:val="es-UY"/>
        </w:rPr>
        <w:t xml:space="preserve">, </w:t>
      </w:r>
      <w:r w:rsidR="00C918A7" w:rsidRPr="00326638">
        <w:rPr>
          <w:rFonts w:ascii="Times New Roman" w:eastAsia="Calibri" w:hAnsi="Times New Roman" w:cs="Times New Roman"/>
          <w:sz w:val="24"/>
          <w:szCs w:val="24"/>
        </w:rPr>
        <w:t xml:space="preserve">la doctrina procesal patrocina un criterio que resulta   adecuado y que tiene que ver con el grado de abstracción de los principios involucrados, prefiriendo aquél que tiene el grado menor. </w:t>
      </w:r>
    </w:p>
    <w:p w:rsidR="00C918A7" w:rsidRPr="00326638" w:rsidRDefault="00C918A7"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Se reconoce que la solución de este tipo de problemas depende en grado sumo de las circunstancias de hecho que los rodean.</w:t>
      </w:r>
    </w:p>
    <w:p w:rsidR="00C918A7" w:rsidRPr="00326638" w:rsidRDefault="00C918A7"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Se postula, para quienes ubican principios generales y consecuenciales (éstos son aquellos que constituyen una derivación circunstanciada de otro general), que se priorice el consecuencial.</w:t>
      </w:r>
    </w:p>
    <w:p w:rsidR="00C918A7" w:rsidRPr="00326638" w:rsidRDefault="00C918A7"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Aun cuando no se participe de este criterio de clasificación, la idea resulta igualmente aplicable considerando el tema desde el grado de abstracción, ya que puede </w:t>
      </w:r>
      <w:r w:rsidRPr="00326638">
        <w:rPr>
          <w:rFonts w:ascii="Times New Roman" w:eastAsia="Calibri" w:hAnsi="Times New Roman" w:cs="Times New Roman"/>
          <w:sz w:val="24"/>
          <w:szCs w:val="24"/>
        </w:rPr>
        <w:lastRenderedPageBreak/>
        <w:t xml:space="preserve">considerarse al de menor grado “… como una </w:t>
      </w:r>
      <w:r w:rsidRPr="00326638">
        <w:rPr>
          <w:rFonts w:ascii="Times New Roman" w:eastAsia="Calibri" w:hAnsi="Times New Roman" w:cs="Times New Roman"/>
          <w:i/>
          <w:sz w:val="24"/>
          <w:szCs w:val="24"/>
        </w:rPr>
        <w:t>lex specialis</w:t>
      </w:r>
      <w:r w:rsidRPr="00326638">
        <w:rPr>
          <w:rFonts w:ascii="Times New Roman" w:eastAsia="Calibri" w:hAnsi="Times New Roman" w:cs="Times New Roman"/>
          <w:sz w:val="24"/>
          <w:szCs w:val="24"/>
        </w:rPr>
        <w:t xml:space="preserve"> modificatoria o especificatoria de la general”. Representada, en el supuesto por el de mayor grado de abstracción. </w:t>
      </w:r>
    </w:p>
    <w:p w:rsidR="00C918A7" w:rsidRPr="00326638" w:rsidRDefault="00C918A7"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 xml:space="preserve">“… porque puede válidamente suponerse que siendo los principios procesales conceptuaciones logradas luego de una cuidadosa elaboración técnica, los sostenedores de uno de  menor grado de abstracción, que habitualmente aparecen en el firmamento doctrinario </w:t>
      </w:r>
      <w:r w:rsidRPr="00326638">
        <w:rPr>
          <w:rFonts w:ascii="Times New Roman" w:eastAsia="Calibri" w:hAnsi="Times New Roman" w:cs="Times New Roman"/>
          <w:i/>
          <w:sz w:val="24"/>
          <w:szCs w:val="24"/>
        </w:rPr>
        <w:t>a posteriori</w:t>
      </w:r>
      <w:r w:rsidRPr="00326638">
        <w:rPr>
          <w:rFonts w:ascii="Times New Roman" w:eastAsia="Calibri" w:hAnsi="Times New Roman" w:cs="Times New Roman"/>
          <w:sz w:val="24"/>
          <w:szCs w:val="24"/>
        </w:rPr>
        <w:t xml:space="preserve"> de los más amplios, habrán previsto eventuales colisiones entre ellos … y , pese a ello, han estimado beneficioso su formulación y por ende su aplicabilidad”.</w:t>
      </w:r>
    </w:p>
    <w:p w:rsidR="00C918A7" w:rsidRPr="00326638" w:rsidRDefault="00C918A7" w:rsidP="00326638">
      <w:pPr>
        <w:spacing w:after="200" w:line="360" w:lineRule="auto"/>
        <w:ind w:firstLine="708"/>
        <w:contextualSpacing/>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Si se da, lo que se considera sumamente improbable, contradicción entre principios de mismo nivel o grado de abstracción (generales en alguna concepción), la única regla que parece viable es dar prelación al positivizado constitucionalmente</w:t>
      </w:r>
      <w:r w:rsidRPr="00326638">
        <w:rPr>
          <w:rFonts w:ascii="Times New Roman" w:eastAsia="Calibri" w:hAnsi="Times New Roman" w:cs="Times New Roman"/>
          <w:sz w:val="24"/>
          <w:szCs w:val="24"/>
          <w:vertAlign w:val="superscript"/>
        </w:rPr>
        <w:footnoteReference w:id="92"/>
      </w:r>
      <w:r w:rsidRPr="00326638">
        <w:rPr>
          <w:rFonts w:ascii="Times New Roman" w:eastAsia="Calibri" w:hAnsi="Times New Roman" w:cs="Times New Roman"/>
          <w:sz w:val="24"/>
          <w:szCs w:val="24"/>
        </w:rPr>
        <w:t xml:space="preserve"> </w:t>
      </w:r>
      <w:r w:rsidRPr="00326638">
        <w:rPr>
          <w:rFonts w:ascii="Times New Roman" w:eastAsia="Calibri" w:hAnsi="Times New Roman" w:cs="Times New Roman"/>
          <w:sz w:val="24"/>
          <w:szCs w:val="24"/>
          <w:vertAlign w:val="superscript"/>
        </w:rPr>
        <w:footnoteReference w:id="93"/>
      </w:r>
      <w:r w:rsidRPr="00326638">
        <w:rPr>
          <w:rFonts w:ascii="Times New Roman" w:eastAsia="Calibri" w:hAnsi="Times New Roman" w:cs="Times New Roman"/>
          <w:sz w:val="24"/>
          <w:szCs w:val="24"/>
        </w:rPr>
        <w:t>.</w:t>
      </w:r>
    </w:p>
    <w:p w:rsidR="007D66B3" w:rsidRPr="00326638" w:rsidRDefault="00C918A7"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Antes de ahora he cuestionado los criterios de ponderación</w:t>
      </w:r>
      <w:r w:rsidRPr="00326638">
        <w:rPr>
          <w:rStyle w:val="Refdenotaalpie"/>
          <w:rFonts w:ascii="Times New Roman" w:eastAsia="Calibri" w:hAnsi="Times New Roman" w:cs="Times New Roman"/>
          <w:sz w:val="24"/>
          <w:szCs w:val="24"/>
          <w:lang w:val="es-UY"/>
        </w:rPr>
        <w:footnoteReference w:id="94"/>
      </w:r>
      <w:r w:rsidRPr="00326638">
        <w:rPr>
          <w:rFonts w:ascii="Times New Roman" w:eastAsia="Calibri" w:hAnsi="Times New Roman" w:cs="Times New Roman"/>
          <w:sz w:val="24"/>
          <w:szCs w:val="24"/>
          <w:lang w:val="es-UY"/>
        </w:rPr>
        <w:t>.</w:t>
      </w:r>
    </w:p>
    <w:p w:rsidR="004641ED" w:rsidRPr="00326638" w:rsidRDefault="004641ED" w:rsidP="00326638">
      <w:pPr>
        <w:spacing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G</w:t>
      </w:r>
      <w:r w:rsidR="00C918A7" w:rsidRPr="00326638">
        <w:rPr>
          <w:rFonts w:ascii="Times New Roman" w:eastAsia="Calibri" w:hAnsi="Times New Roman" w:cs="Times New Roman"/>
          <w:sz w:val="24"/>
          <w:szCs w:val="24"/>
          <w:lang w:val="es-UY"/>
        </w:rPr>
        <w:t>losar</w:t>
      </w:r>
      <w:r w:rsidRPr="00326638">
        <w:rPr>
          <w:rFonts w:ascii="Times New Roman" w:eastAsia="Calibri" w:hAnsi="Times New Roman" w:cs="Times New Roman"/>
          <w:sz w:val="24"/>
          <w:szCs w:val="24"/>
          <w:lang w:val="es-UY"/>
        </w:rPr>
        <w:t>é</w:t>
      </w:r>
      <w:r w:rsidR="00C918A7" w:rsidRPr="00326638">
        <w:rPr>
          <w:rFonts w:ascii="Times New Roman" w:eastAsia="Calibri" w:hAnsi="Times New Roman" w:cs="Times New Roman"/>
          <w:sz w:val="24"/>
          <w:szCs w:val="24"/>
          <w:lang w:val="es-UY"/>
        </w:rPr>
        <w:t xml:space="preserve"> la opinión de Ferrajoli, quien controvierte duramente el criterio de la ponderación. “De hecho, si se sostiene que los jueces no deben limitarse a interpretar las normas de derecho positivo, sino que también están habilitados para crear ellos mismos normas, aunque sólo sea a través de la ponderación de los principios, entonces resulta anulada la separación de poderes. Y en tiempos como los que corren –de creciente tensión entre  poder político y poder judicial y de falta de tolerancia del primero a los controles de legalidad ejercitados por el segundo-, la teorización de una semejante potestad normativa de los jueces provoca el riesgo de ofrecer un argumento potente en favor de su investidura política, a través de la elección o, peor todavía, de su colocación bajo la </w:t>
      </w:r>
      <w:r w:rsidR="00C918A7" w:rsidRPr="00326638">
        <w:rPr>
          <w:rFonts w:ascii="Times New Roman" w:eastAsia="Calibri" w:hAnsi="Times New Roman" w:cs="Times New Roman"/>
          <w:sz w:val="24"/>
          <w:szCs w:val="24"/>
          <w:lang w:val="es-UY"/>
        </w:rPr>
        <w:lastRenderedPageBreak/>
        <w:t>dependencia del poder ejecutivo”</w:t>
      </w:r>
      <w:r w:rsidR="00C918A7" w:rsidRPr="00326638">
        <w:rPr>
          <w:rFonts w:ascii="Times New Roman" w:eastAsia="Calibri" w:hAnsi="Times New Roman" w:cs="Times New Roman"/>
          <w:sz w:val="24"/>
          <w:szCs w:val="24"/>
          <w:vertAlign w:val="superscript"/>
          <w:lang w:val="es-UY"/>
        </w:rPr>
        <w:footnoteReference w:id="95"/>
      </w:r>
      <w:r w:rsidR="00C918A7" w:rsidRPr="00326638">
        <w:rPr>
          <w:rFonts w:ascii="Times New Roman" w:eastAsia="Calibri" w:hAnsi="Times New Roman" w:cs="Times New Roman"/>
          <w:sz w:val="24"/>
          <w:szCs w:val="24"/>
          <w:lang w:val="es-UY"/>
        </w:rPr>
        <w:t>. Y también: “La ponderación…es una operación jurídicamente incompatible con  el principio de legalidad y con la lógica del estado de derecho”… “Uno de los argumentos habitualmente usado en apoyo de la ponderación es el realista, conforme al cual ponderación es, precisamente, lo que hacen los jueces. Admitiendo, sólo como hipótesis, que (y en todo caso en la medida en que) fuera ciertamente eso lo que hacen los jueces –y no la normal interpretación sistemática del complejo conjunto de las normas de que se compone cualquier ordenamiento- la teoría  de la ponderación serviría para legitimar y favorecer esa práctica anómala e impropia al mismo tiempo”</w:t>
      </w:r>
      <w:r w:rsidR="00C918A7" w:rsidRPr="00326638">
        <w:rPr>
          <w:rFonts w:ascii="Times New Roman" w:eastAsia="Calibri" w:hAnsi="Times New Roman" w:cs="Times New Roman"/>
          <w:sz w:val="24"/>
          <w:szCs w:val="24"/>
          <w:vertAlign w:val="superscript"/>
          <w:lang w:val="es-UY"/>
        </w:rPr>
        <w:footnoteReference w:id="96"/>
      </w:r>
      <w:r w:rsidR="00C918A7" w:rsidRPr="00326638">
        <w:rPr>
          <w:rFonts w:ascii="Times New Roman" w:eastAsia="Calibri" w:hAnsi="Times New Roman" w:cs="Times New Roman"/>
          <w:sz w:val="24"/>
          <w:szCs w:val="24"/>
          <w:lang w:val="es-UY"/>
        </w:rPr>
        <w:t xml:space="preserve">. Y más adelante: “Dado que conciben los derechos constitucionalmente establecidos como </w:t>
      </w:r>
      <w:r w:rsidR="00C918A7" w:rsidRPr="00326638">
        <w:rPr>
          <w:rFonts w:ascii="Times New Roman" w:eastAsia="Calibri" w:hAnsi="Times New Roman" w:cs="Times New Roman"/>
          <w:i/>
          <w:sz w:val="24"/>
          <w:szCs w:val="24"/>
          <w:lang w:val="es-UY"/>
        </w:rPr>
        <w:t xml:space="preserve">principios </w:t>
      </w:r>
      <w:r w:rsidR="00C918A7" w:rsidRPr="00326638">
        <w:rPr>
          <w:rFonts w:ascii="Times New Roman" w:eastAsia="Calibri" w:hAnsi="Times New Roman" w:cs="Times New Roman"/>
          <w:sz w:val="24"/>
          <w:szCs w:val="24"/>
          <w:lang w:val="es-UY"/>
        </w:rPr>
        <w:t xml:space="preserve">objeto de </w:t>
      </w:r>
      <w:r w:rsidR="00C918A7" w:rsidRPr="00326638">
        <w:rPr>
          <w:rFonts w:ascii="Times New Roman" w:eastAsia="Calibri" w:hAnsi="Times New Roman" w:cs="Times New Roman"/>
          <w:i/>
          <w:sz w:val="24"/>
          <w:szCs w:val="24"/>
          <w:lang w:val="es-UY"/>
        </w:rPr>
        <w:t xml:space="preserve">ponderación, </w:t>
      </w:r>
      <w:r w:rsidR="00C918A7" w:rsidRPr="00326638">
        <w:rPr>
          <w:rFonts w:ascii="Times New Roman" w:eastAsia="Calibri" w:hAnsi="Times New Roman" w:cs="Times New Roman"/>
          <w:sz w:val="24"/>
          <w:szCs w:val="24"/>
          <w:lang w:val="es-UY"/>
        </w:rPr>
        <w:t xml:space="preserve"> y no como </w:t>
      </w:r>
      <w:r w:rsidR="00C918A7" w:rsidRPr="00326638">
        <w:rPr>
          <w:rFonts w:ascii="Times New Roman" w:eastAsia="Calibri" w:hAnsi="Times New Roman" w:cs="Times New Roman"/>
          <w:i/>
          <w:sz w:val="24"/>
          <w:szCs w:val="24"/>
          <w:lang w:val="es-UY"/>
        </w:rPr>
        <w:t>reglas</w:t>
      </w:r>
      <w:r w:rsidR="00C918A7" w:rsidRPr="00326638">
        <w:rPr>
          <w:rFonts w:ascii="Times New Roman" w:eastAsia="Calibri" w:hAnsi="Times New Roman" w:cs="Times New Roman"/>
          <w:sz w:val="24"/>
          <w:szCs w:val="24"/>
          <w:lang w:val="es-UY"/>
        </w:rPr>
        <w:t xml:space="preserve"> objeto de </w:t>
      </w:r>
      <w:r w:rsidR="00C918A7" w:rsidRPr="00326638">
        <w:rPr>
          <w:rFonts w:ascii="Times New Roman" w:eastAsia="Calibri" w:hAnsi="Times New Roman" w:cs="Times New Roman"/>
          <w:i/>
          <w:sz w:val="24"/>
          <w:szCs w:val="24"/>
          <w:lang w:val="es-UY"/>
        </w:rPr>
        <w:t>aplicación</w:t>
      </w:r>
      <w:r w:rsidR="00C918A7" w:rsidRPr="00326638">
        <w:rPr>
          <w:rFonts w:ascii="Times New Roman" w:eastAsia="Calibri" w:hAnsi="Times New Roman" w:cs="Times New Roman"/>
          <w:sz w:val="24"/>
          <w:szCs w:val="24"/>
          <w:lang w:val="es-UY"/>
        </w:rPr>
        <w:t xml:space="preserve">, promueven un activismo judicial que comporta el riesgo de disolverse en una profunda desnaturalización de la jurisdicción, que tales doctrinas convierten en una fuente de derecho”…. “La idea de que las sentencias sean fuente contradice el principio de legalidad, la sujeción de los jueces </w:t>
      </w:r>
      <w:r w:rsidR="00C918A7" w:rsidRPr="00326638">
        <w:rPr>
          <w:rFonts w:ascii="Times New Roman" w:eastAsia="Calibri" w:hAnsi="Times New Roman" w:cs="Times New Roman"/>
          <w:i/>
          <w:sz w:val="24"/>
          <w:szCs w:val="24"/>
          <w:lang w:val="es-UY"/>
        </w:rPr>
        <w:t>solamente</w:t>
      </w:r>
      <w:r w:rsidR="00C918A7" w:rsidRPr="00326638">
        <w:rPr>
          <w:rFonts w:ascii="Times New Roman" w:eastAsia="Calibri" w:hAnsi="Times New Roman" w:cs="Times New Roman"/>
          <w:sz w:val="24"/>
          <w:szCs w:val="24"/>
          <w:lang w:val="es-UY"/>
        </w:rPr>
        <w:t xml:space="preserve"> a la ley y, por eso, la separación de poderes: en síntesis, la propia sustancia del estado de derecho, al menos según ha sido estructurado en los sistemas del </w:t>
      </w:r>
      <w:r w:rsidR="00C918A7" w:rsidRPr="00326638">
        <w:rPr>
          <w:rFonts w:ascii="Times New Roman" w:eastAsia="Calibri" w:hAnsi="Times New Roman" w:cs="Times New Roman"/>
          <w:i/>
          <w:sz w:val="24"/>
          <w:szCs w:val="24"/>
          <w:lang w:val="es-UY"/>
        </w:rPr>
        <w:t>civil law</w:t>
      </w:r>
      <w:r w:rsidR="00C918A7" w:rsidRPr="00326638">
        <w:rPr>
          <w:rFonts w:ascii="Times New Roman" w:eastAsia="Calibri" w:hAnsi="Times New Roman" w:cs="Times New Roman"/>
          <w:sz w:val="24"/>
          <w:szCs w:val="24"/>
          <w:lang w:val="es-UY"/>
        </w:rPr>
        <w:t>”</w:t>
      </w:r>
      <w:r w:rsidR="00C918A7" w:rsidRPr="00326638">
        <w:rPr>
          <w:rFonts w:ascii="Times New Roman" w:eastAsia="Calibri" w:hAnsi="Times New Roman" w:cs="Times New Roman"/>
          <w:sz w:val="24"/>
          <w:szCs w:val="24"/>
          <w:vertAlign w:val="superscript"/>
          <w:lang w:val="es-UY"/>
        </w:rPr>
        <w:footnoteReference w:id="97"/>
      </w:r>
      <w:r w:rsidR="00C918A7" w:rsidRPr="00326638">
        <w:rPr>
          <w:rFonts w:ascii="Times New Roman" w:eastAsia="Calibri" w:hAnsi="Times New Roman" w:cs="Times New Roman"/>
          <w:sz w:val="24"/>
          <w:szCs w:val="24"/>
          <w:lang w:val="es-UY"/>
        </w:rPr>
        <w:t xml:space="preserve"> </w:t>
      </w:r>
      <w:r w:rsidR="00C918A7" w:rsidRPr="00326638">
        <w:rPr>
          <w:rFonts w:ascii="Times New Roman" w:eastAsia="Calibri" w:hAnsi="Times New Roman" w:cs="Times New Roman"/>
          <w:sz w:val="24"/>
          <w:szCs w:val="24"/>
          <w:vertAlign w:val="superscript"/>
          <w:lang w:val="es-UY"/>
        </w:rPr>
        <w:footnoteReference w:id="98"/>
      </w:r>
      <w:r w:rsidR="00C918A7" w:rsidRPr="00326638">
        <w:rPr>
          <w:rFonts w:ascii="Times New Roman" w:eastAsia="Calibri" w:hAnsi="Times New Roman" w:cs="Times New Roman"/>
          <w:sz w:val="24"/>
          <w:szCs w:val="24"/>
          <w:lang w:val="es-UY"/>
        </w:rPr>
        <w:t>.</w:t>
      </w:r>
    </w:p>
    <w:p w:rsidR="00E2338E" w:rsidRPr="00326638" w:rsidRDefault="00E2338E" w:rsidP="00326638">
      <w:pPr>
        <w:spacing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rPr>
        <w:t>Como bien expresa Zuleta, no se ha inventado aún una balanza para pesar principios ni existe una operación generalmente aceptada y públicamente controlable que permita determinar unívocamente el peso relativo de los principios en juego, por lo que la decisión no deja de ser discrecional</w:t>
      </w:r>
      <w:r w:rsidRPr="00326638">
        <w:rPr>
          <w:rStyle w:val="Refdenotaalpie"/>
          <w:rFonts w:ascii="Times New Roman" w:eastAsia="Calibri" w:hAnsi="Times New Roman" w:cs="Times New Roman"/>
          <w:sz w:val="24"/>
          <w:szCs w:val="24"/>
        </w:rPr>
        <w:footnoteReference w:id="99"/>
      </w:r>
      <w:r w:rsidRPr="00326638">
        <w:rPr>
          <w:rFonts w:ascii="Times New Roman" w:eastAsia="Calibri" w:hAnsi="Times New Roman" w:cs="Times New Roman"/>
          <w:sz w:val="24"/>
          <w:szCs w:val="24"/>
        </w:rPr>
        <w:t>.</w:t>
      </w:r>
    </w:p>
    <w:p w:rsidR="00E800A1" w:rsidRPr="00326638" w:rsidRDefault="00456745" w:rsidP="00326638">
      <w:pPr>
        <w:spacing w:after="0" w:line="360" w:lineRule="auto"/>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Ruiz Manero, que participa de la teoría de la ponderación, encuentra, en su formulación stándard deja sin resolver dos problemas: a) el de las colisiones irresolubles de principios y b)  el de los principios imponderables.</w:t>
      </w:r>
      <w:r w:rsidRPr="00326638">
        <w:rPr>
          <w:rFonts w:ascii="Times New Roman" w:eastAsia="Calibri" w:hAnsi="Times New Roman" w:cs="Times New Roman"/>
          <w:sz w:val="24"/>
          <w:szCs w:val="24"/>
        </w:rPr>
        <w:tab/>
      </w:r>
    </w:p>
    <w:p w:rsidR="00456745" w:rsidRPr="00326638" w:rsidRDefault="00456745" w:rsidP="00326638">
      <w:pPr>
        <w:spacing w:after="0" w:line="360" w:lineRule="auto"/>
        <w:ind w:firstLine="708"/>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lastRenderedPageBreak/>
        <w:t>Ejemplo del primer supuesto</w:t>
      </w:r>
      <w:r w:rsidR="00E2338E" w:rsidRPr="00326638">
        <w:rPr>
          <w:rFonts w:ascii="Times New Roman" w:eastAsia="Calibri" w:hAnsi="Times New Roman" w:cs="Times New Roman"/>
          <w:sz w:val="24"/>
          <w:szCs w:val="24"/>
        </w:rPr>
        <w:t xml:space="preserve">, que provoca una tensión irresoluble de principios, </w:t>
      </w:r>
      <w:r w:rsidRPr="00326638">
        <w:rPr>
          <w:rFonts w:ascii="Times New Roman" w:eastAsia="Calibri" w:hAnsi="Times New Roman" w:cs="Times New Roman"/>
          <w:sz w:val="24"/>
          <w:szCs w:val="24"/>
        </w:rPr>
        <w:t xml:space="preserve"> podría ser el caso en que una ley violara en forma clara la libertad de expresión  y el Tribunal Constitucional resolviera –también de forma equivocada – que esa ley es perfectamente constitucional. Las sentencias recaídas en procedimientos de inconstitucionalidad tienen valor de cosa juzgada y vinculan a todos los poderes públicos y producen efectos generales; pero, por otra parte, el Tribunal Constitucional no tiene permiso para ignorar la Constitución. Deriva de allí que n o hay una regla que determine cómo se debe solucionar el conflicto entre el principio de obediencia a las autoridades normativas y los principios constitucionales sustantivos.</w:t>
      </w:r>
      <w:r w:rsidR="00E800A1" w:rsidRPr="00326638">
        <w:rPr>
          <w:rFonts w:ascii="Times New Roman" w:eastAsia="Calibri" w:hAnsi="Times New Roman" w:cs="Times New Roman"/>
          <w:sz w:val="24"/>
          <w:szCs w:val="24"/>
        </w:rPr>
        <w:t xml:space="preserve"> Y entonces realiza una propuesta: si la vulneración de los derechos fundamentales no es muy grave, entonces hay que obedecer la sentencia de la autoridad definitiva; si la vulneración de los derechos fundamentales es muy grave, entonces la sentencia debe ser desobedecida.</w:t>
      </w:r>
    </w:p>
    <w:p w:rsidR="00456745" w:rsidRPr="00326638" w:rsidRDefault="00456745" w:rsidP="00326638">
      <w:pPr>
        <w:spacing w:after="0" w:line="360" w:lineRule="auto"/>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El segundo tiene que ver con principios que no entran en la dinámica de la ponderación y pone como ejemplo el principio de respecto a la dignidad humana que es imponderable, no está sujeto a ponderación en cuya virtud  pudiera ser desplazado por algún otro principio concurrente.</w:t>
      </w:r>
    </w:p>
    <w:p w:rsidR="00E800A1" w:rsidRPr="00326638" w:rsidRDefault="00456745" w:rsidP="00326638">
      <w:pPr>
        <w:spacing w:after="0" w:line="360" w:lineRule="auto"/>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 xml:space="preserve">Y propone para solucionar el </w:t>
      </w:r>
      <w:r w:rsidRPr="00326638">
        <w:rPr>
          <w:rFonts w:ascii="Times New Roman" w:eastAsia="Calibri" w:hAnsi="Times New Roman" w:cs="Times New Roman"/>
          <w:i/>
          <w:sz w:val="24"/>
          <w:szCs w:val="24"/>
        </w:rPr>
        <w:t xml:space="preserve">thema </w:t>
      </w:r>
      <w:r w:rsidRPr="00326638">
        <w:rPr>
          <w:rFonts w:ascii="Times New Roman" w:eastAsia="Calibri" w:hAnsi="Times New Roman" w:cs="Times New Roman"/>
          <w:sz w:val="24"/>
          <w:szCs w:val="24"/>
        </w:rPr>
        <w:t xml:space="preserve">ocurrir a lo que en filosofía moral se designa como concepto </w:t>
      </w:r>
      <w:r w:rsidRPr="00326638">
        <w:rPr>
          <w:rFonts w:ascii="Times New Roman" w:eastAsia="Calibri" w:hAnsi="Times New Roman" w:cs="Times New Roman"/>
          <w:i/>
          <w:sz w:val="24"/>
          <w:szCs w:val="24"/>
        </w:rPr>
        <w:t>ligero</w:t>
      </w:r>
      <w:r w:rsidRPr="00326638">
        <w:rPr>
          <w:rFonts w:ascii="Times New Roman" w:eastAsia="Calibri" w:hAnsi="Times New Roman" w:cs="Times New Roman"/>
          <w:sz w:val="24"/>
          <w:szCs w:val="24"/>
        </w:rPr>
        <w:t xml:space="preserve">, que son los que sólo tienen contenido valorativo, como la dignidad humana que es imponderable y que da fundamento a los principios </w:t>
      </w:r>
      <w:r w:rsidRPr="00326638">
        <w:rPr>
          <w:rFonts w:ascii="Times New Roman" w:eastAsia="Calibri" w:hAnsi="Times New Roman" w:cs="Times New Roman"/>
          <w:i/>
          <w:sz w:val="24"/>
          <w:szCs w:val="24"/>
        </w:rPr>
        <w:t>densos</w:t>
      </w:r>
      <w:r w:rsidRPr="00326638">
        <w:rPr>
          <w:rFonts w:ascii="Times New Roman" w:eastAsia="Calibri" w:hAnsi="Times New Roman" w:cs="Times New Roman"/>
          <w:sz w:val="24"/>
          <w:szCs w:val="24"/>
        </w:rPr>
        <w:t>. Éstos poseen contenidos valorativos y descriptivos –</w:t>
      </w:r>
      <w:r w:rsidRPr="00326638">
        <w:rPr>
          <w:rFonts w:ascii="Times New Roman" w:eastAsia="Calibri" w:hAnsi="Times New Roman" w:cs="Times New Roman"/>
          <w:i/>
          <w:sz w:val="24"/>
          <w:szCs w:val="24"/>
        </w:rPr>
        <w:t xml:space="preserve">v. gr. </w:t>
      </w:r>
      <w:r w:rsidRPr="00326638">
        <w:rPr>
          <w:rFonts w:ascii="Times New Roman" w:eastAsia="Calibri" w:hAnsi="Times New Roman" w:cs="Times New Roman"/>
          <w:sz w:val="24"/>
          <w:szCs w:val="24"/>
        </w:rPr>
        <w:t>la libertad de expresión o el derecho a la intimidad de las personas- que están sujetos a valoración</w:t>
      </w:r>
      <w:r w:rsidRPr="00326638">
        <w:rPr>
          <w:rFonts w:ascii="Times New Roman" w:eastAsia="Calibri" w:hAnsi="Times New Roman" w:cs="Times New Roman"/>
          <w:sz w:val="24"/>
          <w:szCs w:val="24"/>
          <w:vertAlign w:val="superscript"/>
        </w:rPr>
        <w:footnoteReference w:id="100"/>
      </w:r>
      <w:r w:rsidRPr="00326638">
        <w:rPr>
          <w:rFonts w:ascii="Times New Roman" w:eastAsia="Calibri" w:hAnsi="Times New Roman" w:cs="Times New Roman"/>
          <w:sz w:val="24"/>
          <w:szCs w:val="24"/>
        </w:rPr>
        <w:t>.</w:t>
      </w:r>
    </w:p>
    <w:p w:rsidR="00456745" w:rsidRPr="00326638" w:rsidRDefault="00E800A1" w:rsidP="00326638">
      <w:pPr>
        <w:spacing w:after="0" w:line="360" w:lineRule="auto"/>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Con respecto a</w:t>
      </w:r>
      <w:r w:rsidR="00867C60" w:rsidRPr="00326638">
        <w:rPr>
          <w:rFonts w:ascii="Times New Roman" w:eastAsia="Calibri" w:hAnsi="Times New Roman" w:cs="Times New Roman"/>
          <w:sz w:val="24"/>
          <w:szCs w:val="24"/>
        </w:rPr>
        <w:t xml:space="preserve"> </w:t>
      </w:r>
      <w:r w:rsidRPr="00326638">
        <w:rPr>
          <w:rFonts w:ascii="Times New Roman" w:eastAsia="Calibri" w:hAnsi="Times New Roman" w:cs="Times New Roman"/>
          <w:sz w:val="24"/>
          <w:szCs w:val="24"/>
        </w:rPr>
        <w:t>l</w:t>
      </w:r>
      <w:r w:rsidR="00867C60" w:rsidRPr="00326638">
        <w:rPr>
          <w:rFonts w:ascii="Times New Roman" w:eastAsia="Calibri" w:hAnsi="Times New Roman" w:cs="Times New Roman"/>
          <w:sz w:val="24"/>
          <w:szCs w:val="24"/>
        </w:rPr>
        <w:t>a primera</w:t>
      </w:r>
      <w:r w:rsidRPr="00326638">
        <w:rPr>
          <w:rFonts w:ascii="Times New Roman" w:eastAsia="Calibri" w:hAnsi="Times New Roman" w:cs="Times New Roman"/>
          <w:sz w:val="24"/>
          <w:szCs w:val="24"/>
        </w:rPr>
        <w:t xml:space="preserve"> </w:t>
      </w:r>
      <w:r w:rsidRPr="00326638">
        <w:rPr>
          <w:rFonts w:ascii="Times New Roman" w:eastAsia="Calibri" w:hAnsi="Times New Roman" w:cs="Times New Roman"/>
          <w:i/>
          <w:sz w:val="24"/>
          <w:szCs w:val="24"/>
        </w:rPr>
        <w:t>quæstio</w:t>
      </w:r>
      <w:r w:rsidRPr="00326638">
        <w:rPr>
          <w:rFonts w:ascii="Times New Roman" w:eastAsia="Calibri" w:hAnsi="Times New Roman" w:cs="Times New Roman"/>
          <w:sz w:val="24"/>
          <w:szCs w:val="24"/>
        </w:rPr>
        <w:t>, son de recibo las observaciones de</w:t>
      </w:r>
      <w:r w:rsidR="00867C60" w:rsidRPr="00326638">
        <w:rPr>
          <w:rFonts w:ascii="Times New Roman" w:eastAsia="Calibri" w:hAnsi="Times New Roman" w:cs="Times New Roman"/>
          <w:sz w:val="24"/>
          <w:szCs w:val="24"/>
        </w:rPr>
        <w:t xml:space="preserve"> Gaido en múltiples sentidos:</w:t>
      </w:r>
      <w:r w:rsidRPr="00326638">
        <w:rPr>
          <w:rFonts w:ascii="Times New Roman" w:eastAsia="Calibri" w:hAnsi="Times New Roman" w:cs="Times New Roman"/>
          <w:sz w:val="24"/>
          <w:szCs w:val="24"/>
        </w:rPr>
        <w:t xml:space="preserve"> para afirmar si un error es o no grave, bastaría con volver a ponderar, de donde el problema no es en la ponderación sino en la posibilidad misma de conocer cuando se está, de manera cierta, ante un error de este tipo; por lo demás, la noción de autoridad definitiva del Tribunal Constitucional es sólo una alternativa, dado que muchas teorías sostienen que la autoridad definitiva y última es la sociedad civil</w:t>
      </w:r>
      <w:r w:rsidR="00A0383C" w:rsidRPr="00326638">
        <w:rPr>
          <w:rFonts w:ascii="Times New Roman" w:eastAsia="Calibri" w:hAnsi="Times New Roman" w:cs="Times New Roman"/>
          <w:sz w:val="24"/>
          <w:szCs w:val="24"/>
        </w:rPr>
        <w:t xml:space="preserve"> y que la posibilidad de desafiar las acciones y decisiones oficiales vía desobediencia civil constituiría un elemento indispensable de la garantía del imperio de la Ley.</w:t>
      </w:r>
      <w:r w:rsidR="00A0383C" w:rsidRPr="00326638">
        <w:rPr>
          <w:rStyle w:val="Refdenotaalpie"/>
          <w:rFonts w:ascii="Times New Roman" w:eastAsia="Calibri" w:hAnsi="Times New Roman" w:cs="Times New Roman"/>
          <w:sz w:val="24"/>
          <w:szCs w:val="24"/>
        </w:rPr>
        <w:footnoteReference w:id="101"/>
      </w:r>
      <w:r w:rsidR="00A0383C" w:rsidRPr="00326638">
        <w:rPr>
          <w:rFonts w:ascii="Times New Roman" w:eastAsia="Calibri" w:hAnsi="Times New Roman" w:cs="Times New Roman"/>
          <w:sz w:val="24"/>
          <w:szCs w:val="24"/>
        </w:rPr>
        <w:t>.</w:t>
      </w:r>
      <w:r w:rsidR="00456745" w:rsidRPr="00326638">
        <w:rPr>
          <w:rFonts w:ascii="Times New Roman" w:eastAsia="Calibri" w:hAnsi="Times New Roman" w:cs="Times New Roman"/>
          <w:sz w:val="24"/>
          <w:szCs w:val="24"/>
        </w:rPr>
        <w:t xml:space="preserve"> </w:t>
      </w:r>
    </w:p>
    <w:p w:rsidR="00456745" w:rsidRPr="00326638" w:rsidRDefault="00456745" w:rsidP="00326638">
      <w:pPr>
        <w:spacing w:after="0" w:line="360" w:lineRule="auto"/>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lastRenderedPageBreak/>
        <w:tab/>
      </w:r>
      <w:r w:rsidR="00A0383C" w:rsidRPr="00326638">
        <w:rPr>
          <w:rFonts w:ascii="Times New Roman" w:eastAsia="Calibri" w:hAnsi="Times New Roman" w:cs="Times New Roman"/>
          <w:sz w:val="24"/>
          <w:szCs w:val="24"/>
        </w:rPr>
        <w:t xml:space="preserve">En lo que hace al segundo </w:t>
      </w:r>
      <w:r w:rsidR="00A0383C" w:rsidRPr="00326638">
        <w:rPr>
          <w:rFonts w:ascii="Times New Roman" w:eastAsia="Calibri" w:hAnsi="Times New Roman" w:cs="Times New Roman"/>
          <w:i/>
          <w:sz w:val="24"/>
          <w:szCs w:val="24"/>
        </w:rPr>
        <w:t xml:space="preserve">thema </w:t>
      </w:r>
      <w:r w:rsidR="00A0383C" w:rsidRPr="00326638">
        <w:rPr>
          <w:rFonts w:ascii="Times New Roman" w:eastAsia="Calibri" w:hAnsi="Times New Roman" w:cs="Times New Roman"/>
          <w:sz w:val="24"/>
          <w:szCs w:val="24"/>
        </w:rPr>
        <w:t>Zuleta expresa que p</w:t>
      </w:r>
      <w:r w:rsidRPr="00326638">
        <w:rPr>
          <w:rFonts w:ascii="Times New Roman" w:eastAsia="Calibri" w:hAnsi="Times New Roman" w:cs="Times New Roman"/>
          <w:sz w:val="24"/>
          <w:szCs w:val="24"/>
        </w:rPr>
        <w:t>or lo demás si hubiera dos principios que justificaran los mismos derechos fundamental</w:t>
      </w:r>
      <w:r w:rsidR="00A0383C" w:rsidRPr="00326638">
        <w:rPr>
          <w:rFonts w:ascii="Times New Roman" w:eastAsia="Calibri" w:hAnsi="Times New Roman" w:cs="Times New Roman"/>
          <w:sz w:val="24"/>
          <w:szCs w:val="24"/>
        </w:rPr>
        <w:t>es, parece que serían equivalen</w:t>
      </w:r>
      <w:r w:rsidRPr="00326638">
        <w:rPr>
          <w:rFonts w:ascii="Times New Roman" w:eastAsia="Calibri" w:hAnsi="Times New Roman" w:cs="Times New Roman"/>
          <w:sz w:val="24"/>
          <w:szCs w:val="24"/>
        </w:rPr>
        <w:t>tes e indiscernibles. Por otra parte, si justificaran diferentes principios con virtualidad directiva, los que sí pueden ser objeto de ponderación, parece que los principios justificantes también se verían involucrados indirectamente en la ponderación y, por tanto, no serían imponderables</w:t>
      </w:r>
      <w:r w:rsidRPr="00326638">
        <w:rPr>
          <w:rFonts w:ascii="Times New Roman" w:eastAsia="Calibri" w:hAnsi="Times New Roman" w:cs="Times New Roman"/>
          <w:sz w:val="24"/>
          <w:szCs w:val="24"/>
          <w:vertAlign w:val="superscript"/>
        </w:rPr>
        <w:footnoteReference w:id="102"/>
      </w:r>
      <w:r w:rsidRPr="00326638">
        <w:rPr>
          <w:rFonts w:ascii="Times New Roman" w:eastAsia="Calibri" w:hAnsi="Times New Roman" w:cs="Times New Roman"/>
          <w:sz w:val="24"/>
          <w:szCs w:val="24"/>
        </w:rPr>
        <w:t xml:space="preserve">. Más precisamente: si dos principios </w:t>
      </w:r>
      <w:r w:rsidRPr="00326638">
        <w:rPr>
          <w:rFonts w:ascii="Times New Roman" w:eastAsia="Calibri" w:hAnsi="Times New Roman" w:cs="Times New Roman"/>
          <w:i/>
          <w:sz w:val="24"/>
          <w:szCs w:val="24"/>
        </w:rPr>
        <w:t>ligeros</w:t>
      </w:r>
      <w:r w:rsidRPr="00326638">
        <w:rPr>
          <w:rFonts w:ascii="Times New Roman" w:eastAsia="Calibri" w:hAnsi="Times New Roman" w:cs="Times New Roman"/>
          <w:sz w:val="24"/>
          <w:szCs w:val="24"/>
        </w:rPr>
        <w:t xml:space="preserve"> fundamentan diferentes principios </w:t>
      </w:r>
      <w:r w:rsidRPr="00326638">
        <w:rPr>
          <w:rFonts w:ascii="Times New Roman" w:eastAsia="Calibri" w:hAnsi="Times New Roman" w:cs="Times New Roman"/>
          <w:i/>
          <w:sz w:val="24"/>
          <w:szCs w:val="24"/>
        </w:rPr>
        <w:t>densos</w:t>
      </w:r>
      <w:r w:rsidRPr="00326638">
        <w:rPr>
          <w:rFonts w:ascii="Times New Roman" w:eastAsia="Calibri" w:hAnsi="Times New Roman" w:cs="Times New Roman"/>
          <w:sz w:val="24"/>
          <w:szCs w:val="24"/>
        </w:rPr>
        <w:t xml:space="preserve"> que entran en colisión, den la ponderación de éstos los </w:t>
      </w:r>
      <w:r w:rsidRPr="00326638">
        <w:rPr>
          <w:rFonts w:ascii="Times New Roman" w:eastAsia="Calibri" w:hAnsi="Times New Roman" w:cs="Times New Roman"/>
          <w:i/>
          <w:sz w:val="24"/>
          <w:szCs w:val="24"/>
        </w:rPr>
        <w:t xml:space="preserve">ligeros </w:t>
      </w:r>
      <w:r w:rsidRPr="00326638">
        <w:rPr>
          <w:rFonts w:ascii="Times New Roman" w:eastAsia="Calibri" w:hAnsi="Times New Roman" w:cs="Times New Roman"/>
          <w:sz w:val="24"/>
          <w:szCs w:val="24"/>
        </w:rPr>
        <w:t xml:space="preserve"> se involucrarían indirectamente y serían en consecuencia, también ponderables.</w:t>
      </w:r>
    </w:p>
    <w:p w:rsidR="00456745" w:rsidRPr="00326638" w:rsidRDefault="00456745" w:rsidP="00326638">
      <w:pPr>
        <w:spacing w:after="0" w:line="360" w:lineRule="auto"/>
        <w:jc w:val="both"/>
        <w:rPr>
          <w:rFonts w:ascii="Times New Roman" w:eastAsia="Calibri" w:hAnsi="Times New Roman" w:cs="Times New Roman"/>
          <w:sz w:val="24"/>
          <w:szCs w:val="24"/>
        </w:rPr>
      </w:pPr>
      <w:r w:rsidRPr="00326638">
        <w:rPr>
          <w:rFonts w:ascii="Times New Roman" w:eastAsia="Calibri" w:hAnsi="Times New Roman" w:cs="Times New Roman"/>
          <w:sz w:val="24"/>
          <w:szCs w:val="24"/>
        </w:rPr>
        <w:tab/>
        <w:t xml:space="preserve">Velasco por su parte apunta que la misma distinción entre conceptos </w:t>
      </w:r>
      <w:r w:rsidRPr="00326638">
        <w:rPr>
          <w:rFonts w:ascii="Times New Roman" w:eastAsia="Calibri" w:hAnsi="Times New Roman" w:cs="Times New Roman"/>
          <w:i/>
          <w:sz w:val="24"/>
          <w:szCs w:val="24"/>
        </w:rPr>
        <w:t xml:space="preserve"> ligeros </w:t>
      </w:r>
      <w:r w:rsidRPr="00326638">
        <w:rPr>
          <w:rFonts w:ascii="Times New Roman" w:eastAsia="Calibri" w:hAnsi="Times New Roman" w:cs="Times New Roman"/>
          <w:sz w:val="24"/>
          <w:szCs w:val="24"/>
        </w:rPr>
        <w:t xml:space="preserve">y </w:t>
      </w:r>
      <w:r w:rsidRPr="00326638">
        <w:rPr>
          <w:rFonts w:ascii="Times New Roman" w:eastAsia="Calibri" w:hAnsi="Times New Roman" w:cs="Times New Roman"/>
          <w:i/>
          <w:sz w:val="24"/>
          <w:szCs w:val="24"/>
        </w:rPr>
        <w:t>densos</w:t>
      </w:r>
      <w:r w:rsidRPr="00326638">
        <w:rPr>
          <w:rFonts w:ascii="Times New Roman" w:eastAsia="Calibri" w:hAnsi="Times New Roman" w:cs="Times New Roman"/>
          <w:sz w:val="24"/>
          <w:szCs w:val="24"/>
        </w:rPr>
        <w:t xml:space="preserve">, está siendo cuestionada por improductiva en la filosofía moral; señala asimismo que las veces que la dignidad humana ha sido mencionada en la distinción, siempre la ha visto considerada como uno </w:t>
      </w:r>
      <w:r w:rsidRPr="00326638">
        <w:rPr>
          <w:rFonts w:ascii="Times New Roman" w:eastAsia="Calibri" w:hAnsi="Times New Roman" w:cs="Times New Roman"/>
          <w:i/>
          <w:sz w:val="24"/>
          <w:szCs w:val="24"/>
        </w:rPr>
        <w:t>denso</w:t>
      </w:r>
      <w:r w:rsidRPr="00326638">
        <w:rPr>
          <w:rFonts w:ascii="Times New Roman" w:eastAsia="Calibri" w:hAnsi="Times New Roman" w:cs="Times New Roman"/>
          <w:sz w:val="24"/>
          <w:szCs w:val="24"/>
        </w:rPr>
        <w:t>. Y destaca que no está segura que la relación entre ambas categorías suponga entre ellas una jerarquía</w:t>
      </w:r>
      <w:r w:rsidRPr="00326638">
        <w:rPr>
          <w:rFonts w:ascii="Times New Roman" w:eastAsia="Calibri" w:hAnsi="Times New Roman" w:cs="Times New Roman"/>
          <w:sz w:val="24"/>
          <w:szCs w:val="24"/>
          <w:vertAlign w:val="superscript"/>
        </w:rPr>
        <w:footnoteReference w:id="103"/>
      </w:r>
      <w:r w:rsidRPr="00326638">
        <w:rPr>
          <w:rFonts w:ascii="Times New Roman" w:eastAsia="Calibri" w:hAnsi="Times New Roman" w:cs="Times New Roman"/>
          <w:sz w:val="24"/>
          <w:szCs w:val="24"/>
        </w:rPr>
        <w:t>.</w:t>
      </w:r>
    </w:p>
    <w:p w:rsidR="00C918A7" w:rsidRPr="00326638" w:rsidRDefault="00867C60" w:rsidP="00326638">
      <w:pPr>
        <w:spacing w:line="360" w:lineRule="auto"/>
        <w:ind w:firstLine="708"/>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 xml:space="preserve">Y  Gaido expresa que </w:t>
      </w:r>
      <w:r w:rsidRPr="00326638">
        <w:rPr>
          <w:rFonts w:ascii="Times New Roman" w:eastAsia="Calibri" w:hAnsi="Times New Roman" w:cs="Times New Roman"/>
          <w:sz w:val="24"/>
          <w:szCs w:val="24"/>
        </w:rPr>
        <w:t>contrariamente a lo que afirma Ruiz Manero, para Alexy todos los principios son ponderables</w:t>
      </w:r>
      <w:r w:rsidRPr="00326638">
        <w:rPr>
          <w:rStyle w:val="Refdenotaalpie"/>
          <w:rFonts w:ascii="Times New Roman" w:eastAsia="Calibri" w:hAnsi="Times New Roman" w:cs="Times New Roman"/>
          <w:sz w:val="24"/>
          <w:szCs w:val="24"/>
        </w:rPr>
        <w:footnoteReference w:id="104"/>
      </w:r>
      <w:r w:rsidRPr="00326638">
        <w:rPr>
          <w:rFonts w:ascii="Times New Roman" w:eastAsia="Calibri" w:hAnsi="Times New Roman" w:cs="Times New Roman"/>
          <w:sz w:val="24"/>
          <w:szCs w:val="24"/>
        </w:rPr>
        <w:t>.</w:t>
      </w:r>
      <w:r w:rsidR="00C918A7" w:rsidRPr="00326638">
        <w:rPr>
          <w:rFonts w:ascii="Times New Roman" w:eastAsia="Calibri" w:hAnsi="Times New Roman" w:cs="Times New Roman"/>
          <w:i/>
          <w:sz w:val="24"/>
          <w:szCs w:val="24"/>
          <w:lang w:val="es-UY"/>
        </w:rPr>
        <w:t xml:space="preserve"> </w:t>
      </w:r>
    </w:p>
    <w:p w:rsidR="00C918A7" w:rsidRPr="00326638" w:rsidRDefault="008A05AF" w:rsidP="00326638">
      <w:pPr>
        <w:spacing w:after="200" w:line="360" w:lineRule="auto"/>
        <w:contextualSpacing/>
        <w:jc w:val="center"/>
        <w:rPr>
          <w:rFonts w:ascii="Times New Roman" w:eastAsia="Calibri" w:hAnsi="Times New Roman" w:cs="Times New Roman"/>
          <w:b/>
          <w:sz w:val="24"/>
          <w:szCs w:val="24"/>
          <w:lang w:val="es-UY"/>
        </w:rPr>
      </w:pPr>
      <w:r w:rsidRPr="00326638">
        <w:rPr>
          <w:rFonts w:ascii="Times New Roman" w:eastAsia="Calibri" w:hAnsi="Times New Roman" w:cs="Times New Roman"/>
          <w:b/>
          <w:sz w:val="24"/>
          <w:szCs w:val="24"/>
          <w:lang w:val="es-UY"/>
        </w:rPr>
        <w:t>X)</w:t>
      </w:r>
    </w:p>
    <w:p w:rsidR="008A05AF" w:rsidRPr="00326638" w:rsidRDefault="008A05A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b/>
          <w:sz w:val="24"/>
          <w:szCs w:val="24"/>
          <w:lang w:val="es-UY"/>
        </w:rPr>
        <w:tab/>
      </w:r>
      <w:r w:rsidRPr="00326638">
        <w:rPr>
          <w:rFonts w:ascii="Times New Roman" w:eastAsia="Calibri" w:hAnsi="Times New Roman" w:cs="Times New Roman"/>
          <w:sz w:val="24"/>
          <w:szCs w:val="24"/>
          <w:lang w:val="es-UY"/>
        </w:rPr>
        <w:t>Entonces:</w:t>
      </w:r>
    </w:p>
    <w:p w:rsidR="008A05AF" w:rsidRPr="00326638" w:rsidRDefault="008A05A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1º La completitud del sistema jurídico impone siempre fallar al juez, quien, si no ubica la solución del caso en regla de derecho positivo –lo que ha de fundar- deberá ocurrir a los principios ya sean estos explícitos –reglas también- o a los implícitos y en este supuesto indicar de que plexo de reglas los extrae y las razones que los tornan aplicables a la causa.</w:t>
      </w:r>
    </w:p>
    <w:p w:rsidR="008A05AF" w:rsidRPr="00326638" w:rsidRDefault="008A05A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2º En supuesto de conflictos entre reglas y principios, han de prevalecer aquellas.</w:t>
      </w:r>
    </w:p>
    <w:p w:rsidR="008A05AF" w:rsidRPr="00326638" w:rsidRDefault="008A05AF" w:rsidP="00326638">
      <w:pPr>
        <w:spacing w:after="200" w:line="360" w:lineRule="auto"/>
        <w:contextualSpacing/>
        <w:jc w:val="both"/>
        <w:rPr>
          <w:rFonts w:ascii="Times New Roman" w:eastAsia="Calibri" w:hAnsi="Times New Roman" w:cs="Times New Roman"/>
          <w:sz w:val="24"/>
          <w:szCs w:val="24"/>
          <w:lang w:val="es-UY"/>
        </w:rPr>
      </w:pPr>
      <w:r w:rsidRPr="00326638">
        <w:rPr>
          <w:rFonts w:ascii="Times New Roman" w:eastAsia="Calibri" w:hAnsi="Times New Roman" w:cs="Times New Roman"/>
          <w:sz w:val="24"/>
          <w:szCs w:val="24"/>
          <w:lang w:val="es-UY"/>
        </w:rPr>
        <w:tab/>
        <w:t>3º En supuesto de colisión de principios, no procede la ponderación, sino que habrá de aplicarse aquel de menor grado de abstracción o el que haya sido positivizado constitucionalmente.</w:t>
      </w:r>
    </w:p>
    <w:p w:rsidR="00C36CD9" w:rsidRPr="00326638" w:rsidRDefault="008A05AF" w:rsidP="00326638">
      <w:pPr>
        <w:spacing w:after="200" w:line="360" w:lineRule="auto"/>
        <w:contextualSpacing/>
        <w:jc w:val="both"/>
        <w:rPr>
          <w:rFonts w:ascii="Times New Roman" w:hAnsi="Times New Roman" w:cs="Times New Roman"/>
          <w:sz w:val="24"/>
          <w:szCs w:val="24"/>
        </w:rPr>
      </w:pPr>
      <w:r w:rsidRPr="00326638">
        <w:rPr>
          <w:rFonts w:ascii="Times New Roman" w:eastAsia="Calibri" w:hAnsi="Times New Roman" w:cs="Times New Roman"/>
          <w:sz w:val="24"/>
          <w:szCs w:val="24"/>
          <w:lang w:val="es-UY"/>
        </w:rPr>
        <w:tab/>
        <w:t>4º Y siempre con la necesaria justificación, ya que, como r</w:t>
      </w:r>
      <w:r w:rsidR="00C36CD9" w:rsidRPr="00326638">
        <w:rPr>
          <w:rFonts w:ascii="Times New Roman" w:hAnsi="Times New Roman" w:cs="Times New Roman"/>
          <w:sz w:val="24"/>
          <w:szCs w:val="24"/>
        </w:rPr>
        <w:t xml:space="preserve">equieren Benaventos y Fernández Dellepiane la necesaria “… </w:t>
      </w:r>
      <w:r w:rsidR="00ED50A2" w:rsidRPr="00326638">
        <w:rPr>
          <w:rFonts w:ascii="Times New Roman" w:hAnsi="Times New Roman" w:cs="Times New Roman"/>
          <w:i/>
          <w:sz w:val="24"/>
          <w:szCs w:val="24"/>
        </w:rPr>
        <w:t>justificació</w:t>
      </w:r>
      <w:r w:rsidR="00C36CD9" w:rsidRPr="00326638">
        <w:rPr>
          <w:rFonts w:ascii="Times New Roman" w:hAnsi="Times New Roman" w:cs="Times New Roman"/>
          <w:i/>
          <w:sz w:val="24"/>
          <w:szCs w:val="24"/>
        </w:rPr>
        <w:t>n interna y externa</w:t>
      </w:r>
      <w:r w:rsidR="00C36CD9" w:rsidRPr="00326638">
        <w:rPr>
          <w:rFonts w:ascii="Times New Roman" w:hAnsi="Times New Roman" w:cs="Times New Roman"/>
          <w:sz w:val="24"/>
          <w:szCs w:val="24"/>
        </w:rPr>
        <w:t xml:space="preserve"> de las decisiones, porque esos deberes son parte de la responsabilidad inherente a la función jurisdiccional </w:t>
      </w:r>
      <w:r w:rsidR="00C36CD9" w:rsidRPr="00326638">
        <w:rPr>
          <w:rFonts w:ascii="Times New Roman" w:hAnsi="Times New Roman" w:cs="Times New Roman"/>
          <w:sz w:val="24"/>
          <w:szCs w:val="24"/>
        </w:rPr>
        <w:lastRenderedPageBreak/>
        <w:t>y  lo que se decida debe ostentar una motivación argumentada que no suponga un acto de pura autoridad (o emotividad) y que, por el contrario, evidencie su imparcialidad y objetividad</w:t>
      </w:r>
      <w:r w:rsidR="00C36CD9" w:rsidRPr="00326638">
        <w:rPr>
          <w:rStyle w:val="Refdenotaalpie"/>
          <w:rFonts w:ascii="Times New Roman" w:hAnsi="Times New Roman" w:cs="Times New Roman"/>
          <w:sz w:val="24"/>
          <w:szCs w:val="24"/>
        </w:rPr>
        <w:footnoteReference w:id="105"/>
      </w:r>
      <w:r w:rsidR="00C36CD9" w:rsidRPr="00326638">
        <w:rPr>
          <w:rFonts w:ascii="Times New Roman" w:hAnsi="Times New Roman" w:cs="Times New Roman"/>
          <w:sz w:val="24"/>
          <w:szCs w:val="24"/>
        </w:rPr>
        <w:t>.</w:t>
      </w:r>
    </w:p>
    <w:p w:rsidR="00A2189E" w:rsidRPr="00326638" w:rsidRDefault="008A05AF" w:rsidP="00326638">
      <w:pPr>
        <w:spacing w:after="0" w:line="360" w:lineRule="auto"/>
        <w:ind w:firstLine="708"/>
        <w:contextualSpacing/>
        <w:jc w:val="both"/>
        <w:rPr>
          <w:rFonts w:ascii="Times New Roman" w:hAnsi="Times New Roman" w:cs="Times New Roman"/>
          <w:sz w:val="24"/>
          <w:szCs w:val="24"/>
        </w:rPr>
      </w:pPr>
      <w:r w:rsidRPr="00326638">
        <w:rPr>
          <w:rFonts w:ascii="Times New Roman" w:hAnsi="Times New Roman" w:cs="Times New Roman"/>
          <w:sz w:val="24"/>
          <w:szCs w:val="24"/>
        </w:rPr>
        <w:t>Y</w:t>
      </w:r>
      <w:r w:rsidR="00A2189E" w:rsidRPr="00326638">
        <w:rPr>
          <w:rFonts w:ascii="Times New Roman" w:hAnsi="Times New Roman" w:cs="Times New Roman"/>
          <w:sz w:val="24"/>
          <w:szCs w:val="24"/>
        </w:rPr>
        <w:t xml:space="preserve"> </w:t>
      </w:r>
      <w:r w:rsidR="00A0383C" w:rsidRPr="00326638">
        <w:rPr>
          <w:rFonts w:ascii="Times New Roman" w:hAnsi="Times New Roman" w:cs="Times New Roman"/>
          <w:sz w:val="24"/>
          <w:szCs w:val="24"/>
        </w:rPr>
        <w:t xml:space="preserve">se debe, como requiere </w:t>
      </w:r>
      <w:r w:rsidR="00A2189E" w:rsidRPr="00326638">
        <w:rPr>
          <w:rFonts w:ascii="Times New Roman" w:hAnsi="Times New Roman" w:cs="Times New Roman"/>
          <w:sz w:val="24"/>
          <w:szCs w:val="24"/>
        </w:rPr>
        <w:t xml:space="preserve"> destacada doctrina: “… enfatizar que la mera cita de principios puede en realidad empedrar el camino a la injusticia. Si bien un mejor uso de los principios –no la mera cita de ellos- tampoco puede asegurar por sí una mayor Justicia, si puede al menos permitir que la sentencia sea sometida a un contralor de racionalidad y que las razones expuestas en la sentencia ya sean morales, jurídicas o de otro tipo, puedan ser sometidas a crítica pública”</w:t>
      </w:r>
      <w:r w:rsidR="00A2189E" w:rsidRPr="00326638">
        <w:rPr>
          <w:rStyle w:val="Refdenotaalpie"/>
          <w:rFonts w:ascii="Times New Roman" w:hAnsi="Times New Roman" w:cs="Times New Roman"/>
          <w:sz w:val="24"/>
          <w:szCs w:val="24"/>
        </w:rPr>
        <w:footnoteReference w:id="106"/>
      </w:r>
      <w:r w:rsidR="00A2189E" w:rsidRPr="00326638">
        <w:rPr>
          <w:rFonts w:ascii="Times New Roman" w:hAnsi="Times New Roman" w:cs="Times New Roman"/>
          <w:sz w:val="24"/>
          <w:szCs w:val="24"/>
        </w:rPr>
        <w:t>.</w:t>
      </w:r>
    </w:p>
    <w:p w:rsidR="00A2189E" w:rsidRPr="00326638" w:rsidRDefault="00A2189E" w:rsidP="00326638">
      <w:pPr>
        <w:spacing w:after="0" w:line="360" w:lineRule="auto"/>
        <w:contextualSpacing/>
        <w:jc w:val="both"/>
        <w:rPr>
          <w:rFonts w:ascii="Times New Roman" w:hAnsi="Times New Roman" w:cs="Times New Roman"/>
          <w:sz w:val="24"/>
          <w:szCs w:val="24"/>
        </w:rPr>
      </w:pPr>
      <w:r w:rsidRPr="00326638">
        <w:rPr>
          <w:rFonts w:ascii="Times New Roman" w:hAnsi="Times New Roman" w:cs="Times New Roman"/>
          <w:sz w:val="24"/>
          <w:szCs w:val="24"/>
        </w:rPr>
        <w:tab/>
      </w:r>
      <w:r w:rsidR="005A5AF3" w:rsidRPr="00326638">
        <w:rPr>
          <w:rFonts w:ascii="Times New Roman" w:hAnsi="Times New Roman" w:cs="Times New Roman"/>
          <w:sz w:val="24"/>
          <w:szCs w:val="24"/>
        </w:rPr>
        <w:t>S</w:t>
      </w:r>
      <w:r w:rsidR="004324B9" w:rsidRPr="00326638">
        <w:rPr>
          <w:rFonts w:ascii="Times New Roman" w:hAnsi="Times New Roman" w:cs="Times New Roman"/>
          <w:sz w:val="24"/>
          <w:szCs w:val="24"/>
        </w:rPr>
        <w:t>e ingresará</w:t>
      </w:r>
      <w:r w:rsidR="005A5AF3" w:rsidRPr="00326638">
        <w:rPr>
          <w:rFonts w:ascii="Times New Roman" w:hAnsi="Times New Roman" w:cs="Times New Roman"/>
          <w:sz w:val="24"/>
          <w:szCs w:val="24"/>
        </w:rPr>
        <w:t xml:space="preserve"> de esta manera</w:t>
      </w:r>
      <w:r w:rsidR="004324B9" w:rsidRPr="00326638">
        <w:rPr>
          <w:rFonts w:ascii="Times New Roman" w:hAnsi="Times New Roman" w:cs="Times New Roman"/>
          <w:sz w:val="24"/>
          <w:szCs w:val="24"/>
        </w:rPr>
        <w:t>, como postulan</w:t>
      </w:r>
      <w:r w:rsidR="00A0383C" w:rsidRPr="00326638">
        <w:rPr>
          <w:rFonts w:ascii="Times New Roman" w:hAnsi="Times New Roman" w:cs="Times New Roman"/>
          <w:sz w:val="24"/>
          <w:szCs w:val="24"/>
        </w:rPr>
        <w:t xml:space="preserve"> </w:t>
      </w:r>
      <w:r w:rsidR="004324B9" w:rsidRPr="00326638">
        <w:rPr>
          <w:rFonts w:ascii="Times New Roman" w:hAnsi="Times New Roman" w:cs="Times New Roman"/>
          <w:sz w:val="24"/>
          <w:szCs w:val="24"/>
        </w:rPr>
        <w:t xml:space="preserve"> </w:t>
      </w:r>
      <w:r w:rsidRPr="00326638">
        <w:rPr>
          <w:rFonts w:ascii="Times New Roman" w:hAnsi="Times New Roman" w:cs="Times New Roman"/>
          <w:sz w:val="24"/>
          <w:szCs w:val="24"/>
        </w:rPr>
        <w:t>Benaventos y Fernández Dellepiane</w:t>
      </w:r>
      <w:r w:rsidR="004324B9" w:rsidRPr="00326638">
        <w:rPr>
          <w:rFonts w:ascii="Times New Roman" w:hAnsi="Times New Roman" w:cs="Times New Roman"/>
          <w:sz w:val="24"/>
          <w:szCs w:val="24"/>
        </w:rPr>
        <w:t>, al camino correcto “… coronada por decisorios impregnados de horizontalidad, de objetivismo crítico, de justificación interna y externa…”</w:t>
      </w:r>
      <w:r w:rsidR="004324B9" w:rsidRPr="00326638">
        <w:rPr>
          <w:rStyle w:val="Refdenotaalpie"/>
          <w:rFonts w:ascii="Times New Roman" w:hAnsi="Times New Roman" w:cs="Times New Roman"/>
          <w:sz w:val="24"/>
          <w:szCs w:val="24"/>
        </w:rPr>
        <w:footnoteReference w:id="107"/>
      </w:r>
      <w:r w:rsidR="004324B9" w:rsidRPr="00326638">
        <w:rPr>
          <w:rFonts w:ascii="Times New Roman" w:hAnsi="Times New Roman" w:cs="Times New Roman"/>
          <w:sz w:val="24"/>
          <w:szCs w:val="24"/>
        </w:rPr>
        <w:t>.</w:t>
      </w:r>
      <w:r w:rsidRPr="00326638">
        <w:rPr>
          <w:rFonts w:ascii="Times New Roman" w:hAnsi="Times New Roman" w:cs="Times New Roman"/>
          <w:sz w:val="24"/>
          <w:szCs w:val="24"/>
        </w:rPr>
        <w:t xml:space="preserve"> </w:t>
      </w:r>
    </w:p>
    <w:p w:rsidR="004324B9" w:rsidRPr="00326638" w:rsidRDefault="004324B9" w:rsidP="00326638">
      <w:pPr>
        <w:spacing w:after="0" w:line="360" w:lineRule="auto"/>
        <w:contextualSpacing/>
        <w:jc w:val="both"/>
        <w:rPr>
          <w:rFonts w:ascii="Times New Roman" w:hAnsi="Times New Roman" w:cs="Times New Roman"/>
          <w:b/>
          <w:sz w:val="24"/>
          <w:szCs w:val="24"/>
        </w:rPr>
      </w:pPr>
      <w:r w:rsidRPr="00326638">
        <w:rPr>
          <w:rFonts w:ascii="Times New Roman" w:hAnsi="Times New Roman" w:cs="Times New Roman"/>
          <w:sz w:val="24"/>
          <w:szCs w:val="24"/>
        </w:rPr>
        <w:tab/>
        <w:t>Y así</w:t>
      </w:r>
      <w:r w:rsidR="00A0383C" w:rsidRPr="00326638">
        <w:rPr>
          <w:rFonts w:ascii="Times New Roman" w:hAnsi="Times New Roman" w:cs="Times New Roman"/>
          <w:sz w:val="24"/>
          <w:szCs w:val="24"/>
        </w:rPr>
        <w:t xml:space="preserve">, </w:t>
      </w:r>
      <w:r w:rsidR="00520602" w:rsidRPr="00326638">
        <w:rPr>
          <w:rFonts w:ascii="Times New Roman" w:hAnsi="Times New Roman" w:cs="Times New Roman"/>
          <w:sz w:val="24"/>
          <w:szCs w:val="24"/>
        </w:rPr>
        <w:t xml:space="preserve"> y</w:t>
      </w:r>
      <w:r w:rsidR="00A0383C" w:rsidRPr="00326638">
        <w:rPr>
          <w:rFonts w:ascii="Times New Roman" w:hAnsi="Times New Roman" w:cs="Times New Roman"/>
          <w:sz w:val="24"/>
          <w:szCs w:val="24"/>
        </w:rPr>
        <w:t xml:space="preserve"> recién</w:t>
      </w:r>
      <w:r w:rsidR="00520602" w:rsidRPr="00326638">
        <w:rPr>
          <w:rFonts w:ascii="Times New Roman" w:hAnsi="Times New Roman" w:cs="Times New Roman"/>
          <w:sz w:val="24"/>
          <w:szCs w:val="24"/>
        </w:rPr>
        <w:t xml:space="preserve"> entonces</w:t>
      </w:r>
      <w:r w:rsidR="00A0383C" w:rsidRPr="00326638">
        <w:rPr>
          <w:rFonts w:ascii="Times New Roman" w:hAnsi="Times New Roman" w:cs="Times New Roman"/>
          <w:sz w:val="24"/>
          <w:szCs w:val="24"/>
        </w:rPr>
        <w:t>,</w:t>
      </w:r>
      <w:r w:rsidRPr="00326638">
        <w:rPr>
          <w:rFonts w:ascii="Times New Roman" w:hAnsi="Times New Roman" w:cs="Times New Roman"/>
          <w:sz w:val="24"/>
          <w:szCs w:val="24"/>
        </w:rPr>
        <w:t xml:space="preserve"> </w:t>
      </w:r>
      <w:r w:rsidR="00A0383C" w:rsidRPr="00326638">
        <w:rPr>
          <w:rFonts w:ascii="Times New Roman" w:hAnsi="Times New Roman" w:cs="Times New Roman"/>
          <w:sz w:val="24"/>
          <w:szCs w:val="24"/>
        </w:rPr>
        <w:t>¡</w:t>
      </w:r>
      <w:r w:rsidR="00A0383C" w:rsidRPr="00326638">
        <w:rPr>
          <w:rFonts w:ascii="Times New Roman" w:hAnsi="Times New Roman" w:cs="Times New Roman"/>
          <w:b/>
          <w:sz w:val="24"/>
          <w:szCs w:val="24"/>
        </w:rPr>
        <w:t>será Justicia!</w:t>
      </w:r>
    </w:p>
    <w:p w:rsidR="009F5343" w:rsidRDefault="009F5343" w:rsidP="00324B60">
      <w:pPr>
        <w:spacing w:after="0" w:line="480" w:lineRule="auto"/>
        <w:contextualSpacing/>
        <w:jc w:val="both"/>
        <w:rPr>
          <w:rFonts w:ascii="Times New Roman" w:hAnsi="Times New Roman" w:cs="Times New Roman"/>
          <w:b/>
          <w:sz w:val="28"/>
          <w:szCs w:val="28"/>
        </w:rPr>
      </w:pPr>
    </w:p>
    <w:p w:rsidR="009F5343" w:rsidRPr="00993BA1" w:rsidRDefault="00993BA1" w:rsidP="00993BA1">
      <w:pPr>
        <w:pStyle w:val="Prrafodelista"/>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 - - - o O o - - - - -</w:t>
      </w:r>
    </w:p>
    <w:p w:rsidR="00237272" w:rsidRDefault="00237272" w:rsidP="009F5343">
      <w:pPr>
        <w:spacing w:after="0" w:line="480" w:lineRule="auto"/>
        <w:contextualSpacing/>
        <w:jc w:val="center"/>
        <w:rPr>
          <w:rFonts w:ascii="Times New Roman" w:hAnsi="Times New Roman" w:cs="Times New Roman"/>
          <w:b/>
          <w:sz w:val="28"/>
          <w:szCs w:val="28"/>
        </w:rPr>
      </w:pPr>
    </w:p>
    <w:p w:rsidR="009F5343" w:rsidRDefault="009F5343" w:rsidP="009F5343">
      <w:pPr>
        <w:spacing w:after="0" w:line="480" w:lineRule="auto"/>
        <w:contextualSpacing/>
        <w:jc w:val="center"/>
        <w:rPr>
          <w:rFonts w:ascii="Times New Roman" w:hAnsi="Times New Roman" w:cs="Times New Roman"/>
          <w:b/>
          <w:sz w:val="28"/>
          <w:szCs w:val="28"/>
        </w:rPr>
      </w:pPr>
      <w:r>
        <w:rPr>
          <w:rFonts w:ascii="Times New Roman" w:hAnsi="Times New Roman" w:cs="Times New Roman"/>
          <w:b/>
          <w:sz w:val="28"/>
          <w:szCs w:val="28"/>
        </w:rPr>
        <w:t>Bibliografía</w:t>
      </w:r>
    </w:p>
    <w:p w:rsidR="00AF4CD8" w:rsidRDefault="00AF4CD8" w:rsidP="009928E9">
      <w:pPr>
        <w:spacing w:after="0" w:line="240" w:lineRule="auto"/>
        <w:contextualSpacing/>
        <w:jc w:val="both"/>
        <w:rPr>
          <w:rFonts w:ascii="Times New Roman" w:hAnsi="Times New Roman" w:cs="Times New Roman"/>
        </w:rPr>
      </w:pPr>
      <w:r w:rsidRPr="00237272">
        <w:rPr>
          <w:rFonts w:ascii="Times New Roman" w:hAnsi="Times New Roman" w:cs="Times New Roman"/>
        </w:rPr>
        <w:t xml:space="preserve">Alchourrón </w:t>
      </w:r>
      <w:r>
        <w:rPr>
          <w:rFonts w:ascii="Times New Roman" w:hAnsi="Times New Roman" w:cs="Times New Roman"/>
        </w:rPr>
        <w:t xml:space="preserve"> Eduardo y </w:t>
      </w:r>
      <w:r w:rsidRPr="00237272">
        <w:rPr>
          <w:rFonts w:ascii="Times New Roman" w:hAnsi="Times New Roman" w:cs="Times New Roman"/>
        </w:rPr>
        <w:t xml:space="preserve"> Bulygin</w:t>
      </w:r>
      <w:r>
        <w:rPr>
          <w:rFonts w:ascii="Times New Roman" w:hAnsi="Times New Roman" w:cs="Times New Roman"/>
        </w:rPr>
        <w:t xml:space="preserve"> Eugenio</w:t>
      </w:r>
      <w:r w:rsidRPr="00237272">
        <w:rPr>
          <w:rFonts w:ascii="Times New Roman" w:hAnsi="Times New Roman" w:cs="Times New Roman"/>
        </w:rPr>
        <w:t>: “Sistemas normativos”, Astrea, Bs. Aires, 2.021</w:t>
      </w:r>
      <w:r>
        <w:rPr>
          <w:rFonts w:ascii="Times New Roman" w:hAnsi="Times New Roman" w:cs="Times New Roman"/>
        </w:rPr>
        <w:t>.</w:t>
      </w:r>
    </w:p>
    <w:p w:rsidR="00AD0F40" w:rsidRPr="00237272" w:rsidRDefault="00AD0F40" w:rsidP="00AD0F40">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Alonso Vidal</w:t>
      </w:r>
      <w:r>
        <w:rPr>
          <w:rFonts w:ascii="Times New Roman" w:hAnsi="Times New Roman" w:cs="Times New Roman"/>
          <w:sz w:val="22"/>
          <w:szCs w:val="22"/>
        </w:rPr>
        <w:t>, Horacio-José</w:t>
      </w:r>
      <w:r w:rsidRPr="00237272">
        <w:rPr>
          <w:rFonts w:ascii="Times New Roman" w:hAnsi="Times New Roman" w:cs="Times New Roman"/>
          <w:sz w:val="22"/>
          <w:szCs w:val="22"/>
        </w:rPr>
        <w:t>: “Los principios implícitos. Su relevancia en la aplicación del Derecho”, en DOXA 35 (2.012), págs. 157-172</w:t>
      </w:r>
      <w:r>
        <w:rPr>
          <w:rFonts w:ascii="Times New Roman" w:hAnsi="Times New Roman" w:cs="Times New Roman"/>
          <w:sz w:val="22"/>
          <w:szCs w:val="22"/>
        </w:rPr>
        <w:t>.</w:t>
      </w:r>
      <w:r w:rsidRPr="00237272">
        <w:rPr>
          <w:rFonts w:ascii="Times New Roman" w:hAnsi="Times New Roman" w:cs="Times New Roman"/>
          <w:sz w:val="22"/>
          <w:szCs w:val="22"/>
        </w:rPr>
        <w:t xml:space="preserve"> </w:t>
      </w:r>
    </w:p>
    <w:p w:rsidR="009928E9" w:rsidRDefault="009928E9" w:rsidP="009928E9">
      <w:pPr>
        <w:spacing w:after="0" w:line="240" w:lineRule="auto"/>
        <w:contextualSpacing/>
        <w:jc w:val="both"/>
        <w:rPr>
          <w:rFonts w:ascii="Times New Roman" w:hAnsi="Times New Roman" w:cs="Times New Roman"/>
        </w:rPr>
      </w:pPr>
      <w:r w:rsidRPr="00237272">
        <w:rPr>
          <w:rFonts w:ascii="Times New Roman" w:hAnsi="Times New Roman" w:cs="Times New Roman"/>
        </w:rPr>
        <w:t>Alvarado Velloso</w:t>
      </w:r>
      <w:r>
        <w:rPr>
          <w:rFonts w:ascii="Times New Roman" w:hAnsi="Times New Roman" w:cs="Times New Roman"/>
        </w:rPr>
        <w:t>, Adolfo</w:t>
      </w:r>
      <w:r w:rsidRPr="00237272">
        <w:rPr>
          <w:rFonts w:ascii="Times New Roman" w:hAnsi="Times New Roman" w:cs="Times New Roman"/>
        </w:rPr>
        <w:t>: “Sistema procesal. Garantía de la libertad”, Ru</w:t>
      </w:r>
      <w:r>
        <w:rPr>
          <w:rFonts w:ascii="Times New Roman" w:hAnsi="Times New Roman" w:cs="Times New Roman"/>
        </w:rPr>
        <w:t>binzal-Culzoni, Santa Fé, 2.009.</w:t>
      </w:r>
    </w:p>
    <w:p w:rsidR="00F9654B" w:rsidRDefault="00F9654B" w:rsidP="009928E9">
      <w:pPr>
        <w:spacing w:after="0" w:line="240" w:lineRule="auto"/>
        <w:contextualSpacing/>
        <w:jc w:val="both"/>
        <w:rPr>
          <w:rFonts w:ascii="Times New Roman" w:hAnsi="Times New Roman" w:cs="Times New Roman"/>
        </w:rPr>
      </w:pPr>
      <w:r>
        <w:rPr>
          <w:rFonts w:ascii="Times New Roman" w:hAnsi="Times New Roman" w:cs="Times New Roman"/>
        </w:rPr>
        <w:t xml:space="preserve">-------: </w:t>
      </w:r>
      <w:r w:rsidRPr="00237272">
        <w:rPr>
          <w:rFonts w:ascii="Times New Roman" w:hAnsi="Times New Roman" w:cs="Times New Roman"/>
        </w:rPr>
        <w:t>“Lecciones de Derecho Procesal Civil”, La Ley Uruguay, Montevideo, 2.011</w:t>
      </w:r>
      <w:r>
        <w:rPr>
          <w:rFonts w:ascii="Times New Roman" w:hAnsi="Times New Roman" w:cs="Times New Roman"/>
        </w:rPr>
        <w:t>.</w:t>
      </w:r>
    </w:p>
    <w:p w:rsidR="009B64B7" w:rsidRPr="00237272" w:rsidRDefault="009B64B7" w:rsidP="009B64B7">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Álvarez Gardiol</w:t>
      </w:r>
      <w:r>
        <w:rPr>
          <w:rFonts w:ascii="Times New Roman" w:hAnsi="Times New Roman" w:cs="Times New Roman"/>
          <w:sz w:val="22"/>
          <w:szCs w:val="22"/>
        </w:rPr>
        <w:t>, Ariel</w:t>
      </w:r>
      <w:r w:rsidRPr="00237272">
        <w:rPr>
          <w:rFonts w:ascii="Times New Roman" w:hAnsi="Times New Roman" w:cs="Times New Roman"/>
          <w:sz w:val="22"/>
          <w:szCs w:val="22"/>
        </w:rPr>
        <w:t>: “Manual de introducción al derecho” (cursos de doctorado), Ed. Juris, Rosario, 1.995</w:t>
      </w:r>
      <w:r>
        <w:rPr>
          <w:rFonts w:ascii="Times New Roman" w:hAnsi="Times New Roman" w:cs="Times New Roman"/>
          <w:sz w:val="22"/>
          <w:szCs w:val="22"/>
        </w:rPr>
        <w:t>.</w:t>
      </w:r>
    </w:p>
    <w:p w:rsidR="00A648C4" w:rsidRDefault="00A648C4" w:rsidP="00A648C4">
      <w:pPr>
        <w:spacing w:after="0" w:line="240" w:lineRule="auto"/>
        <w:contextualSpacing/>
        <w:jc w:val="both"/>
        <w:rPr>
          <w:rFonts w:ascii="Times New Roman" w:hAnsi="Times New Roman" w:cs="Times New Roman"/>
        </w:rPr>
      </w:pPr>
      <w:r w:rsidRPr="00237272">
        <w:rPr>
          <w:rFonts w:ascii="Times New Roman" w:hAnsi="Times New Roman" w:cs="Times New Roman"/>
        </w:rPr>
        <w:t>Arruda Alvim: “Principios fundamentales formativos del procedimiento civil brasileño”, en Rev. do Pr., Ano X, abril-j</w:t>
      </w:r>
      <w:r>
        <w:rPr>
          <w:rFonts w:ascii="Times New Roman" w:hAnsi="Times New Roman" w:cs="Times New Roman"/>
        </w:rPr>
        <w:t>unho 1.985, Nº 38, págs. 84-110.</w:t>
      </w:r>
    </w:p>
    <w:p w:rsidR="00AF4CD8" w:rsidRDefault="00AF4CD8" w:rsidP="00A648C4">
      <w:pPr>
        <w:spacing w:after="0" w:line="240" w:lineRule="auto"/>
        <w:contextualSpacing/>
        <w:jc w:val="both"/>
        <w:rPr>
          <w:rFonts w:ascii="Times New Roman" w:hAnsi="Times New Roman" w:cs="Times New Roman"/>
        </w:rPr>
      </w:pPr>
      <w:r w:rsidRPr="00237272">
        <w:rPr>
          <w:rFonts w:ascii="Times New Roman" w:hAnsi="Times New Roman" w:cs="Times New Roman"/>
        </w:rPr>
        <w:t>Atienz</w:t>
      </w:r>
      <w:r w:rsidR="009B64B7">
        <w:rPr>
          <w:rFonts w:ascii="Times New Roman" w:hAnsi="Times New Roman" w:cs="Times New Roman"/>
        </w:rPr>
        <w:t>a</w:t>
      </w:r>
      <w:r>
        <w:rPr>
          <w:rFonts w:ascii="Times New Roman" w:hAnsi="Times New Roman" w:cs="Times New Roman"/>
        </w:rPr>
        <w:t>, Manuel</w:t>
      </w:r>
      <w:r w:rsidRPr="00237272">
        <w:rPr>
          <w:rFonts w:ascii="Times New Roman" w:hAnsi="Times New Roman" w:cs="Times New Roman"/>
        </w:rPr>
        <w:t>: “Filosofía del Derecho Transformación Social”, Trotta, Madrid, 2.017</w:t>
      </w:r>
      <w:r>
        <w:rPr>
          <w:rFonts w:ascii="Times New Roman" w:hAnsi="Times New Roman" w:cs="Times New Roman"/>
        </w:rPr>
        <w:t>.</w:t>
      </w:r>
    </w:p>
    <w:p w:rsidR="00AF4CD8" w:rsidRDefault="00AF4CD8" w:rsidP="00A648C4">
      <w:pPr>
        <w:spacing w:after="0" w:line="240" w:lineRule="auto"/>
        <w:contextualSpacing/>
        <w:jc w:val="both"/>
        <w:rPr>
          <w:rFonts w:ascii="Times New Roman" w:hAnsi="Times New Roman" w:cs="Times New Roman"/>
        </w:rPr>
      </w:pPr>
      <w:r>
        <w:rPr>
          <w:rFonts w:ascii="Times New Roman" w:hAnsi="Times New Roman" w:cs="Times New Roman"/>
        </w:rPr>
        <w:t xml:space="preserve">-------: </w:t>
      </w:r>
      <w:r w:rsidRPr="00237272">
        <w:rPr>
          <w:rFonts w:ascii="Times New Roman" w:hAnsi="Times New Roman" w:cs="Times New Roman"/>
        </w:rPr>
        <w:t>“Una visión iusfilosófica del derecho”, en AA.VV.: “Filosofía. Una introducción para juristas”, Trotta, Madrid, 2.022, págs. 241-262</w:t>
      </w:r>
      <w:r>
        <w:rPr>
          <w:rFonts w:ascii="Times New Roman" w:hAnsi="Times New Roman" w:cs="Times New Roman"/>
        </w:rPr>
        <w:t>.</w:t>
      </w:r>
      <w:r w:rsidR="009B64B7">
        <w:rPr>
          <w:rFonts w:ascii="Times New Roman" w:hAnsi="Times New Roman" w:cs="Times New Roman"/>
        </w:rPr>
        <w:t xml:space="preserve"> </w:t>
      </w:r>
    </w:p>
    <w:p w:rsidR="009B64B7" w:rsidRPr="00237272" w:rsidRDefault="009B64B7" w:rsidP="009B64B7">
      <w:pPr>
        <w:pStyle w:val="Textonotapie"/>
        <w:jc w:val="both"/>
        <w:rPr>
          <w:rFonts w:ascii="Times New Roman" w:hAnsi="Times New Roman" w:cs="Times New Roman"/>
          <w:sz w:val="22"/>
          <w:szCs w:val="22"/>
        </w:rPr>
      </w:pPr>
      <w:r>
        <w:rPr>
          <w:rFonts w:ascii="Times New Roman" w:hAnsi="Times New Roman" w:cs="Times New Roman"/>
        </w:rPr>
        <w:t>-------</w:t>
      </w:r>
      <w:r w:rsidRPr="009B64B7">
        <w:rPr>
          <w:rFonts w:ascii="Times New Roman" w:hAnsi="Times New Roman" w:cs="Times New Roman"/>
          <w:sz w:val="22"/>
          <w:szCs w:val="22"/>
        </w:rPr>
        <w:t xml:space="preserve"> </w:t>
      </w:r>
      <w:r>
        <w:rPr>
          <w:rFonts w:ascii="Times New Roman" w:hAnsi="Times New Roman" w:cs="Times New Roman"/>
          <w:sz w:val="22"/>
          <w:szCs w:val="22"/>
        </w:rPr>
        <w:t xml:space="preserve"> y </w:t>
      </w:r>
      <w:r w:rsidRPr="00237272">
        <w:rPr>
          <w:rFonts w:ascii="Times New Roman" w:hAnsi="Times New Roman" w:cs="Times New Roman"/>
          <w:sz w:val="22"/>
          <w:szCs w:val="22"/>
        </w:rPr>
        <w:t xml:space="preserve"> Ruiz Manero</w:t>
      </w:r>
      <w:r>
        <w:rPr>
          <w:rFonts w:ascii="Times New Roman" w:hAnsi="Times New Roman" w:cs="Times New Roman"/>
          <w:sz w:val="22"/>
          <w:szCs w:val="22"/>
        </w:rPr>
        <w:t>, J.</w:t>
      </w:r>
      <w:r w:rsidRPr="00237272">
        <w:rPr>
          <w:rFonts w:ascii="Times New Roman" w:hAnsi="Times New Roman" w:cs="Times New Roman"/>
          <w:sz w:val="22"/>
          <w:szCs w:val="22"/>
        </w:rPr>
        <w:t>: “Sobre principios y reglas”, Doxa 10 (1.991), págs. 101-120</w:t>
      </w:r>
      <w:r>
        <w:rPr>
          <w:rFonts w:ascii="Times New Roman" w:hAnsi="Times New Roman" w:cs="Times New Roman"/>
          <w:sz w:val="22"/>
          <w:szCs w:val="22"/>
        </w:rPr>
        <w:t>.</w:t>
      </w:r>
    </w:p>
    <w:p w:rsidR="00DD7894" w:rsidRDefault="00DD7894" w:rsidP="00DD7894">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Bandieri</w:t>
      </w:r>
      <w:r>
        <w:rPr>
          <w:rFonts w:ascii="Times New Roman" w:hAnsi="Times New Roman" w:cs="Times New Roman"/>
          <w:sz w:val="22"/>
          <w:szCs w:val="22"/>
        </w:rPr>
        <w:t>, Luis Mª</w:t>
      </w:r>
      <w:r w:rsidRPr="00237272">
        <w:rPr>
          <w:rFonts w:ascii="Times New Roman" w:hAnsi="Times New Roman" w:cs="Times New Roman"/>
          <w:sz w:val="22"/>
          <w:szCs w:val="22"/>
        </w:rPr>
        <w:t>: “El entierro de Montesquieu”, en Forum, Anuario del Centro de Derecho Constitucional, UCA, Bs. Aires, 2.014, págs. 75-101</w:t>
      </w:r>
      <w:r>
        <w:rPr>
          <w:rFonts w:ascii="Times New Roman" w:hAnsi="Times New Roman" w:cs="Times New Roman"/>
          <w:sz w:val="22"/>
          <w:szCs w:val="22"/>
        </w:rPr>
        <w:t>.</w:t>
      </w:r>
    </w:p>
    <w:p w:rsidR="00AF4CD8" w:rsidRDefault="00AF4CD8" w:rsidP="00AF4CD8">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Benaventos</w:t>
      </w:r>
      <w:r>
        <w:rPr>
          <w:rFonts w:ascii="Times New Roman" w:hAnsi="Times New Roman" w:cs="Times New Roman"/>
          <w:sz w:val="22"/>
          <w:szCs w:val="22"/>
        </w:rPr>
        <w:t xml:space="preserve">, Omar y </w:t>
      </w:r>
      <w:r w:rsidRPr="00237272">
        <w:rPr>
          <w:rFonts w:ascii="Times New Roman" w:hAnsi="Times New Roman" w:cs="Times New Roman"/>
          <w:sz w:val="22"/>
          <w:szCs w:val="22"/>
        </w:rPr>
        <w:t xml:space="preserve"> Fernández Dellepiane</w:t>
      </w:r>
      <w:r>
        <w:rPr>
          <w:rFonts w:ascii="Times New Roman" w:hAnsi="Times New Roman" w:cs="Times New Roman"/>
          <w:sz w:val="22"/>
          <w:szCs w:val="22"/>
        </w:rPr>
        <w:t>, Mariana</w:t>
      </w:r>
      <w:r w:rsidRPr="00237272">
        <w:rPr>
          <w:rFonts w:ascii="Times New Roman" w:hAnsi="Times New Roman" w:cs="Times New Roman"/>
          <w:sz w:val="22"/>
          <w:szCs w:val="22"/>
        </w:rPr>
        <w:t xml:space="preserve">: “El proceso civil adversarial. Una deuda pendiente en Latinoamérica”, Ed. FUNDECIJU, Rosario </w:t>
      </w:r>
      <w:r w:rsidRPr="00237272">
        <w:rPr>
          <w:rFonts w:ascii="Times New Roman" w:hAnsi="Times New Roman" w:cs="Times New Roman"/>
          <w:i/>
          <w:sz w:val="22"/>
          <w:szCs w:val="22"/>
        </w:rPr>
        <w:t>s/d</w:t>
      </w:r>
      <w:r>
        <w:rPr>
          <w:rFonts w:ascii="Times New Roman" w:hAnsi="Times New Roman" w:cs="Times New Roman"/>
          <w:i/>
          <w:sz w:val="22"/>
          <w:szCs w:val="22"/>
        </w:rPr>
        <w:t>.</w:t>
      </w:r>
      <w:r w:rsidRPr="00237272">
        <w:rPr>
          <w:rFonts w:ascii="Times New Roman" w:hAnsi="Times New Roman" w:cs="Times New Roman"/>
          <w:sz w:val="22"/>
          <w:szCs w:val="22"/>
        </w:rPr>
        <w:t xml:space="preserve"> </w:t>
      </w:r>
    </w:p>
    <w:p w:rsidR="00DF421F" w:rsidRPr="00237272" w:rsidRDefault="00DF421F" w:rsidP="00DF421F">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lastRenderedPageBreak/>
        <w:t>Bobbio</w:t>
      </w:r>
      <w:r>
        <w:rPr>
          <w:rFonts w:ascii="Times New Roman" w:hAnsi="Times New Roman" w:cs="Times New Roman"/>
          <w:sz w:val="22"/>
          <w:szCs w:val="22"/>
        </w:rPr>
        <w:t>, Norberto</w:t>
      </w:r>
      <w:r w:rsidRPr="00237272">
        <w:rPr>
          <w:rFonts w:ascii="Times New Roman" w:hAnsi="Times New Roman" w:cs="Times New Roman"/>
          <w:sz w:val="22"/>
          <w:szCs w:val="22"/>
        </w:rPr>
        <w:t>: “El positivismo jurídico”, trad. de Rafael De Asís y Andrea Greppi, Debate, Madrid, 1.998</w:t>
      </w:r>
      <w:r>
        <w:rPr>
          <w:rFonts w:ascii="Times New Roman" w:hAnsi="Times New Roman" w:cs="Times New Roman"/>
          <w:sz w:val="22"/>
          <w:szCs w:val="22"/>
        </w:rPr>
        <w:t>.</w:t>
      </w:r>
    </w:p>
    <w:p w:rsidR="00A648C4" w:rsidRDefault="00A648C4" w:rsidP="00F9654B">
      <w:pPr>
        <w:spacing w:after="0" w:line="240" w:lineRule="auto"/>
        <w:contextualSpacing/>
        <w:jc w:val="both"/>
        <w:rPr>
          <w:rFonts w:ascii="Times New Roman" w:hAnsi="Times New Roman" w:cs="Times New Roman"/>
        </w:rPr>
      </w:pPr>
      <w:r w:rsidRPr="00A648C4">
        <w:rPr>
          <w:rFonts w:ascii="Times New Roman" w:hAnsi="Times New Roman" w:cs="Times New Roman"/>
        </w:rPr>
        <w:t>Boulanger, Jean: “La méthode depuis le code civil de 1804 au point de vue de l´interpretation judiciaire”, en AA. AA.: “L´influence du code civil dans le monde”, Travaux de la Semaine International de Droit, Association Henri Capitant, Paris, 1.950, Éditions A. Pedone, Paris, 1.954, págs. 329-360</w:t>
      </w:r>
      <w:r>
        <w:rPr>
          <w:rFonts w:ascii="Times New Roman" w:hAnsi="Times New Roman" w:cs="Times New Roman"/>
        </w:rPr>
        <w:t>.</w:t>
      </w:r>
    </w:p>
    <w:p w:rsidR="009B64B7" w:rsidRPr="00237272" w:rsidRDefault="009B64B7" w:rsidP="009B64B7">
      <w:pPr>
        <w:pStyle w:val="Textonotapie"/>
        <w:rPr>
          <w:rFonts w:ascii="Times New Roman" w:hAnsi="Times New Roman" w:cs="Times New Roman"/>
          <w:i/>
          <w:sz w:val="22"/>
          <w:szCs w:val="22"/>
        </w:rPr>
      </w:pPr>
      <w:r w:rsidRPr="00237272">
        <w:rPr>
          <w:rFonts w:ascii="Times New Roman" w:hAnsi="Times New Roman" w:cs="Times New Roman"/>
          <w:sz w:val="22"/>
          <w:szCs w:val="22"/>
        </w:rPr>
        <w:t>Briseño Sierra</w:t>
      </w:r>
      <w:r>
        <w:rPr>
          <w:rFonts w:ascii="Times New Roman" w:hAnsi="Times New Roman" w:cs="Times New Roman"/>
          <w:sz w:val="22"/>
          <w:szCs w:val="22"/>
        </w:rPr>
        <w:t>, Humberto</w:t>
      </w:r>
      <w:r w:rsidRPr="00237272">
        <w:rPr>
          <w:rFonts w:ascii="Times New Roman" w:hAnsi="Times New Roman" w:cs="Times New Roman"/>
          <w:sz w:val="22"/>
          <w:szCs w:val="22"/>
        </w:rPr>
        <w:t>: “Los «principios» del procedimiento mexicano”, en Rev. Mex. D. Pr., Año 2, Nº 1, págs. 7-42.</w:t>
      </w:r>
    </w:p>
    <w:p w:rsidR="00F9654B" w:rsidRDefault="00F9654B" w:rsidP="00F9654B">
      <w:pPr>
        <w:spacing w:after="0" w:line="240" w:lineRule="auto"/>
        <w:contextualSpacing/>
        <w:jc w:val="both"/>
        <w:rPr>
          <w:rFonts w:ascii="Times New Roman" w:hAnsi="Times New Roman" w:cs="Times New Roman"/>
        </w:rPr>
      </w:pPr>
      <w:r w:rsidRPr="00237272">
        <w:rPr>
          <w:rFonts w:ascii="Times New Roman" w:hAnsi="Times New Roman" w:cs="Times New Roman"/>
        </w:rPr>
        <w:t>Bulygin</w:t>
      </w:r>
      <w:r>
        <w:rPr>
          <w:rFonts w:ascii="Times New Roman" w:hAnsi="Times New Roman" w:cs="Times New Roman"/>
        </w:rPr>
        <w:t>, Eugenio</w:t>
      </w:r>
      <w:r w:rsidRPr="00237272">
        <w:rPr>
          <w:rFonts w:ascii="Times New Roman" w:hAnsi="Times New Roman" w:cs="Times New Roman"/>
        </w:rPr>
        <w:t>: “Sobre la equivalencia pragmática entre permiso y no prohibición”, en AA. VV.: “El libro de los permisos”, Marcial Po</w:t>
      </w:r>
      <w:r>
        <w:rPr>
          <w:rFonts w:ascii="Times New Roman" w:hAnsi="Times New Roman" w:cs="Times New Roman"/>
        </w:rPr>
        <w:t>ns, Madrid, 2.019, págs. 87-106.</w:t>
      </w:r>
    </w:p>
    <w:p w:rsidR="00DC6041" w:rsidRDefault="00DC6041" w:rsidP="00DC6041">
      <w:pPr>
        <w:spacing w:after="0" w:line="240" w:lineRule="auto"/>
        <w:contextualSpacing/>
        <w:jc w:val="both"/>
        <w:rPr>
          <w:rFonts w:ascii="Times New Roman" w:hAnsi="Times New Roman" w:cs="Times New Roman"/>
        </w:rPr>
      </w:pPr>
      <w:r w:rsidRPr="00237272">
        <w:rPr>
          <w:rFonts w:ascii="Times New Roman" w:hAnsi="Times New Roman" w:cs="Times New Roman"/>
        </w:rPr>
        <w:t>Cabreros De Anta</w:t>
      </w:r>
      <w:r>
        <w:rPr>
          <w:rFonts w:ascii="Times New Roman" w:hAnsi="Times New Roman" w:cs="Times New Roman"/>
        </w:rPr>
        <w:t>, M</w:t>
      </w:r>
      <w:r w:rsidRPr="00237272">
        <w:rPr>
          <w:rFonts w:ascii="Times New Roman" w:hAnsi="Times New Roman" w:cs="Times New Roman"/>
        </w:rPr>
        <w:t>: “Leyes Eclesiásticas”, en AA. VV.: “Comentarios</w:t>
      </w:r>
      <w:r>
        <w:rPr>
          <w:rFonts w:ascii="Times New Roman" w:hAnsi="Times New Roman" w:cs="Times New Roman"/>
        </w:rPr>
        <w:t xml:space="preserve"> al Código de Derecho Canónico”, BAC, Madrid, 1.963.</w:t>
      </w:r>
    </w:p>
    <w:p w:rsidR="00A648C4" w:rsidRDefault="00A648C4" w:rsidP="00F9654B">
      <w:pPr>
        <w:spacing w:after="0" w:line="240" w:lineRule="auto"/>
        <w:contextualSpacing/>
        <w:jc w:val="both"/>
        <w:rPr>
          <w:rFonts w:ascii="Times New Roman" w:hAnsi="Times New Roman" w:cs="Times New Roman"/>
          <w:lang w:val="es-MX"/>
        </w:rPr>
      </w:pPr>
      <w:r w:rsidRPr="00237272">
        <w:rPr>
          <w:rFonts w:ascii="Times New Roman" w:hAnsi="Times New Roman" w:cs="Times New Roman"/>
        </w:rPr>
        <w:t>Carnelutt</w:t>
      </w:r>
      <w:r>
        <w:rPr>
          <w:rFonts w:ascii="Times New Roman" w:hAnsi="Times New Roman" w:cs="Times New Roman"/>
        </w:rPr>
        <w:t>i, Francesco</w:t>
      </w:r>
      <w:r w:rsidRPr="00237272">
        <w:rPr>
          <w:rFonts w:ascii="Times New Roman" w:hAnsi="Times New Roman" w:cs="Times New Roman"/>
        </w:rPr>
        <w:t xml:space="preserve">: “Sistema de Derecho Procesal Civil”, trad. de Niceto Alcalá-Zamora y Castillo y Santiago Sentís Melendo, </w:t>
      </w:r>
      <w:r>
        <w:rPr>
          <w:rFonts w:ascii="Times New Roman" w:hAnsi="Times New Roman" w:cs="Times New Roman"/>
        </w:rPr>
        <w:t>UTEHA, Bs. Aires, 1.944, T. I.</w:t>
      </w:r>
    </w:p>
    <w:p w:rsidR="00237272" w:rsidRPr="00237272" w:rsidRDefault="00237272" w:rsidP="00F9654B">
      <w:pPr>
        <w:spacing w:after="0" w:line="240" w:lineRule="auto"/>
        <w:contextualSpacing/>
        <w:jc w:val="both"/>
        <w:rPr>
          <w:rFonts w:ascii="Times New Roman" w:hAnsi="Times New Roman" w:cs="Times New Roman"/>
          <w:lang w:val="es-MX"/>
        </w:rPr>
      </w:pPr>
      <w:r w:rsidRPr="00237272">
        <w:rPr>
          <w:rFonts w:ascii="Times New Roman" w:hAnsi="Times New Roman" w:cs="Times New Roman"/>
          <w:lang w:val="es-MX"/>
        </w:rPr>
        <w:t>Chaumet, Mario: “Argumentación”, Astrea, Bs. Aires, 2.017.</w:t>
      </w:r>
    </w:p>
    <w:p w:rsidR="00237272" w:rsidRPr="00237272" w:rsidRDefault="00237272" w:rsidP="009928E9">
      <w:pPr>
        <w:pStyle w:val="Textonotapie"/>
        <w:rPr>
          <w:rFonts w:ascii="Times New Roman" w:hAnsi="Times New Roman" w:cs="Times New Roman"/>
          <w:sz w:val="22"/>
          <w:szCs w:val="22"/>
        </w:rPr>
      </w:pPr>
      <w:r w:rsidRPr="00237272">
        <w:rPr>
          <w:rFonts w:ascii="Times New Roman" w:hAnsi="Times New Roman" w:cs="Times New Roman"/>
          <w:sz w:val="22"/>
          <w:szCs w:val="22"/>
        </w:rPr>
        <w:t>Chiovenda Giuseppe: “Istituzioni di Diritto Processuale Civile”, Dott. Eugenio Jovene, Napoli, 1.935.</w:t>
      </w:r>
    </w:p>
    <w:p w:rsidR="00237272" w:rsidRPr="00237272" w:rsidRDefault="00237272" w:rsidP="009928E9">
      <w:pPr>
        <w:pStyle w:val="Textonotapie"/>
        <w:rPr>
          <w:rFonts w:ascii="Times New Roman" w:hAnsi="Times New Roman" w:cs="Times New Roman"/>
          <w:sz w:val="22"/>
          <w:szCs w:val="22"/>
        </w:rPr>
      </w:pPr>
      <w:r w:rsidRPr="00237272">
        <w:rPr>
          <w:rFonts w:ascii="Times New Roman" w:hAnsi="Times New Roman" w:cs="Times New Roman"/>
          <w:sz w:val="22"/>
          <w:szCs w:val="22"/>
        </w:rPr>
        <w:t>-------:  “Principios de Derecho Procesal Civil”, trad. de José Casais y Santaló, Reus S. A., Madrid, 1.977.</w:t>
      </w:r>
    </w:p>
    <w:p w:rsidR="00B86594" w:rsidRPr="00237272" w:rsidRDefault="00B86594" w:rsidP="00B86594">
      <w:pPr>
        <w:spacing w:after="0" w:line="240" w:lineRule="auto"/>
        <w:contextualSpacing/>
        <w:jc w:val="both"/>
        <w:rPr>
          <w:rFonts w:ascii="Times New Roman" w:hAnsi="Times New Roman" w:cs="Times New Roman"/>
        </w:rPr>
      </w:pPr>
      <w:r w:rsidRPr="00237272">
        <w:rPr>
          <w:rFonts w:ascii="Times New Roman" w:hAnsi="Times New Roman" w:cs="Times New Roman"/>
        </w:rPr>
        <w:t>Couture, Eduardo J.: ““La enseñanza de Chiovenda sobre interpretación de las leyes procesales”, en Rev. D. Pr. Arg. 1.947, págs. 514-527.</w:t>
      </w:r>
    </w:p>
    <w:p w:rsidR="00237272" w:rsidRDefault="00237272" w:rsidP="00237272">
      <w:pPr>
        <w:spacing w:after="0" w:line="240" w:lineRule="auto"/>
        <w:contextualSpacing/>
        <w:jc w:val="both"/>
        <w:rPr>
          <w:rFonts w:ascii="Times New Roman" w:hAnsi="Times New Roman" w:cs="Times New Roman"/>
        </w:rPr>
      </w:pPr>
      <w:r w:rsidRPr="00237272">
        <w:rPr>
          <w:rFonts w:ascii="Times New Roman" w:hAnsi="Times New Roman" w:cs="Times New Roman"/>
        </w:rPr>
        <w:t>-------: “Fundamentos del Derecho Procesal Civil”, Depalma, Bs. Aires, 1.966.</w:t>
      </w:r>
    </w:p>
    <w:p w:rsidR="00F9654B" w:rsidRPr="00237272" w:rsidRDefault="00F9654B" w:rsidP="00237272">
      <w:pPr>
        <w:spacing w:after="0" w:line="240" w:lineRule="auto"/>
        <w:contextualSpacing/>
        <w:jc w:val="both"/>
        <w:rPr>
          <w:rFonts w:ascii="Times New Roman" w:hAnsi="Times New Roman" w:cs="Times New Roman"/>
        </w:rPr>
      </w:pPr>
      <w:r>
        <w:rPr>
          <w:rFonts w:ascii="Times New Roman" w:hAnsi="Times New Roman" w:cs="Times New Roman"/>
        </w:rPr>
        <w:t xml:space="preserve">-------: </w:t>
      </w:r>
      <w:r w:rsidRPr="00237272">
        <w:rPr>
          <w:rFonts w:ascii="Times New Roman" w:hAnsi="Times New Roman" w:cs="Times New Roman"/>
        </w:rPr>
        <w:t>“Estudios de Derecho Procesal”, Depalma, Bs. Aires, 1.978, T. III</w:t>
      </w:r>
      <w:r>
        <w:rPr>
          <w:rFonts w:ascii="Times New Roman" w:hAnsi="Times New Roman" w:cs="Times New Roman"/>
        </w:rPr>
        <w:t>.</w:t>
      </w:r>
    </w:p>
    <w:p w:rsidR="009928E9" w:rsidRDefault="00237272" w:rsidP="00B86594">
      <w:pPr>
        <w:spacing w:after="0" w:line="240" w:lineRule="auto"/>
        <w:contextualSpacing/>
        <w:jc w:val="both"/>
        <w:rPr>
          <w:rFonts w:ascii="Times New Roman" w:hAnsi="Times New Roman" w:cs="Times New Roman"/>
        </w:rPr>
      </w:pPr>
      <w:r w:rsidRPr="00237272">
        <w:rPr>
          <w:rFonts w:ascii="Times New Roman" w:hAnsi="Times New Roman" w:cs="Times New Roman"/>
        </w:rPr>
        <w:t>-------: “Vocabulario jurídico”, Depalma, Bs. Aires, 1.983.</w:t>
      </w:r>
    </w:p>
    <w:p w:rsidR="00F9654B" w:rsidRDefault="00F9654B" w:rsidP="00F9654B">
      <w:pPr>
        <w:spacing w:after="0" w:line="240" w:lineRule="auto"/>
        <w:contextualSpacing/>
        <w:jc w:val="both"/>
        <w:rPr>
          <w:rFonts w:ascii="Times New Roman" w:hAnsi="Times New Roman" w:cs="Times New Roman"/>
        </w:rPr>
      </w:pPr>
      <w:r w:rsidRPr="00237272">
        <w:rPr>
          <w:rFonts w:ascii="Times New Roman" w:hAnsi="Times New Roman" w:cs="Times New Roman"/>
        </w:rPr>
        <w:t>Devis Echandía</w:t>
      </w:r>
      <w:r>
        <w:rPr>
          <w:rFonts w:ascii="Times New Roman" w:hAnsi="Times New Roman" w:cs="Times New Roman"/>
        </w:rPr>
        <w:t>, Hernando</w:t>
      </w:r>
      <w:r w:rsidRPr="00237272">
        <w:rPr>
          <w:rFonts w:ascii="Times New Roman" w:hAnsi="Times New Roman" w:cs="Times New Roman"/>
        </w:rPr>
        <w:t>: “Nociones generales de Derecho Procesal</w:t>
      </w:r>
      <w:r>
        <w:rPr>
          <w:rFonts w:ascii="Times New Roman" w:hAnsi="Times New Roman" w:cs="Times New Roman"/>
        </w:rPr>
        <w:t xml:space="preserve"> Civil”, Aguilar, Madrid, 1.966.</w:t>
      </w:r>
    </w:p>
    <w:p w:rsidR="00F9654B" w:rsidRDefault="00F9654B" w:rsidP="00F9654B">
      <w:pPr>
        <w:spacing w:after="0" w:line="240" w:lineRule="auto"/>
        <w:contextualSpacing/>
        <w:jc w:val="both"/>
        <w:rPr>
          <w:rFonts w:ascii="Times New Roman" w:hAnsi="Times New Roman" w:cs="Times New Roman"/>
        </w:rPr>
      </w:pPr>
      <w:r>
        <w:rPr>
          <w:rFonts w:ascii="Times New Roman" w:hAnsi="Times New Roman" w:cs="Times New Roman"/>
        </w:rPr>
        <w:t xml:space="preserve">-------: </w:t>
      </w:r>
      <w:r w:rsidRPr="00237272">
        <w:rPr>
          <w:rFonts w:ascii="Times New Roman" w:hAnsi="Times New Roman" w:cs="Times New Roman"/>
        </w:rPr>
        <w:t>“Principios fundamentales del Derecho Procesal Penal”, en Rev. D. Pr. Ib. –España-, 1.982, Nº 4, págs. 537-606</w:t>
      </w:r>
      <w:r>
        <w:rPr>
          <w:rFonts w:ascii="Times New Roman" w:hAnsi="Times New Roman" w:cs="Times New Roman"/>
        </w:rPr>
        <w:t>.</w:t>
      </w:r>
    </w:p>
    <w:p w:rsidR="00B86594" w:rsidRDefault="00B86594" w:rsidP="00B86594">
      <w:pPr>
        <w:spacing w:after="0" w:line="240" w:lineRule="auto"/>
        <w:contextualSpacing/>
        <w:jc w:val="both"/>
        <w:rPr>
          <w:rFonts w:ascii="Times New Roman" w:hAnsi="Times New Roman" w:cs="Times New Roman"/>
        </w:rPr>
      </w:pPr>
      <w:r w:rsidRPr="00237272">
        <w:rPr>
          <w:rFonts w:ascii="Times New Roman" w:hAnsi="Times New Roman" w:cs="Times New Roman"/>
        </w:rPr>
        <w:t xml:space="preserve">Esser, Josef: “Principio y norma en la elaboración  jurisprudencial del derecho privado”, trad. de Eduardo Valenti Fiol, ediciones Olejnik, Santiago de Chile, 2.019. </w:t>
      </w:r>
    </w:p>
    <w:p w:rsidR="00DC6041" w:rsidRDefault="00DC6041" w:rsidP="00B86594">
      <w:pPr>
        <w:spacing w:after="0" w:line="240" w:lineRule="auto"/>
        <w:contextualSpacing/>
        <w:jc w:val="both"/>
        <w:rPr>
          <w:rFonts w:ascii="Times New Roman" w:hAnsi="Times New Roman" w:cs="Times New Roman"/>
        </w:rPr>
      </w:pPr>
      <w:r w:rsidRPr="00237272">
        <w:rPr>
          <w:rFonts w:ascii="Times New Roman" w:hAnsi="Times New Roman" w:cs="Times New Roman"/>
        </w:rPr>
        <w:t>Ferrajoli</w:t>
      </w:r>
      <w:r>
        <w:rPr>
          <w:rFonts w:ascii="Times New Roman" w:hAnsi="Times New Roman" w:cs="Times New Roman"/>
        </w:rPr>
        <w:t xml:space="preserve">, Luigi </w:t>
      </w:r>
      <w:r w:rsidRPr="00237272">
        <w:rPr>
          <w:rFonts w:ascii="Times New Roman" w:hAnsi="Times New Roman" w:cs="Times New Roman"/>
        </w:rPr>
        <w:t>: Constitucionalismo principialista y constitucionalismo garantista”, trad. de Nicolás Guzmán, DOXA, 34, 2.012, págs. 15-53</w:t>
      </w:r>
      <w:r>
        <w:rPr>
          <w:rFonts w:ascii="Times New Roman" w:hAnsi="Times New Roman" w:cs="Times New Roman"/>
        </w:rPr>
        <w:t>.</w:t>
      </w:r>
    </w:p>
    <w:p w:rsidR="00DC6041" w:rsidRDefault="00DC6041" w:rsidP="00B86594">
      <w:pPr>
        <w:spacing w:after="0" w:line="240" w:lineRule="auto"/>
        <w:contextualSpacing/>
        <w:jc w:val="both"/>
        <w:rPr>
          <w:rFonts w:ascii="Times New Roman" w:hAnsi="Times New Roman" w:cs="Times New Roman"/>
        </w:rPr>
      </w:pPr>
      <w:r>
        <w:rPr>
          <w:rFonts w:ascii="Times New Roman" w:hAnsi="Times New Roman" w:cs="Times New Roman"/>
        </w:rPr>
        <w:t xml:space="preserve">-------: </w:t>
      </w:r>
      <w:r w:rsidRPr="00237272">
        <w:rPr>
          <w:rFonts w:ascii="Times New Roman" w:hAnsi="Times New Roman" w:cs="Times New Roman"/>
        </w:rPr>
        <w:t>“El constitucionalismo entre principios y reglas”, trad. de  Perfecto Andrés Ibáñez, Doxa 35 (2.012), págs. 791-817</w:t>
      </w:r>
      <w:r>
        <w:rPr>
          <w:rFonts w:ascii="Times New Roman" w:hAnsi="Times New Roman" w:cs="Times New Roman"/>
        </w:rPr>
        <w:t>.</w:t>
      </w:r>
    </w:p>
    <w:p w:rsidR="00345855" w:rsidRDefault="00345855" w:rsidP="00B86594">
      <w:pPr>
        <w:spacing w:after="0" w:line="240" w:lineRule="auto"/>
        <w:contextualSpacing/>
        <w:jc w:val="both"/>
        <w:rPr>
          <w:rFonts w:ascii="Times New Roman" w:hAnsi="Times New Roman" w:cs="Times New Roman"/>
        </w:rPr>
      </w:pPr>
      <w:r w:rsidRPr="00237272">
        <w:rPr>
          <w:rFonts w:ascii="Times New Roman" w:hAnsi="Times New Roman" w:cs="Times New Roman"/>
        </w:rPr>
        <w:t>Gaido</w:t>
      </w:r>
      <w:r>
        <w:rPr>
          <w:rFonts w:ascii="Times New Roman" w:hAnsi="Times New Roman" w:cs="Times New Roman"/>
        </w:rPr>
        <w:t>, Paula</w:t>
      </w:r>
      <w:r w:rsidRPr="00237272">
        <w:rPr>
          <w:rFonts w:ascii="Times New Roman" w:hAnsi="Times New Roman" w:cs="Times New Roman"/>
        </w:rPr>
        <w:t>: “Los desafíos de la ponderación a la luz del ideal del «</w:t>
      </w:r>
      <w:r w:rsidRPr="00237272">
        <w:rPr>
          <w:rFonts w:ascii="Times New Roman" w:hAnsi="Times New Roman" w:cs="Times New Roman"/>
          <w:i/>
        </w:rPr>
        <w:t>rule of law»</w:t>
      </w:r>
      <w:r w:rsidRPr="00237272">
        <w:rPr>
          <w:rFonts w:ascii="Times New Roman" w:hAnsi="Times New Roman" w:cs="Times New Roman"/>
        </w:rPr>
        <w:t>: algunas preguntas a Ruiz Manero”. En AA. VV.: “Imperio</w:t>
      </w:r>
      <w:r w:rsidR="00AD0F40">
        <w:rPr>
          <w:rFonts w:ascii="Times New Roman" w:hAnsi="Times New Roman" w:cs="Times New Roman"/>
        </w:rPr>
        <w:t xml:space="preserve"> de la Ley y Ponderación de Principios”, Astrea, Bs. Aires</w:t>
      </w:r>
      <w:r w:rsidRPr="00237272">
        <w:rPr>
          <w:rFonts w:ascii="Times New Roman" w:hAnsi="Times New Roman" w:cs="Times New Roman"/>
        </w:rPr>
        <w:t>,</w:t>
      </w:r>
      <w:r w:rsidR="00AD0F40">
        <w:rPr>
          <w:rFonts w:ascii="Times New Roman" w:hAnsi="Times New Roman" w:cs="Times New Roman"/>
        </w:rPr>
        <w:t xml:space="preserve"> 2.018</w:t>
      </w:r>
      <w:r w:rsidRPr="00237272">
        <w:rPr>
          <w:rFonts w:ascii="Times New Roman" w:hAnsi="Times New Roman" w:cs="Times New Roman"/>
        </w:rPr>
        <w:t>, págs. 47-55</w:t>
      </w:r>
    </w:p>
    <w:p w:rsidR="00AF4CD8" w:rsidRPr="00AE0067" w:rsidRDefault="00AF4CD8" w:rsidP="00AF4CD8">
      <w:pPr>
        <w:pStyle w:val="Textonotapie"/>
        <w:jc w:val="both"/>
        <w:rPr>
          <w:rFonts w:ascii="Times New Roman" w:hAnsi="Times New Roman" w:cs="Times New Roman"/>
          <w:sz w:val="22"/>
          <w:szCs w:val="22"/>
          <w:lang w:val="es-UY"/>
        </w:rPr>
      </w:pPr>
      <w:r w:rsidRPr="00237272">
        <w:rPr>
          <w:rFonts w:ascii="Times New Roman" w:hAnsi="Times New Roman" w:cs="Times New Roman"/>
          <w:sz w:val="22"/>
          <w:szCs w:val="22"/>
        </w:rPr>
        <w:t>Gamarra</w:t>
      </w:r>
      <w:r>
        <w:rPr>
          <w:rFonts w:ascii="Times New Roman" w:hAnsi="Times New Roman" w:cs="Times New Roman"/>
          <w:sz w:val="22"/>
          <w:szCs w:val="22"/>
        </w:rPr>
        <w:t>, Jorge</w:t>
      </w:r>
      <w:r w:rsidRPr="00237272">
        <w:rPr>
          <w:rFonts w:ascii="Times New Roman" w:hAnsi="Times New Roman" w:cs="Times New Roman"/>
          <w:sz w:val="22"/>
          <w:szCs w:val="22"/>
        </w:rPr>
        <w:t>: “Neoconstitucionalismo Código y Ley Especial”, FCU, Montevideo, 2.012</w:t>
      </w:r>
      <w:r>
        <w:rPr>
          <w:rFonts w:ascii="Times New Roman" w:hAnsi="Times New Roman" w:cs="Times New Roman"/>
          <w:sz w:val="22"/>
          <w:szCs w:val="22"/>
        </w:rPr>
        <w:t>.</w:t>
      </w:r>
    </w:p>
    <w:p w:rsidR="00237272" w:rsidRDefault="00237272" w:rsidP="00237272">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García Amado, Juan Antonio: “Prólogo”, en:  Oscar Sarlo, Darío Burstin, Serrana Delgado, Leandro Francolino, José Gabriel Gómez Leiza y Guzmán Rodríguez Carrau: “La era de los principios: entre compromiso moral y retórica vacía. Análisis teórico y usos discursivos en el Derecho uruguayo”, FCU, Montevideo, 2.018, págs. 7-11, esp. pág. 7.</w:t>
      </w:r>
    </w:p>
    <w:p w:rsidR="00A648C4" w:rsidRDefault="00A648C4" w:rsidP="00A648C4">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Guasp</w:t>
      </w:r>
      <w:r>
        <w:rPr>
          <w:rFonts w:ascii="Times New Roman" w:hAnsi="Times New Roman" w:cs="Times New Roman"/>
          <w:sz w:val="22"/>
          <w:szCs w:val="22"/>
        </w:rPr>
        <w:t>, Jaime</w:t>
      </w:r>
      <w:r w:rsidRPr="00237272">
        <w:rPr>
          <w:rFonts w:ascii="Times New Roman" w:hAnsi="Times New Roman" w:cs="Times New Roman"/>
          <w:sz w:val="22"/>
          <w:szCs w:val="22"/>
        </w:rPr>
        <w:t xml:space="preserve">: “Derecho Procesal Civil”, Instituto de Estudios Políticos, </w:t>
      </w:r>
      <w:r>
        <w:rPr>
          <w:rFonts w:ascii="Times New Roman" w:hAnsi="Times New Roman" w:cs="Times New Roman"/>
          <w:sz w:val="22"/>
          <w:szCs w:val="22"/>
        </w:rPr>
        <w:t>Madrid, 1.968.</w:t>
      </w:r>
    </w:p>
    <w:p w:rsidR="009B64B7" w:rsidRPr="00237272" w:rsidRDefault="009B64B7" w:rsidP="009B64B7">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Iturralde Sesma</w:t>
      </w:r>
      <w:r>
        <w:rPr>
          <w:rFonts w:ascii="Times New Roman" w:hAnsi="Times New Roman" w:cs="Times New Roman"/>
          <w:sz w:val="22"/>
          <w:szCs w:val="22"/>
        </w:rPr>
        <w:t>, Victoria</w:t>
      </w:r>
      <w:r w:rsidRPr="00237272">
        <w:rPr>
          <w:rFonts w:ascii="Times New Roman" w:hAnsi="Times New Roman" w:cs="Times New Roman"/>
          <w:sz w:val="22"/>
          <w:szCs w:val="22"/>
        </w:rPr>
        <w:t>: “Interpretación literal y significado convencional. Una reflexión sobre los límites de la interpretación jurídica”, Marcial Pons, Madrid, 2.014</w:t>
      </w:r>
      <w:r>
        <w:rPr>
          <w:rFonts w:ascii="Times New Roman" w:hAnsi="Times New Roman" w:cs="Times New Roman"/>
          <w:sz w:val="22"/>
          <w:szCs w:val="22"/>
        </w:rPr>
        <w:t>.</w:t>
      </w:r>
    </w:p>
    <w:p w:rsidR="00DC6041" w:rsidRDefault="00DC6041" w:rsidP="00DC6041">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Jiménez de Aréchaga</w:t>
      </w:r>
      <w:r>
        <w:rPr>
          <w:rFonts w:ascii="Times New Roman" w:hAnsi="Times New Roman" w:cs="Times New Roman"/>
          <w:sz w:val="22"/>
          <w:szCs w:val="22"/>
        </w:rPr>
        <w:t>, Justino</w:t>
      </w:r>
      <w:r w:rsidRPr="00237272">
        <w:rPr>
          <w:rFonts w:ascii="Times New Roman" w:hAnsi="Times New Roman" w:cs="Times New Roman"/>
          <w:sz w:val="22"/>
          <w:szCs w:val="22"/>
        </w:rPr>
        <w:t>: “La Constitución Nacional”, T. I, Cámara de Senadores, Montevideo, 1.991</w:t>
      </w:r>
      <w:r>
        <w:rPr>
          <w:rFonts w:ascii="Times New Roman" w:hAnsi="Times New Roman" w:cs="Times New Roman"/>
          <w:sz w:val="22"/>
          <w:szCs w:val="22"/>
        </w:rPr>
        <w:t>.</w:t>
      </w:r>
    </w:p>
    <w:p w:rsidR="00AD0F40" w:rsidRPr="00237272" w:rsidRDefault="00AD0F40" w:rsidP="00AD0F40">
      <w:pPr>
        <w:pStyle w:val="Textonotapie"/>
        <w:rPr>
          <w:rFonts w:ascii="Times New Roman" w:hAnsi="Times New Roman" w:cs="Times New Roman"/>
          <w:sz w:val="22"/>
          <w:szCs w:val="22"/>
          <w:lang w:val="es-UY"/>
        </w:rPr>
      </w:pPr>
      <w:r w:rsidRPr="00237272">
        <w:rPr>
          <w:rFonts w:ascii="Times New Roman" w:hAnsi="Times New Roman" w:cs="Times New Roman"/>
          <w:sz w:val="22"/>
          <w:szCs w:val="22"/>
          <w:lang w:val="es-UY"/>
        </w:rPr>
        <w:t>Klett</w:t>
      </w:r>
      <w:r>
        <w:rPr>
          <w:rFonts w:ascii="Times New Roman" w:hAnsi="Times New Roman" w:cs="Times New Roman"/>
          <w:sz w:val="22"/>
          <w:szCs w:val="22"/>
          <w:lang w:val="es-UY"/>
        </w:rPr>
        <w:t>, Selva A.</w:t>
      </w:r>
      <w:r w:rsidRPr="00237272">
        <w:rPr>
          <w:rFonts w:ascii="Times New Roman" w:hAnsi="Times New Roman" w:cs="Times New Roman"/>
          <w:sz w:val="22"/>
          <w:szCs w:val="22"/>
          <w:lang w:val="es-UY"/>
        </w:rPr>
        <w:t>: “La vigencia de las  nuevas normas y los procesos en trámite”, en “Curso sobre el CGP”  del Instituto Uruguayo de Derecho Procesal, T. I, FCU, Montevideo, 1.989, págs. 21-37</w:t>
      </w:r>
      <w:r>
        <w:rPr>
          <w:rFonts w:ascii="Times New Roman" w:hAnsi="Times New Roman" w:cs="Times New Roman"/>
          <w:sz w:val="22"/>
          <w:szCs w:val="22"/>
          <w:lang w:val="es-UY"/>
        </w:rPr>
        <w:t>.</w:t>
      </w:r>
    </w:p>
    <w:p w:rsidR="009B64B7" w:rsidRPr="00237272" w:rsidRDefault="009B64B7" w:rsidP="009B64B7">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Larenz</w:t>
      </w:r>
      <w:r>
        <w:rPr>
          <w:rFonts w:ascii="Times New Roman" w:hAnsi="Times New Roman" w:cs="Times New Roman"/>
          <w:sz w:val="22"/>
          <w:szCs w:val="22"/>
        </w:rPr>
        <w:t>, Karl</w:t>
      </w:r>
      <w:r w:rsidRPr="00237272">
        <w:rPr>
          <w:rFonts w:ascii="Times New Roman" w:hAnsi="Times New Roman" w:cs="Times New Roman"/>
          <w:sz w:val="22"/>
          <w:szCs w:val="22"/>
        </w:rPr>
        <w:t>: “Metodologia de la ciencia del Derecho”, trad. de Marcelino Rodríguez Molinero, Ariel Derecho, Barcelona, 1.994</w:t>
      </w:r>
      <w:r>
        <w:rPr>
          <w:rFonts w:ascii="Times New Roman" w:hAnsi="Times New Roman" w:cs="Times New Roman"/>
          <w:sz w:val="22"/>
          <w:szCs w:val="22"/>
        </w:rPr>
        <w:t>.</w:t>
      </w:r>
    </w:p>
    <w:p w:rsidR="009928E9" w:rsidRDefault="009928E9" w:rsidP="00237272">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Millar</w:t>
      </w:r>
      <w:r>
        <w:rPr>
          <w:rFonts w:ascii="Times New Roman" w:hAnsi="Times New Roman" w:cs="Times New Roman"/>
          <w:sz w:val="22"/>
          <w:szCs w:val="22"/>
        </w:rPr>
        <w:t>, Robert Wyness</w:t>
      </w:r>
      <w:r w:rsidRPr="00237272">
        <w:rPr>
          <w:rFonts w:ascii="Times New Roman" w:hAnsi="Times New Roman" w:cs="Times New Roman"/>
          <w:sz w:val="22"/>
          <w:szCs w:val="22"/>
        </w:rPr>
        <w:t>: “Los principios formativos del procedimiento civil”, trad. de Catalina Grossman, Ediar S. A., Bs. Aires, 1.945</w:t>
      </w:r>
      <w:r>
        <w:rPr>
          <w:rFonts w:ascii="Times New Roman" w:hAnsi="Times New Roman" w:cs="Times New Roman"/>
          <w:sz w:val="22"/>
          <w:szCs w:val="22"/>
        </w:rPr>
        <w:t>.</w:t>
      </w:r>
    </w:p>
    <w:p w:rsidR="00993BA1" w:rsidRDefault="00993BA1" w:rsidP="00993BA1">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lastRenderedPageBreak/>
        <w:t>Montero Aroca</w:t>
      </w:r>
      <w:r>
        <w:rPr>
          <w:rFonts w:ascii="Times New Roman" w:hAnsi="Times New Roman" w:cs="Times New Roman"/>
          <w:sz w:val="22"/>
          <w:szCs w:val="22"/>
        </w:rPr>
        <w:t>, Juan</w:t>
      </w:r>
      <w:r w:rsidRPr="00237272">
        <w:rPr>
          <w:rFonts w:ascii="Times New Roman" w:hAnsi="Times New Roman" w:cs="Times New Roman"/>
          <w:sz w:val="22"/>
          <w:szCs w:val="22"/>
        </w:rPr>
        <w:t>: “Principios del proceso penal. Una explicación basada en la razón”, Astrea-Tirant lo Blanch, Bs. Aires, 2.016</w:t>
      </w:r>
      <w:r>
        <w:rPr>
          <w:rFonts w:ascii="Times New Roman" w:hAnsi="Times New Roman" w:cs="Times New Roman"/>
          <w:sz w:val="22"/>
          <w:szCs w:val="22"/>
        </w:rPr>
        <w:t>.</w:t>
      </w:r>
    </w:p>
    <w:p w:rsidR="00AD0F40" w:rsidRDefault="00AD0F40" w:rsidP="00AD0F40">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Moreso</w:t>
      </w:r>
      <w:r>
        <w:rPr>
          <w:rFonts w:ascii="Times New Roman" w:hAnsi="Times New Roman" w:cs="Times New Roman"/>
          <w:sz w:val="22"/>
          <w:szCs w:val="22"/>
        </w:rPr>
        <w:t>, J. J.</w:t>
      </w:r>
      <w:r w:rsidRPr="00237272">
        <w:rPr>
          <w:rFonts w:ascii="Times New Roman" w:hAnsi="Times New Roman" w:cs="Times New Roman"/>
          <w:sz w:val="22"/>
          <w:szCs w:val="22"/>
        </w:rPr>
        <w:t>: “A modo de prefacio”, en Juan Pablo Alonso: “Principios jurídicos implícitos”, Marcial Pons, Madrid, 2.018, págs. 17-18.</w:t>
      </w:r>
    </w:p>
    <w:p w:rsidR="00DF421F" w:rsidRDefault="00A648C4" w:rsidP="00237272">
      <w:pPr>
        <w:pStyle w:val="Textonotapie"/>
        <w:jc w:val="both"/>
        <w:rPr>
          <w:rFonts w:ascii="Times New Roman" w:hAnsi="Times New Roman" w:cs="Times New Roman"/>
          <w:sz w:val="22"/>
          <w:szCs w:val="22"/>
        </w:rPr>
      </w:pPr>
      <w:r>
        <w:rPr>
          <w:rFonts w:ascii="Times New Roman" w:hAnsi="Times New Roman" w:cs="Times New Roman"/>
          <w:sz w:val="22"/>
          <w:szCs w:val="22"/>
        </w:rPr>
        <w:t>P</w:t>
      </w:r>
      <w:r w:rsidRPr="00237272">
        <w:rPr>
          <w:rFonts w:ascii="Times New Roman" w:hAnsi="Times New Roman" w:cs="Times New Roman"/>
          <w:sz w:val="22"/>
          <w:szCs w:val="22"/>
        </w:rPr>
        <w:t>alacio</w:t>
      </w:r>
      <w:r>
        <w:rPr>
          <w:rFonts w:ascii="Times New Roman" w:hAnsi="Times New Roman" w:cs="Times New Roman"/>
          <w:sz w:val="22"/>
          <w:szCs w:val="22"/>
        </w:rPr>
        <w:t>, Lino Enrique</w:t>
      </w:r>
      <w:r w:rsidRPr="00237272">
        <w:rPr>
          <w:rFonts w:ascii="Times New Roman" w:hAnsi="Times New Roman" w:cs="Times New Roman"/>
          <w:sz w:val="22"/>
          <w:szCs w:val="22"/>
        </w:rPr>
        <w:t>: “Derecho Procesal Civil”, T. I, Abeledo-Perrot, Bs. Aires, 1.979</w:t>
      </w:r>
      <w:r>
        <w:rPr>
          <w:rFonts w:ascii="Times New Roman" w:hAnsi="Times New Roman" w:cs="Times New Roman"/>
          <w:sz w:val="22"/>
          <w:szCs w:val="22"/>
        </w:rPr>
        <w:t>.</w:t>
      </w:r>
    </w:p>
    <w:p w:rsidR="00DF421F" w:rsidRPr="00237272" w:rsidRDefault="00DF421F" w:rsidP="00DF421F">
      <w:pPr>
        <w:pStyle w:val="Textonotapie"/>
        <w:rPr>
          <w:rFonts w:ascii="Times New Roman" w:hAnsi="Times New Roman" w:cs="Times New Roman"/>
          <w:sz w:val="22"/>
          <w:szCs w:val="22"/>
        </w:rPr>
      </w:pPr>
      <w:r w:rsidRPr="00237272">
        <w:rPr>
          <w:rFonts w:ascii="Times New Roman" w:hAnsi="Times New Roman" w:cs="Times New Roman"/>
          <w:sz w:val="22"/>
          <w:szCs w:val="22"/>
        </w:rPr>
        <w:t>Perelman</w:t>
      </w:r>
      <w:r>
        <w:rPr>
          <w:rFonts w:ascii="Times New Roman" w:hAnsi="Times New Roman" w:cs="Times New Roman"/>
          <w:sz w:val="22"/>
          <w:szCs w:val="22"/>
        </w:rPr>
        <w:t>, Chaïm</w:t>
      </w:r>
      <w:r w:rsidRPr="00237272">
        <w:rPr>
          <w:rFonts w:ascii="Times New Roman" w:hAnsi="Times New Roman" w:cs="Times New Roman"/>
          <w:sz w:val="22"/>
          <w:szCs w:val="22"/>
        </w:rPr>
        <w:t>: Ética e direito·, trad. de María Ermantina De Almeida Prado Galvao, Livraria Martins Fontes Editore, São Paulo, 2.011</w:t>
      </w:r>
      <w:r>
        <w:rPr>
          <w:rFonts w:ascii="Times New Roman" w:hAnsi="Times New Roman" w:cs="Times New Roman"/>
          <w:sz w:val="22"/>
          <w:szCs w:val="22"/>
        </w:rPr>
        <w:t>.</w:t>
      </w:r>
    </w:p>
    <w:p w:rsidR="009928E9" w:rsidRDefault="009928E9" w:rsidP="00237272">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Peyrano</w:t>
      </w:r>
      <w:r>
        <w:rPr>
          <w:rFonts w:ascii="Times New Roman" w:hAnsi="Times New Roman" w:cs="Times New Roman"/>
          <w:sz w:val="22"/>
          <w:szCs w:val="22"/>
        </w:rPr>
        <w:t>, Jorge Walter</w:t>
      </w:r>
      <w:r w:rsidRPr="00237272">
        <w:rPr>
          <w:rFonts w:ascii="Times New Roman" w:hAnsi="Times New Roman" w:cs="Times New Roman"/>
          <w:sz w:val="22"/>
          <w:szCs w:val="22"/>
        </w:rPr>
        <w:t>: “El proceso civil. Principios y fundamentos”, Astrea, B</w:t>
      </w:r>
      <w:r>
        <w:rPr>
          <w:rFonts w:ascii="Times New Roman" w:hAnsi="Times New Roman" w:cs="Times New Roman"/>
          <w:sz w:val="22"/>
          <w:szCs w:val="22"/>
        </w:rPr>
        <w:t>s. Aires, 1.978.</w:t>
      </w:r>
    </w:p>
    <w:p w:rsidR="00DF421F" w:rsidRDefault="00DF421F" w:rsidP="00DF421F">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Portalis</w:t>
      </w:r>
      <w:r>
        <w:rPr>
          <w:rFonts w:ascii="Times New Roman" w:hAnsi="Times New Roman" w:cs="Times New Roman"/>
          <w:sz w:val="22"/>
          <w:szCs w:val="22"/>
        </w:rPr>
        <w:t>, Jean-Étienne-Marie</w:t>
      </w:r>
      <w:r w:rsidRPr="00237272">
        <w:rPr>
          <w:rFonts w:ascii="Times New Roman" w:hAnsi="Times New Roman" w:cs="Times New Roman"/>
          <w:sz w:val="22"/>
          <w:szCs w:val="22"/>
        </w:rPr>
        <w:t>: “Discours, rapports et travaux inédits sur le Code Civil”, publiés par le vicomte Frédéric Portalis, Joubert, Paris, 1.844</w:t>
      </w:r>
      <w:r>
        <w:rPr>
          <w:rFonts w:ascii="Times New Roman" w:hAnsi="Times New Roman" w:cs="Times New Roman"/>
          <w:sz w:val="22"/>
          <w:szCs w:val="22"/>
        </w:rPr>
        <w:t>.</w:t>
      </w:r>
    </w:p>
    <w:p w:rsidR="00AF4CD8" w:rsidRDefault="00AF4CD8" w:rsidP="00DF421F">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Pozzolo</w:t>
      </w:r>
      <w:r>
        <w:rPr>
          <w:rFonts w:ascii="Times New Roman" w:hAnsi="Times New Roman" w:cs="Times New Roman"/>
          <w:sz w:val="22"/>
          <w:szCs w:val="22"/>
        </w:rPr>
        <w:t>, Susana</w:t>
      </w:r>
      <w:r w:rsidRPr="00237272">
        <w:rPr>
          <w:rFonts w:ascii="Times New Roman" w:hAnsi="Times New Roman" w:cs="Times New Roman"/>
          <w:sz w:val="22"/>
          <w:szCs w:val="22"/>
        </w:rPr>
        <w:t>: “Un constitucionalismo ambiguo”, trad. de Miguel Carbonell, en AA. VV.: “Neoconstitucionalismo(s)” (ed. de Miguel Carbonell), Trotta; Madrid, 2.009, págs. 187-210</w:t>
      </w:r>
      <w:r>
        <w:rPr>
          <w:rFonts w:ascii="Times New Roman" w:hAnsi="Times New Roman" w:cs="Times New Roman"/>
          <w:sz w:val="22"/>
          <w:szCs w:val="22"/>
        </w:rPr>
        <w:t>.</w:t>
      </w:r>
    </w:p>
    <w:p w:rsidR="009B64B7" w:rsidRPr="00237272" w:rsidRDefault="009B64B7" w:rsidP="009B64B7">
      <w:pPr>
        <w:pStyle w:val="Textonotapie"/>
        <w:rPr>
          <w:rFonts w:ascii="Times New Roman" w:hAnsi="Times New Roman" w:cs="Times New Roman"/>
          <w:sz w:val="22"/>
          <w:szCs w:val="22"/>
        </w:rPr>
      </w:pPr>
      <w:r w:rsidRPr="00237272">
        <w:rPr>
          <w:rFonts w:ascii="Times New Roman" w:hAnsi="Times New Roman" w:cs="Times New Roman"/>
          <w:sz w:val="22"/>
          <w:szCs w:val="22"/>
        </w:rPr>
        <w:t>Ródenas</w:t>
      </w:r>
      <w:r>
        <w:rPr>
          <w:rFonts w:ascii="Times New Roman" w:hAnsi="Times New Roman" w:cs="Times New Roman"/>
          <w:sz w:val="22"/>
          <w:szCs w:val="22"/>
        </w:rPr>
        <w:t>, Ángeles</w:t>
      </w:r>
      <w:r w:rsidRPr="00237272">
        <w:rPr>
          <w:rFonts w:ascii="Times New Roman" w:hAnsi="Times New Roman" w:cs="Times New Roman"/>
          <w:sz w:val="22"/>
          <w:szCs w:val="22"/>
        </w:rPr>
        <w:t>: “¿Qué queda del positivismo jurídico?”, en Doxa 26 (2.003), págs. 417-448</w:t>
      </w:r>
      <w:r>
        <w:rPr>
          <w:rFonts w:ascii="Times New Roman" w:hAnsi="Times New Roman" w:cs="Times New Roman"/>
          <w:sz w:val="22"/>
          <w:szCs w:val="22"/>
        </w:rPr>
        <w:t>.</w:t>
      </w:r>
      <w:r w:rsidRPr="00237272">
        <w:rPr>
          <w:rFonts w:ascii="Times New Roman" w:hAnsi="Times New Roman" w:cs="Times New Roman"/>
          <w:sz w:val="22"/>
          <w:szCs w:val="22"/>
        </w:rPr>
        <w:t xml:space="preserve">  </w:t>
      </w:r>
    </w:p>
    <w:p w:rsidR="00DF421F" w:rsidRDefault="00DF421F" w:rsidP="00DF421F">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Ruiz Manero</w:t>
      </w:r>
      <w:r>
        <w:rPr>
          <w:rFonts w:ascii="Times New Roman" w:hAnsi="Times New Roman" w:cs="Times New Roman"/>
          <w:sz w:val="22"/>
          <w:szCs w:val="22"/>
        </w:rPr>
        <w:t>, Juan</w:t>
      </w:r>
      <w:r w:rsidRPr="00237272">
        <w:rPr>
          <w:rFonts w:ascii="Times New Roman" w:hAnsi="Times New Roman" w:cs="Times New Roman"/>
          <w:sz w:val="22"/>
          <w:szCs w:val="22"/>
        </w:rPr>
        <w:t>: “Principios jurídicos”, en AA. VV.: “El Derecho y la Justicia”, Trotta, Madrid, 2.000, págs. 149-159</w:t>
      </w:r>
      <w:r>
        <w:rPr>
          <w:rFonts w:ascii="Times New Roman" w:hAnsi="Times New Roman" w:cs="Times New Roman"/>
          <w:sz w:val="22"/>
          <w:szCs w:val="22"/>
        </w:rPr>
        <w:t>.</w:t>
      </w:r>
    </w:p>
    <w:p w:rsidR="009B64B7" w:rsidRPr="00237272" w:rsidRDefault="009B64B7" w:rsidP="009B64B7">
      <w:pPr>
        <w:pStyle w:val="Textonotapie"/>
        <w:jc w:val="both"/>
        <w:rPr>
          <w:rFonts w:ascii="Times New Roman" w:hAnsi="Times New Roman" w:cs="Times New Roman"/>
          <w:sz w:val="22"/>
          <w:szCs w:val="22"/>
        </w:rPr>
      </w:pPr>
      <w:r w:rsidRPr="00AE0067">
        <w:rPr>
          <w:rFonts w:ascii="Times New Roman" w:hAnsi="Times New Roman" w:cs="Times New Roman"/>
          <w:sz w:val="22"/>
          <w:szCs w:val="22"/>
          <w:lang w:val="en-US"/>
        </w:rPr>
        <w:t>-------:  “«</w:t>
      </w:r>
      <w:r w:rsidRPr="00AE0067">
        <w:rPr>
          <w:rFonts w:ascii="Times New Roman" w:hAnsi="Times New Roman" w:cs="Times New Roman"/>
          <w:i/>
          <w:sz w:val="22"/>
          <w:szCs w:val="22"/>
          <w:lang w:val="en-US"/>
        </w:rPr>
        <w:t>Rule of law</w:t>
      </w:r>
      <w:r w:rsidRPr="00AE0067">
        <w:rPr>
          <w:rFonts w:ascii="Times New Roman" w:hAnsi="Times New Roman" w:cs="Times New Roman"/>
          <w:sz w:val="22"/>
          <w:szCs w:val="22"/>
          <w:lang w:val="en-US"/>
        </w:rPr>
        <w:t xml:space="preserve">» y ponderación. </w:t>
      </w:r>
      <w:r w:rsidRPr="00237272">
        <w:rPr>
          <w:rFonts w:ascii="Times New Roman" w:hAnsi="Times New Roman" w:cs="Times New Roman"/>
          <w:sz w:val="22"/>
          <w:szCs w:val="22"/>
        </w:rPr>
        <w:t xml:space="preserve">Un límite de la ponderación y una insuficiencia de una teoría stándard”, en AA. VV.: “Imperio de la ley y ponderación  de principios”, </w:t>
      </w:r>
      <w:r>
        <w:rPr>
          <w:rFonts w:ascii="Times New Roman" w:hAnsi="Times New Roman" w:cs="Times New Roman"/>
          <w:sz w:val="22"/>
          <w:szCs w:val="22"/>
        </w:rPr>
        <w:t>Astrea, Bs. Aires, 2.018, págs.</w:t>
      </w:r>
      <w:r w:rsidRPr="00237272">
        <w:rPr>
          <w:rFonts w:ascii="Times New Roman" w:hAnsi="Times New Roman" w:cs="Times New Roman"/>
          <w:sz w:val="22"/>
          <w:szCs w:val="22"/>
        </w:rPr>
        <w:t xml:space="preserve"> 21-46</w:t>
      </w:r>
      <w:r>
        <w:rPr>
          <w:rFonts w:ascii="Times New Roman" w:hAnsi="Times New Roman" w:cs="Times New Roman"/>
          <w:sz w:val="22"/>
          <w:szCs w:val="22"/>
        </w:rPr>
        <w:t>.</w:t>
      </w:r>
      <w:r w:rsidRPr="00237272">
        <w:rPr>
          <w:rFonts w:ascii="Times New Roman" w:hAnsi="Times New Roman" w:cs="Times New Roman"/>
          <w:sz w:val="22"/>
          <w:szCs w:val="22"/>
        </w:rPr>
        <w:t xml:space="preserve"> </w:t>
      </w:r>
    </w:p>
    <w:p w:rsidR="00F9654B" w:rsidRDefault="00F9654B" w:rsidP="00237272">
      <w:pPr>
        <w:pStyle w:val="Textonotapie"/>
        <w:jc w:val="both"/>
        <w:rPr>
          <w:rFonts w:ascii="Times New Roman" w:hAnsi="Times New Roman" w:cs="Times New Roman"/>
          <w:sz w:val="22"/>
          <w:szCs w:val="22"/>
        </w:rPr>
      </w:pPr>
      <w:r>
        <w:rPr>
          <w:rFonts w:ascii="Times New Roman" w:hAnsi="Times New Roman" w:cs="Times New Roman"/>
          <w:sz w:val="22"/>
          <w:szCs w:val="22"/>
        </w:rPr>
        <w:t>Sarlo</w:t>
      </w:r>
      <w:r w:rsidRPr="00237272">
        <w:rPr>
          <w:rFonts w:ascii="Times New Roman" w:hAnsi="Times New Roman" w:cs="Times New Roman"/>
          <w:sz w:val="22"/>
          <w:szCs w:val="22"/>
        </w:rPr>
        <w:t xml:space="preserve"> </w:t>
      </w:r>
      <w:r>
        <w:rPr>
          <w:rFonts w:ascii="Times New Roman" w:hAnsi="Times New Roman" w:cs="Times New Roman"/>
          <w:sz w:val="22"/>
          <w:szCs w:val="22"/>
        </w:rPr>
        <w:t>Oscar,  Burstin Darío,</w:t>
      </w:r>
      <w:r w:rsidRPr="00237272">
        <w:rPr>
          <w:rFonts w:ascii="Times New Roman" w:hAnsi="Times New Roman" w:cs="Times New Roman"/>
          <w:sz w:val="22"/>
          <w:szCs w:val="22"/>
        </w:rPr>
        <w:t xml:space="preserve"> Delgado</w:t>
      </w:r>
      <w:r>
        <w:rPr>
          <w:rFonts w:ascii="Times New Roman" w:hAnsi="Times New Roman" w:cs="Times New Roman"/>
          <w:sz w:val="22"/>
          <w:szCs w:val="22"/>
        </w:rPr>
        <w:t xml:space="preserve"> Serrana, </w:t>
      </w:r>
      <w:r w:rsidRPr="00237272">
        <w:rPr>
          <w:rFonts w:ascii="Times New Roman" w:hAnsi="Times New Roman" w:cs="Times New Roman"/>
          <w:sz w:val="22"/>
          <w:szCs w:val="22"/>
        </w:rPr>
        <w:t xml:space="preserve"> Francolino</w:t>
      </w:r>
      <w:r>
        <w:rPr>
          <w:rFonts w:ascii="Times New Roman" w:hAnsi="Times New Roman" w:cs="Times New Roman"/>
          <w:sz w:val="22"/>
          <w:szCs w:val="22"/>
        </w:rPr>
        <w:t xml:space="preserve"> Leandro, </w:t>
      </w:r>
      <w:r w:rsidRPr="00237272">
        <w:rPr>
          <w:rFonts w:ascii="Times New Roman" w:hAnsi="Times New Roman" w:cs="Times New Roman"/>
          <w:sz w:val="22"/>
          <w:szCs w:val="22"/>
        </w:rPr>
        <w:t xml:space="preserve"> Gómez Leiza</w:t>
      </w:r>
      <w:r>
        <w:rPr>
          <w:rFonts w:ascii="Times New Roman" w:hAnsi="Times New Roman" w:cs="Times New Roman"/>
          <w:sz w:val="22"/>
          <w:szCs w:val="22"/>
        </w:rPr>
        <w:t xml:space="preserve"> José Gabriel</w:t>
      </w:r>
      <w:r w:rsidRPr="00237272">
        <w:rPr>
          <w:rFonts w:ascii="Times New Roman" w:hAnsi="Times New Roman" w:cs="Times New Roman"/>
          <w:sz w:val="22"/>
          <w:szCs w:val="22"/>
        </w:rPr>
        <w:t xml:space="preserve"> y Rodríguez Carrau</w:t>
      </w:r>
      <w:r>
        <w:rPr>
          <w:rFonts w:ascii="Times New Roman" w:hAnsi="Times New Roman" w:cs="Times New Roman"/>
          <w:sz w:val="22"/>
          <w:szCs w:val="22"/>
        </w:rPr>
        <w:t>, Guzmán</w:t>
      </w:r>
      <w:r w:rsidRPr="00237272">
        <w:rPr>
          <w:rFonts w:ascii="Times New Roman" w:hAnsi="Times New Roman" w:cs="Times New Roman"/>
          <w:sz w:val="22"/>
          <w:szCs w:val="22"/>
        </w:rPr>
        <w:t>: “La era de los principios: entre compromiso moral y retórica vacía. Análisis teórico y usos discursivos en el Derecho uruguayo</w:t>
      </w:r>
      <w:r>
        <w:rPr>
          <w:rFonts w:ascii="Times New Roman" w:hAnsi="Times New Roman" w:cs="Times New Roman"/>
          <w:sz w:val="22"/>
          <w:szCs w:val="22"/>
        </w:rPr>
        <w:t>”, FCU, Montevideo, 2.018.</w:t>
      </w:r>
    </w:p>
    <w:p w:rsidR="009928E9" w:rsidRPr="009928E9" w:rsidRDefault="009928E9" w:rsidP="00237272">
      <w:pPr>
        <w:pStyle w:val="Textonotapie"/>
        <w:jc w:val="both"/>
        <w:rPr>
          <w:rFonts w:ascii="Times New Roman" w:hAnsi="Times New Roman" w:cs="Times New Roman"/>
          <w:i/>
          <w:sz w:val="22"/>
          <w:szCs w:val="22"/>
        </w:rPr>
      </w:pPr>
      <w:r>
        <w:rPr>
          <w:rFonts w:ascii="Times New Roman" w:hAnsi="Times New Roman" w:cs="Times New Roman"/>
          <w:sz w:val="22"/>
          <w:szCs w:val="22"/>
        </w:rPr>
        <w:t xml:space="preserve">Varela-Méndez, Edgar J.: “Los principios jurídicos.Principios </w:t>
      </w:r>
      <w:r>
        <w:rPr>
          <w:rFonts w:ascii="Times New Roman" w:hAnsi="Times New Roman" w:cs="Times New Roman"/>
          <w:i/>
          <w:sz w:val="22"/>
          <w:szCs w:val="22"/>
        </w:rPr>
        <w:t xml:space="preserve">de </w:t>
      </w:r>
      <w:r>
        <w:rPr>
          <w:rFonts w:ascii="Times New Roman" w:hAnsi="Times New Roman" w:cs="Times New Roman"/>
          <w:sz w:val="22"/>
          <w:szCs w:val="22"/>
        </w:rPr>
        <w:t xml:space="preserve">Derecho. Proyección en el proceso judicial”, Montevideo, </w:t>
      </w:r>
      <w:r>
        <w:rPr>
          <w:rFonts w:ascii="Times New Roman" w:hAnsi="Times New Roman" w:cs="Times New Roman"/>
          <w:i/>
          <w:sz w:val="22"/>
          <w:szCs w:val="22"/>
        </w:rPr>
        <w:t>s/d.</w:t>
      </w:r>
    </w:p>
    <w:p w:rsidR="009928E9" w:rsidRDefault="009928E9" w:rsidP="00237272">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Velasco</w:t>
      </w:r>
      <w:r>
        <w:rPr>
          <w:rFonts w:ascii="Times New Roman" w:hAnsi="Times New Roman" w:cs="Times New Roman"/>
          <w:sz w:val="22"/>
          <w:szCs w:val="22"/>
        </w:rPr>
        <w:t>, Marina</w:t>
      </w:r>
      <w:r w:rsidRPr="00237272">
        <w:rPr>
          <w:rFonts w:ascii="Times New Roman" w:hAnsi="Times New Roman" w:cs="Times New Roman"/>
          <w:sz w:val="22"/>
          <w:szCs w:val="22"/>
        </w:rPr>
        <w:t>: “Comentario al texto «rule of law y ponderación», de Juan Ruiz Manero”, en AA. VV.: “Imperio de la ley…”, cit., págs. 69-77</w:t>
      </w:r>
      <w:r>
        <w:rPr>
          <w:rFonts w:ascii="Times New Roman" w:hAnsi="Times New Roman" w:cs="Times New Roman"/>
          <w:sz w:val="22"/>
          <w:szCs w:val="22"/>
        </w:rPr>
        <w:t>.</w:t>
      </w:r>
    </w:p>
    <w:p w:rsidR="00237272" w:rsidRPr="00237272" w:rsidRDefault="00237272" w:rsidP="00237272">
      <w:pPr>
        <w:pStyle w:val="Textonotapie"/>
        <w:jc w:val="both"/>
        <w:rPr>
          <w:rFonts w:ascii="Times New Roman" w:hAnsi="Times New Roman" w:cs="Times New Roman"/>
          <w:sz w:val="22"/>
          <w:szCs w:val="22"/>
        </w:rPr>
      </w:pPr>
      <w:r w:rsidRPr="00237272">
        <w:rPr>
          <w:rFonts w:ascii="Times New Roman" w:hAnsi="Times New Roman" w:cs="Times New Roman"/>
          <w:sz w:val="22"/>
          <w:szCs w:val="22"/>
        </w:rPr>
        <w:t>Véscovi</w:t>
      </w:r>
      <w:r w:rsidR="00F9654B">
        <w:rPr>
          <w:rFonts w:ascii="Times New Roman" w:hAnsi="Times New Roman" w:cs="Times New Roman"/>
          <w:sz w:val="22"/>
          <w:szCs w:val="22"/>
        </w:rPr>
        <w:t>, Enrique</w:t>
      </w:r>
      <w:r w:rsidRPr="00237272">
        <w:rPr>
          <w:rFonts w:ascii="Times New Roman" w:hAnsi="Times New Roman" w:cs="Times New Roman"/>
          <w:sz w:val="22"/>
          <w:szCs w:val="22"/>
        </w:rPr>
        <w:t xml:space="preserve"> </w:t>
      </w:r>
      <w:r w:rsidRPr="00237272">
        <w:rPr>
          <w:rFonts w:ascii="Times New Roman" w:hAnsi="Times New Roman" w:cs="Times New Roman"/>
          <w:i/>
          <w:sz w:val="22"/>
          <w:szCs w:val="22"/>
        </w:rPr>
        <w:t>et. al.</w:t>
      </w:r>
      <w:r w:rsidRPr="00237272">
        <w:rPr>
          <w:rFonts w:ascii="Times New Roman" w:hAnsi="Times New Roman" w:cs="Times New Roman"/>
          <w:sz w:val="22"/>
          <w:szCs w:val="22"/>
        </w:rPr>
        <w:t>: “Código General del Proceso. Comentado, anotado y concordado”, T. 1, Ábaco, Montevideo, 1.992</w:t>
      </w:r>
      <w:r w:rsidR="00F9654B">
        <w:rPr>
          <w:rFonts w:ascii="Times New Roman" w:hAnsi="Times New Roman" w:cs="Times New Roman"/>
          <w:sz w:val="22"/>
          <w:szCs w:val="22"/>
        </w:rPr>
        <w:t>.</w:t>
      </w:r>
    </w:p>
    <w:p w:rsidR="00237272" w:rsidRPr="00237272" w:rsidRDefault="00237272" w:rsidP="00237272">
      <w:pPr>
        <w:pStyle w:val="Textonotapie"/>
        <w:rPr>
          <w:rFonts w:ascii="Times New Roman" w:hAnsi="Times New Roman" w:cs="Times New Roman"/>
          <w:sz w:val="22"/>
          <w:szCs w:val="22"/>
        </w:rPr>
      </w:pPr>
      <w:r w:rsidRPr="00237272">
        <w:rPr>
          <w:rFonts w:ascii="Times New Roman" w:hAnsi="Times New Roman" w:cs="Times New Roman"/>
          <w:sz w:val="22"/>
          <w:szCs w:val="22"/>
        </w:rPr>
        <w:t>Zuleta</w:t>
      </w:r>
      <w:r w:rsidR="00AD0F40">
        <w:rPr>
          <w:rFonts w:ascii="Times New Roman" w:hAnsi="Times New Roman" w:cs="Times New Roman"/>
          <w:sz w:val="22"/>
          <w:szCs w:val="22"/>
        </w:rPr>
        <w:t>, Hugo R.</w:t>
      </w:r>
      <w:r w:rsidRPr="00237272">
        <w:rPr>
          <w:rFonts w:ascii="Times New Roman" w:hAnsi="Times New Roman" w:cs="Times New Roman"/>
          <w:sz w:val="22"/>
          <w:szCs w:val="22"/>
        </w:rPr>
        <w:t>: “Comentario al artículo «</w:t>
      </w:r>
      <w:r w:rsidRPr="00AD0F40">
        <w:rPr>
          <w:rFonts w:ascii="Times New Roman" w:hAnsi="Times New Roman" w:cs="Times New Roman"/>
          <w:i/>
          <w:sz w:val="22"/>
          <w:szCs w:val="22"/>
        </w:rPr>
        <w:t>Rule of  law</w:t>
      </w:r>
      <w:r w:rsidRPr="00237272">
        <w:rPr>
          <w:rFonts w:ascii="Times New Roman" w:hAnsi="Times New Roman" w:cs="Times New Roman"/>
          <w:sz w:val="22"/>
          <w:szCs w:val="22"/>
        </w:rPr>
        <w:t xml:space="preserve"> y ponderación», de Juan Ruiz Manero”, en AA. VV.: “Imperio de la ley….”, cit., págs. 79-88</w:t>
      </w:r>
      <w:r w:rsidR="00AD0F40">
        <w:rPr>
          <w:rFonts w:ascii="Times New Roman" w:hAnsi="Times New Roman" w:cs="Times New Roman"/>
          <w:sz w:val="22"/>
          <w:szCs w:val="22"/>
        </w:rPr>
        <w:t>.</w:t>
      </w:r>
    </w:p>
    <w:sectPr w:rsidR="00237272" w:rsidRPr="00237272">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D04" w:rsidRDefault="00393D04" w:rsidP="00825D99">
      <w:pPr>
        <w:spacing w:after="0" w:line="240" w:lineRule="auto"/>
      </w:pPr>
      <w:r>
        <w:separator/>
      </w:r>
    </w:p>
  </w:endnote>
  <w:endnote w:type="continuationSeparator" w:id="0">
    <w:p w:rsidR="00393D04" w:rsidRDefault="00393D04" w:rsidP="0082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041" w:rsidRDefault="00DC6041">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117AB4">
      <w:rPr>
        <w:caps/>
        <w:noProof/>
        <w:color w:val="5B9BD5" w:themeColor="accent1"/>
      </w:rPr>
      <w:t>1</w:t>
    </w:r>
    <w:r>
      <w:rPr>
        <w:caps/>
        <w:color w:val="5B9BD5" w:themeColor="accent1"/>
      </w:rPr>
      <w:fldChar w:fldCharType="end"/>
    </w:r>
  </w:p>
  <w:p w:rsidR="00DC6041" w:rsidRDefault="00DC604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D04" w:rsidRDefault="00393D04" w:rsidP="00825D99">
      <w:pPr>
        <w:spacing w:after="0" w:line="240" w:lineRule="auto"/>
      </w:pPr>
      <w:r>
        <w:separator/>
      </w:r>
    </w:p>
  </w:footnote>
  <w:footnote w:type="continuationSeparator" w:id="0">
    <w:p w:rsidR="00393D04" w:rsidRDefault="00393D04" w:rsidP="00825D99">
      <w:pPr>
        <w:spacing w:after="0" w:line="240" w:lineRule="auto"/>
      </w:pPr>
      <w:r>
        <w:continuationSeparator/>
      </w:r>
    </w:p>
  </w:footnote>
  <w:footnote w:id="1">
    <w:p w:rsidR="00DC6041" w:rsidRPr="0085032B" w:rsidRDefault="00DC6041" w:rsidP="0085032B">
      <w:pPr>
        <w:spacing w:after="0" w:line="240" w:lineRule="auto"/>
        <w:contextualSpacing/>
        <w:jc w:val="both"/>
        <w:rPr>
          <w:rFonts w:ascii="Times New Roman" w:hAnsi="Times New Roman" w:cs="Times New Roman"/>
          <w:sz w:val="20"/>
          <w:szCs w:val="20"/>
        </w:rPr>
      </w:pPr>
      <w:r w:rsidRPr="0085032B">
        <w:rPr>
          <w:rStyle w:val="Refdenotaalpie"/>
          <w:rFonts w:ascii="Times New Roman" w:hAnsi="Times New Roman" w:cs="Times New Roman"/>
          <w:sz w:val="20"/>
          <w:szCs w:val="20"/>
        </w:rPr>
        <w:footnoteRef/>
      </w:r>
      <w:r w:rsidRPr="0085032B">
        <w:rPr>
          <w:rFonts w:ascii="Times New Roman" w:hAnsi="Times New Roman" w:cs="Times New Roman"/>
          <w:sz w:val="20"/>
          <w:szCs w:val="20"/>
        </w:rPr>
        <w:t xml:space="preserve"> </w:t>
      </w:r>
      <w:r w:rsidR="0085032B" w:rsidRPr="0085032B">
        <w:rPr>
          <w:rFonts w:ascii="Times New Roman" w:hAnsi="Times New Roman" w:cs="Times New Roman"/>
          <w:sz w:val="20"/>
          <w:szCs w:val="20"/>
        </w:rPr>
        <w:t xml:space="preserve">Conferencia </w:t>
      </w:r>
      <w:r w:rsidRPr="0085032B">
        <w:rPr>
          <w:rFonts w:ascii="Times New Roman" w:hAnsi="Times New Roman" w:cs="Times New Roman"/>
          <w:sz w:val="20"/>
          <w:szCs w:val="20"/>
        </w:rPr>
        <w:t xml:space="preserve">en el </w:t>
      </w:r>
      <w:r w:rsidR="0085032B" w:rsidRPr="0085032B">
        <w:rPr>
          <w:rFonts w:ascii="Times New Roman" w:hAnsi="Times New Roman" w:cs="Times New Roman"/>
          <w:sz w:val="20"/>
          <w:szCs w:val="20"/>
        </w:rPr>
        <w:t>XVII</w:t>
      </w:r>
      <w:r w:rsidRPr="0085032B">
        <w:rPr>
          <w:rFonts w:ascii="Times New Roman" w:hAnsi="Times New Roman" w:cs="Times New Roman"/>
          <w:sz w:val="20"/>
          <w:szCs w:val="20"/>
        </w:rPr>
        <w:t xml:space="preserve"> Congreso </w:t>
      </w:r>
      <w:r w:rsidR="0085032B" w:rsidRPr="0085032B">
        <w:rPr>
          <w:rFonts w:ascii="Times New Roman" w:hAnsi="Times New Roman" w:cs="Times New Roman"/>
          <w:sz w:val="20"/>
          <w:szCs w:val="20"/>
        </w:rPr>
        <w:t>Nacional de Derecho Pr</w:t>
      </w:r>
      <w:r w:rsidR="00117AB4">
        <w:rPr>
          <w:rFonts w:ascii="Times New Roman" w:hAnsi="Times New Roman" w:cs="Times New Roman"/>
          <w:sz w:val="20"/>
          <w:szCs w:val="20"/>
        </w:rPr>
        <w:t>ocesal Garantista, Azul, 3-4/XI</w:t>
      </w:r>
      <w:bookmarkStart w:id="0" w:name="_GoBack"/>
      <w:bookmarkEnd w:id="0"/>
      <w:r w:rsidR="0085032B" w:rsidRPr="0085032B">
        <w:rPr>
          <w:rFonts w:ascii="Times New Roman" w:hAnsi="Times New Roman" w:cs="Times New Roman"/>
          <w:sz w:val="20"/>
          <w:szCs w:val="20"/>
        </w:rPr>
        <w:t>/2.022.</w:t>
      </w:r>
      <w:r w:rsidRPr="0085032B">
        <w:rPr>
          <w:rFonts w:ascii="Times New Roman" w:hAnsi="Times New Roman" w:cs="Times New Roman"/>
          <w:sz w:val="20"/>
          <w:szCs w:val="20"/>
        </w:rPr>
        <w:t xml:space="preserve"> Se continúa con los lineamientos y posiciones ya expuestas en  E. J. Varela-Méndez: “Los principios jurídicos, principios </w:t>
      </w:r>
      <w:r w:rsidRPr="0085032B">
        <w:rPr>
          <w:rFonts w:ascii="Times New Roman" w:hAnsi="Times New Roman" w:cs="Times New Roman"/>
          <w:i/>
          <w:sz w:val="20"/>
          <w:szCs w:val="20"/>
        </w:rPr>
        <w:t xml:space="preserve">de </w:t>
      </w:r>
      <w:r w:rsidRPr="0085032B">
        <w:rPr>
          <w:rFonts w:ascii="Times New Roman" w:hAnsi="Times New Roman" w:cs="Times New Roman"/>
          <w:sz w:val="20"/>
          <w:szCs w:val="20"/>
        </w:rPr>
        <w:t xml:space="preserve">Derecho. Proyección en el proceso judicial”, Montevideo, </w:t>
      </w:r>
      <w:r w:rsidRPr="0085032B">
        <w:rPr>
          <w:rFonts w:ascii="Times New Roman" w:hAnsi="Times New Roman" w:cs="Times New Roman"/>
          <w:i/>
          <w:sz w:val="20"/>
          <w:szCs w:val="20"/>
        </w:rPr>
        <w:t>s/d.</w:t>
      </w:r>
    </w:p>
  </w:footnote>
  <w:footnote w:id="2">
    <w:p w:rsidR="00DC6041" w:rsidRPr="00825D99" w:rsidRDefault="00DC6041" w:rsidP="004A27C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Doctor en Derecho y Ciencias Sociales. Doctor en Ciencias Jurídicas. Magister en Filosofía Contemporánea. Académico de Número-Fundador de la Academia Nacional de Derecho de Uruguay. Profesor Emérito de la Universidad de la República. Catedrático de Derecho Procesal. Profesor del Centro de Estudios Judiciales de Uruguay. Profesor Invitado de la Universidad Nacional de Rosario. Ex­Director del Instituto Uruguayo de Derecho Procesal. Ex­Director de la Revista Uruguaya de Derecho Procesal. De los Institutos Uruguayo, Iberoamericano y Panamericano de Derecho Procesal. De las Asociaciones Internacional y Uruguaya de Derecho Procesal.</w:t>
      </w:r>
    </w:p>
  </w:footnote>
  <w:footnote w:id="3">
    <w:p w:rsidR="00DC6041" w:rsidRPr="002C630F" w:rsidRDefault="00DC6041" w:rsidP="004A27C2">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Eduardo J. Couture: “La enseñanza de Chiovenda sobre interpretación de las leyes procesales”, en Rev. D. Pr. Arg. 1.947, págs. 514-527, esp. pág. 523.</w:t>
      </w:r>
    </w:p>
  </w:footnote>
  <w:footnote w:id="4">
    <w:p w:rsidR="00DC6041" w:rsidRPr="002C630F" w:rsidRDefault="00DC6041" w:rsidP="004A27C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 xml:space="preserve">E. J. Varela-Méndez: </w:t>
      </w:r>
      <w:r>
        <w:rPr>
          <w:rFonts w:ascii="Times New Roman" w:hAnsi="Times New Roman" w:cs="Times New Roman"/>
          <w:i/>
        </w:rPr>
        <w:t xml:space="preserve">op. cit.,  </w:t>
      </w:r>
      <w:r>
        <w:rPr>
          <w:rFonts w:ascii="Times New Roman" w:hAnsi="Times New Roman" w:cs="Times New Roman"/>
        </w:rPr>
        <w:t>pág. 25.</w:t>
      </w:r>
    </w:p>
  </w:footnote>
  <w:footnote w:id="5">
    <w:p w:rsidR="00DC6041" w:rsidRPr="002C630F"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Modernos Códigos de la República Oriental, mantienen esa descripción diferente para la interpretación y la integración del Derecho: Código General del Proceso, artículos 14 y 15, Código del Proceso Penal, artículo 14.</w:t>
      </w:r>
    </w:p>
  </w:footnote>
  <w:footnote w:id="6">
    <w:p w:rsidR="00DC6041" w:rsidRPr="00F64C88" w:rsidRDefault="00DC6041" w:rsidP="00F64C88">
      <w:pPr>
        <w:pStyle w:val="Textonotapie"/>
        <w:ind w:left="708" w:hanging="708"/>
        <w:jc w:val="both"/>
        <w:rPr>
          <w:rFonts w:ascii="Times New Roman" w:hAnsi="Times New Roman" w:cs="Times New Roman"/>
        </w:rPr>
      </w:pPr>
      <w:r>
        <w:rPr>
          <w:rStyle w:val="Refdenotaalpie"/>
        </w:rPr>
        <w:footnoteRef/>
      </w:r>
      <w:r>
        <w:t xml:space="preserve"> </w:t>
      </w:r>
      <w:r>
        <w:rPr>
          <w:rFonts w:ascii="Times New Roman" w:hAnsi="Times New Roman" w:cs="Times New Roman"/>
          <w:i/>
        </w:rPr>
        <w:t>Cfr.</w:t>
      </w:r>
      <w:r>
        <w:rPr>
          <w:rFonts w:ascii="Times New Roman" w:hAnsi="Times New Roman" w:cs="Times New Roman"/>
        </w:rPr>
        <w:t xml:space="preserve"> E. J. Couture: “Vocabulario jurídico”, Depalma, Bs. Aires, 1.983, pág. 477.</w:t>
      </w:r>
    </w:p>
  </w:footnote>
  <w:footnote w:id="7">
    <w:p w:rsidR="00DC6041" w:rsidRPr="005058B3" w:rsidRDefault="00DC6041" w:rsidP="00E45C52">
      <w:pPr>
        <w:pStyle w:val="Textonotapie"/>
        <w:jc w:val="both"/>
        <w:rPr>
          <w:rFonts w:ascii="Times New Roman" w:hAnsi="Times New Roman" w:cs="Times New Roman"/>
          <w:lang w:val="es-MX"/>
        </w:rPr>
      </w:pPr>
      <w:r>
        <w:rPr>
          <w:rStyle w:val="Refdenotaalpie"/>
        </w:rPr>
        <w:footnoteRef/>
      </w:r>
      <w:r>
        <w:t xml:space="preserve"> </w:t>
      </w:r>
      <w:r>
        <w:rPr>
          <w:rFonts w:ascii="Times New Roman" w:hAnsi="Times New Roman" w:cs="Times New Roman"/>
          <w:lang w:val="es-MX"/>
        </w:rPr>
        <w:t xml:space="preserve"> </w:t>
      </w:r>
      <w:r w:rsidRPr="00A53C17">
        <w:rPr>
          <w:rFonts w:ascii="Times New Roman" w:hAnsi="Times New Roman" w:cs="Times New Roman"/>
          <w:i/>
          <w:lang w:val="es-MX"/>
        </w:rPr>
        <w:t>Cfr.</w:t>
      </w:r>
      <w:r>
        <w:rPr>
          <w:rFonts w:ascii="Times New Roman" w:hAnsi="Times New Roman" w:cs="Times New Roman"/>
          <w:lang w:val="es-MX"/>
        </w:rPr>
        <w:t xml:space="preserve"> Josef Esser: “Principio y norma en la elaboración jurisprudencial del Derecho privado”, trad. de Eduardo Valenti Fiol, Ediciones Olejnik, Santiago de Chile, 2.019, pág. 17.</w:t>
      </w:r>
    </w:p>
  </w:footnote>
  <w:footnote w:id="8">
    <w:p w:rsidR="00DC6041" w:rsidRPr="00E45C52" w:rsidRDefault="00DC6041" w:rsidP="008A32DC">
      <w:pPr>
        <w:pStyle w:val="Textonotapie"/>
        <w:jc w:val="both"/>
        <w:rPr>
          <w:rFonts w:ascii="Times New Roman" w:hAnsi="Times New Roman" w:cs="Times New Roman"/>
        </w:rPr>
      </w:pPr>
      <w:r>
        <w:rPr>
          <w:rStyle w:val="Refdenotaalpie"/>
        </w:rPr>
        <w:footnoteRef/>
      </w:r>
      <w:r>
        <w:t xml:space="preserve"> </w:t>
      </w:r>
      <w:r w:rsidRPr="008A32DC">
        <w:rPr>
          <w:rFonts w:ascii="Times New Roman" w:eastAsia="Calibri" w:hAnsi="Times New Roman" w:cs="Times New Roman"/>
          <w:lang w:val="es-MX"/>
        </w:rPr>
        <w:t xml:space="preserve"> </w:t>
      </w:r>
      <w:r>
        <w:rPr>
          <w:rFonts w:ascii="Times New Roman" w:eastAsia="Calibri" w:hAnsi="Times New Roman" w:cs="Times New Roman"/>
          <w:i/>
          <w:lang w:val="es-MX"/>
        </w:rPr>
        <w:t>Ibid.</w:t>
      </w:r>
      <w:r w:rsidRPr="008A32DC">
        <w:rPr>
          <w:rFonts w:ascii="Times New Roman" w:eastAsia="Calibri" w:hAnsi="Times New Roman" w:cs="Times New Roman"/>
          <w:lang w:val="es-UY"/>
        </w:rPr>
        <w:t>, pág. 23.</w:t>
      </w:r>
    </w:p>
  </w:footnote>
  <w:footnote w:id="9">
    <w:p w:rsidR="00DC6041" w:rsidRPr="000E488D" w:rsidRDefault="00DC6041" w:rsidP="00E607D4">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Pr>
          <w:rFonts w:ascii="Times New Roman" w:hAnsi="Times New Roman" w:cs="Times New Roman"/>
          <w:i/>
        </w:rPr>
        <w:t>Cfr.</w:t>
      </w:r>
      <w:r>
        <w:rPr>
          <w:rFonts w:ascii="Times New Roman" w:hAnsi="Times New Roman" w:cs="Times New Roman"/>
        </w:rPr>
        <w:t xml:space="preserve"> Juan Antonio García Amado: “Prólogo”, en:  Oscar Sarlo,</w:t>
      </w:r>
      <w:r w:rsidRPr="00AE67A9">
        <w:rPr>
          <w:rFonts w:ascii="Times New Roman" w:hAnsi="Times New Roman" w:cs="Times New Roman"/>
        </w:rPr>
        <w:t xml:space="preserve"> </w:t>
      </w:r>
      <w:r w:rsidRPr="00257D73">
        <w:rPr>
          <w:rFonts w:ascii="Times New Roman" w:hAnsi="Times New Roman" w:cs="Times New Roman"/>
        </w:rPr>
        <w:t>Darío Burstin, Serrana Delgado, Leandro Francolino, José Gabriel Gómez Leiza</w:t>
      </w:r>
      <w:r>
        <w:rPr>
          <w:rFonts w:ascii="Times New Roman" w:hAnsi="Times New Roman" w:cs="Times New Roman"/>
        </w:rPr>
        <w:t xml:space="preserve"> y</w:t>
      </w:r>
      <w:r w:rsidRPr="00257D73">
        <w:rPr>
          <w:rFonts w:ascii="Times New Roman" w:hAnsi="Times New Roman" w:cs="Times New Roman"/>
        </w:rPr>
        <w:t xml:space="preserve"> Guzmán Rodríguez Carrau: “La era de los principios: entre compromiso moral y retórica vacía. Análisis teórico y usos discursivos en el Derecho uruguayo”,</w:t>
      </w:r>
      <w:r>
        <w:rPr>
          <w:rFonts w:ascii="Times New Roman" w:hAnsi="Times New Roman" w:cs="Times New Roman"/>
        </w:rPr>
        <w:t xml:space="preserve"> FCU, Montevideo, 2.018, págs. 7-11, esp. pág. 7.</w:t>
      </w:r>
    </w:p>
  </w:footnote>
  <w:footnote w:id="10">
    <w:p w:rsidR="00DC6041" w:rsidRPr="00290E2F"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Advierte Prieto Sanchís  la cautela de los positivistas de que los principios se quieran convertir en el vehículo o plasmación de un presunto derecho natural  (</w:t>
      </w:r>
      <w:r>
        <w:rPr>
          <w:rFonts w:ascii="Times New Roman" w:hAnsi="Times New Roman" w:cs="Times New Roman"/>
          <w:i/>
        </w:rPr>
        <w:t xml:space="preserve">cfr. </w:t>
      </w:r>
      <w:r>
        <w:rPr>
          <w:rFonts w:ascii="Times New Roman" w:hAnsi="Times New Roman" w:cs="Times New Roman"/>
        </w:rPr>
        <w:t xml:space="preserve">E. J. Varela-Méndez: </w:t>
      </w:r>
      <w:r>
        <w:rPr>
          <w:rFonts w:ascii="Times New Roman" w:hAnsi="Times New Roman" w:cs="Times New Roman"/>
          <w:i/>
        </w:rPr>
        <w:t>op. cit.,</w:t>
      </w:r>
      <w:r>
        <w:rPr>
          <w:rFonts w:ascii="Times New Roman" w:hAnsi="Times New Roman" w:cs="Times New Roman"/>
        </w:rPr>
        <w:t>, pág. 184</w:t>
      </w:r>
      <w:r w:rsidR="00AE0067">
        <w:rPr>
          <w:rFonts w:ascii="Times New Roman" w:hAnsi="Times New Roman" w:cs="Times New Roman"/>
        </w:rPr>
        <w:t>).</w:t>
      </w:r>
      <w:r>
        <w:rPr>
          <w:rFonts w:ascii="Times New Roman" w:hAnsi="Times New Roman" w:cs="Times New Roman"/>
        </w:rPr>
        <w:t xml:space="preserve"> </w:t>
      </w:r>
    </w:p>
  </w:footnote>
  <w:footnote w:id="11">
    <w:p w:rsidR="00DC6041" w:rsidRPr="005F7D24" w:rsidRDefault="00DC6041" w:rsidP="00195D3A">
      <w:pPr>
        <w:pStyle w:val="Textonotapie"/>
        <w:rPr>
          <w:rFonts w:ascii="Times New Roman" w:hAnsi="Times New Roman" w:cs="Times New Roman"/>
          <w:lang w:val="es-MX"/>
        </w:rPr>
      </w:pPr>
      <w:r>
        <w:rPr>
          <w:rStyle w:val="Refdenotaalpie"/>
        </w:rPr>
        <w:footnoteRef/>
      </w:r>
      <w:r>
        <w:t xml:space="preserve"> </w:t>
      </w:r>
      <w:r w:rsidRPr="00A53C17">
        <w:rPr>
          <w:rFonts w:ascii="Times New Roman" w:hAnsi="Times New Roman" w:cs="Times New Roman"/>
          <w:i/>
          <w:lang w:val="es-MX"/>
        </w:rPr>
        <w:t>Cfr.</w:t>
      </w:r>
      <w:r>
        <w:rPr>
          <w:rFonts w:ascii="Times New Roman" w:hAnsi="Times New Roman" w:cs="Times New Roman"/>
          <w:lang w:val="es-MX"/>
        </w:rPr>
        <w:t xml:space="preserve"> Mario Chaumet: “Argumentación”, Astrea, Bs. Aires, 2.017, págs. 244-245.</w:t>
      </w:r>
    </w:p>
  </w:footnote>
  <w:footnote w:id="12">
    <w:p w:rsidR="00DC6041" w:rsidRPr="009713ED"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Cfr</w:t>
      </w:r>
      <w:r w:rsidRPr="009713ED">
        <w:rPr>
          <w:rFonts w:ascii="Times New Roman" w:hAnsi="Times New Roman" w:cs="Times New Roman"/>
        </w:rPr>
        <w:t>. E. J. Varela-Méndez:</w:t>
      </w:r>
      <w:r>
        <w:rPr>
          <w:rFonts w:ascii="Times New Roman" w:hAnsi="Times New Roman" w:cs="Times New Roman"/>
        </w:rPr>
        <w:t xml:space="preserve"> </w:t>
      </w:r>
      <w:r>
        <w:rPr>
          <w:rFonts w:ascii="Times New Roman" w:hAnsi="Times New Roman" w:cs="Times New Roman"/>
          <w:i/>
        </w:rPr>
        <w:t>op. cit.</w:t>
      </w:r>
      <w:r>
        <w:rPr>
          <w:rFonts w:ascii="Times New Roman" w:hAnsi="Times New Roman" w:cs="Times New Roman"/>
        </w:rPr>
        <w:t>, págs. 35-46.</w:t>
      </w:r>
    </w:p>
  </w:footnote>
  <w:footnote w:id="13">
    <w:p w:rsidR="00DC6041" w:rsidRPr="00227F5B" w:rsidRDefault="00DC6041" w:rsidP="009713ED">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Chiovenda reconoce dos –igualdad de las partes, economía-  (c</w:t>
      </w:r>
      <w:r w:rsidRPr="00A53C17">
        <w:rPr>
          <w:rFonts w:ascii="Times New Roman" w:hAnsi="Times New Roman" w:cs="Times New Roman"/>
          <w:i/>
        </w:rPr>
        <w:t>fr.</w:t>
      </w:r>
      <w:r>
        <w:rPr>
          <w:rFonts w:ascii="Times New Roman" w:hAnsi="Times New Roman" w:cs="Times New Roman"/>
        </w:rPr>
        <w:t xml:space="preserve"> Giuseppe Chiovenda: “Istituzioni di Diritto Processuale Civile”, Dott. Eugenio Jovene, Napoli, 1.935, vol. I, pág. 91 y “Principios de Derecho Procesal Civil”, trad. de José Casais y Santaló, Reus S. A., Madrid, 1.977, T. I, pág. 170), como lo destaca Couture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E. J. Couture: “Fundamentos del Derecho Procesal Civil”, Depalma, Bs. Aires, 1.966, pág. 182); Couture releva nueve –igualdad, disposición, economía, probidad, publicidad, preclusión, concentración, inmediación, oralidad-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E. J. Couture: </w:t>
      </w:r>
      <w:r w:rsidRPr="00A53C17">
        <w:rPr>
          <w:rFonts w:ascii="Times New Roman" w:hAnsi="Times New Roman" w:cs="Times New Roman"/>
          <w:i/>
        </w:rPr>
        <w:t>op. cit.</w:t>
      </w:r>
      <w:r>
        <w:rPr>
          <w:rFonts w:ascii="Times New Roman" w:hAnsi="Times New Roman" w:cs="Times New Roman"/>
        </w:rPr>
        <w:t>, págs. 183-200); Millar incluye ocho –bilateralidad de la audiencia, presentación por las partes e investigación judicial, impulso del proceso por las partes e impulso judicial, orden consecutivo, preclusión y acumulación eventual, prueba formal y prueba racional, oralidad y escritura, inmediación y mediación, publicidad y secreto- (c</w:t>
      </w:r>
      <w:r w:rsidRPr="00A53C17">
        <w:rPr>
          <w:rFonts w:ascii="Times New Roman" w:hAnsi="Times New Roman" w:cs="Times New Roman"/>
          <w:i/>
        </w:rPr>
        <w:t>fr.</w:t>
      </w:r>
      <w:r>
        <w:rPr>
          <w:rFonts w:ascii="Times New Roman" w:hAnsi="Times New Roman" w:cs="Times New Roman"/>
        </w:rPr>
        <w:t xml:space="preserve"> Robert Wyness Millar: “Los principios formativos del procedimiento civil”, trad. de Catalina Grossman, Ediar S. A., Bs. Aires, 1.945); Alvarado Velloso relaciona cinco –imparcialidad del juzgador, igualdad de las partes litigantes, transitoriedad del proceso, la eficacia de la serie procedimental y la moralidad en el debate-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Adolfo Alvarado Velloso: “Sistema procesal. Garantía de la libertad”, Rubinzal-Culzoni, Santa Fé, 2.009, T. I, págs. 339-346); Devis Echandía, aun cuando afirma: “Es decir, actualmente no debe hablarse de un Derecho Procesal Civil, de otro Penal, de otro Laboral o de otro Contencioso-Administrativo, sino de un único Derecho Procesal integral”, enuncia treinta y tres (¡!) principios para el Derecho Procesal Penal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Hernando Devis Echandía: “Principios fundamentales del Derecho Procesal Penal”, en Rev. D. Pr. Ib. –España-, 1.982, Nº 4, págs. 537-606, esp. pág. 538 y </w:t>
      </w:r>
      <w:r>
        <w:rPr>
          <w:rFonts w:ascii="Times New Roman" w:hAnsi="Times New Roman" w:cs="Times New Roman"/>
          <w:i/>
        </w:rPr>
        <w:t>passim</w:t>
      </w:r>
      <w:r>
        <w:rPr>
          <w:rFonts w:ascii="Times New Roman" w:hAnsi="Times New Roman" w:cs="Times New Roman"/>
        </w:rPr>
        <w:t>) y para el proceso civil relaciona diez principios fundamentales del Derecho Procesal y catorce principios fundamentales del procedimiento (c</w:t>
      </w:r>
      <w:r w:rsidRPr="00A53C17">
        <w:rPr>
          <w:rFonts w:ascii="Times New Roman" w:hAnsi="Times New Roman" w:cs="Times New Roman"/>
          <w:i/>
        </w:rPr>
        <w:t>fr.</w:t>
      </w:r>
      <w:r>
        <w:rPr>
          <w:rFonts w:ascii="Times New Roman" w:hAnsi="Times New Roman" w:cs="Times New Roman"/>
        </w:rPr>
        <w:t xml:space="preserve"> H. Devis Echandía: “Nociones generales de Derecho Procesal Civil”, Aguilar, Madrid, 1.966, págs. 47-67).</w:t>
      </w:r>
    </w:p>
  </w:footnote>
  <w:footnote w:id="14">
    <w:p w:rsidR="00DC6041" w:rsidRPr="00B23723" w:rsidRDefault="00DC6041" w:rsidP="009713ED">
      <w:pPr>
        <w:pStyle w:val="Textonotapie"/>
        <w:jc w:val="both"/>
        <w:rPr>
          <w:rFonts w:ascii="Times New Roman" w:hAnsi="Times New Roman" w:cs="Times New Roman"/>
        </w:rPr>
      </w:pPr>
      <w:r w:rsidRPr="00E87E36">
        <w:rPr>
          <w:rStyle w:val="Refdenotaalpie"/>
          <w:rFonts w:ascii="Times New Roman" w:hAnsi="Times New Roman" w:cs="Times New Roman"/>
        </w:rPr>
        <w:footnoteRef/>
      </w:r>
      <w:r w:rsidRPr="00E87E36">
        <w:rPr>
          <w:rFonts w:ascii="Times New Roman" w:hAnsi="Times New Roman" w:cs="Times New Roman"/>
        </w:rPr>
        <w:t xml:space="preserve"> </w:t>
      </w:r>
      <w:r w:rsidRPr="00A53C17">
        <w:rPr>
          <w:rFonts w:ascii="Times New Roman" w:hAnsi="Times New Roman" w:cs="Times New Roman"/>
          <w:i/>
        </w:rPr>
        <w:t>Cfr.</w:t>
      </w:r>
      <w:r w:rsidRPr="00E87E36">
        <w:rPr>
          <w:rFonts w:ascii="Times New Roman" w:hAnsi="Times New Roman" w:cs="Times New Roman"/>
        </w:rPr>
        <w:t xml:space="preserve"> Jorge Walt</w:t>
      </w:r>
      <w:r>
        <w:rPr>
          <w:rFonts w:ascii="Times New Roman" w:hAnsi="Times New Roman" w:cs="Times New Roman"/>
        </w:rPr>
        <w:t>er Pey</w:t>
      </w:r>
      <w:r w:rsidRPr="00E87E36">
        <w:rPr>
          <w:rFonts w:ascii="Times New Roman" w:hAnsi="Times New Roman" w:cs="Times New Roman"/>
        </w:rPr>
        <w:t>rano</w:t>
      </w:r>
      <w:r>
        <w:t xml:space="preserve">: </w:t>
      </w:r>
      <w:r w:rsidRPr="00E87E36">
        <w:rPr>
          <w:rFonts w:ascii="Times New Roman" w:hAnsi="Times New Roman" w:cs="Times New Roman"/>
        </w:rPr>
        <w:t>“El proceso civil. Prin</w:t>
      </w:r>
      <w:r>
        <w:rPr>
          <w:rFonts w:ascii="Times New Roman" w:hAnsi="Times New Roman" w:cs="Times New Roman"/>
        </w:rPr>
        <w:t>cipios y fundamentos”, Astrea, B</w:t>
      </w:r>
      <w:r w:rsidRPr="00E87E36">
        <w:rPr>
          <w:rFonts w:ascii="Times New Roman" w:hAnsi="Times New Roman" w:cs="Times New Roman"/>
        </w:rPr>
        <w:t xml:space="preserve">s. Aires, 1.978, págs. </w:t>
      </w:r>
      <w:r>
        <w:rPr>
          <w:rFonts w:ascii="Times New Roman" w:hAnsi="Times New Roman" w:cs="Times New Roman"/>
        </w:rPr>
        <w:t xml:space="preserve">42-44. Es seguido por autores como Enrique Véscovi </w:t>
      </w:r>
      <w:r>
        <w:rPr>
          <w:rFonts w:ascii="Times New Roman" w:hAnsi="Times New Roman" w:cs="Times New Roman"/>
          <w:i/>
        </w:rPr>
        <w:t>et. al.</w:t>
      </w:r>
      <w:r>
        <w:rPr>
          <w:rFonts w:ascii="Times New Roman" w:hAnsi="Times New Roman" w:cs="Times New Roman"/>
        </w:rPr>
        <w:t>: “Código General del Proceso. Comentado, anotado y concordado”, T. 1, Ábaco, Montevideo, 1.992, págs.50-51.</w:t>
      </w:r>
    </w:p>
  </w:footnote>
  <w:footnote w:id="15">
    <w:p w:rsidR="00DC6041" w:rsidRPr="00E87E36" w:rsidRDefault="00DC6041" w:rsidP="009713ED">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J. W. Peyrano: </w:t>
      </w:r>
      <w:r w:rsidRPr="00A53C17">
        <w:rPr>
          <w:rFonts w:ascii="Times New Roman" w:hAnsi="Times New Roman" w:cs="Times New Roman"/>
          <w:i/>
        </w:rPr>
        <w:t>op. cit.</w:t>
      </w:r>
      <w:r>
        <w:rPr>
          <w:rFonts w:ascii="Times New Roman" w:hAnsi="Times New Roman" w:cs="Times New Roman"/>
        </w:rPr>
        <w:t>, págs. 36-37.</w:t>
      </w:r>
    </w:p>
  </w:footnote>
  <w:footnote w:id="16">
    <w:p w:rsidR="00DC6041" w:rsidRPr="003A1E18" w:rsidRDefault="00DC6041" w:rsidP="009713ED">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La imparcialidad del juzgador resulta de esencia al concepto de debido proceso. Este concepto se escinde en dos manifestaciones: la imparcialidad estructural y la imparcialidad funcional. Es imparcialidad estructural el hecho de ser ajeno a los intereses específicos del objeto del proceso </w:t>
      </w:r>
      <w:r>
        <w:rPr>
          <w:rFonts w:ascii="Times New Roman" w:hAnsi="Times New Roman" w:cs="Times New Roman"/>
          <w:i/>
        </w:rPr>
        <w:t>(nemo iudex in causa propria)</w:t>
      </w:r>
      <w:r>
        <w:rPr>
          <w:rFonts w:ascii="Times New Roman" w:hAnsi="Times New Roman" w:cs="Times New Roman"/>
        </w:rPr>
        <w:t xml:space="preserve">. La imparcialidad funcional es, en relación a las partes, negativa por un lado, en cuanto debe prescindir de los sujetos y atenerse a los resultados objetivos de sus actividades; y positiva, en cuanto, liberada su conducta de toda traba subjetiva, debe otorgar a cada actividad su máximo de posibilidades, ya provenga de uno u otro interesado. De ahí que la imparcialidad funcional pueda calificarse como objetividad y dar lugar a un deber de objetividad.  </w:t>
      </w:r>
    </w:p>
  </w:footnote>
  <w:footnote w:id="17">
    <w:p w:rsidR="00DC6041" w:rsidRPr="003A1E18" w:rsidRDefault="00DC6041" w:rsidP="009713ED">
      <w:pPr>
        <w:pStyle w:val="Textonotapie"/>
        <w:jc w:val="both"/>
        <w:rPr>
          <w:rFonts w:ascii="Times New Roman" w:hAnsi="Times New Roman" w:cs="Times New Roman"/>
        </w:rPr>
      </w:pPr>
      <w:r>
        <w:rPr>
          <w:rStyle w:val="Refdenotaalpie"/>
        </w:rPr>
        <w:footnoteRef/>
      </w:r>
      <w:r>
        <w:rPr>
          <w:rFonts w:ascii="Times New Roman" w:hAnsi="Times New Roman" w:cs="Times New Roman"/>
        </w:rPr>
        <w:t xml:space="preserve"> Cuando se sospecha la existencia de algún vínculo –objetivo o subjetivo- susceptible de alterar la imparcialidad, el Derecho Procesal impone al juzgador ya sea apartarse, solicitar su derecho de abstención y a las partes el derecho a recusarlo.</w:t>
      </w:r>
    </w:p>
  </w:footnote>
  <w:footnote w:id="18">
    <w:p w:rsidR="00DC6041" w:rsidRPr="004A7EB5" w:rsidRDefault="00DC6041" w:rsidP="009713ED">
      <w:pPr>
        <w:pStyle w:val="Textonotapie"/>
        <w:jc w:val="both"/>
        <w:rPr>
          <w:rFonts w:ascii="Times New Roman" w:hAnsi="Times New Roman" w:cs="Times New Roman"/>
        </w:rPr>
      </w:pPr>
      <w:r>
        <w:rPr>
          <w:rStyle w:val="Refdenotaalpie"/>
        </w:rPr>
        <w:footnoteRef/>
      </w:r>
      <w:r>
        <w:rPr>
          <w:rFonts w:ascii="Times New Roman" w:hAnsi="Times New Roman" w:cs="Times New Roman"/>
        </w:rPr>
        <w:t xml:space="preserve"> Lo propio con publicidad y reserva (de las actuaciones): hay procesos en que se disponen medidas reservadas, como por ejemplo, medidas cautelares en el proceso civil e instructorias –que también son cautelares- en el proceso penal. Pero esa reserva se proyecta en reserva inmediata y publicidad posterior; otros procesos pueden ser reservados para terceros  –</w:t>
      </w:r>
      <w:r>
        <w:rPr>
          <w:rFonts w:ascii="Times New Roman" w:hAnsi="Times New Roman" w:cs="Times New Roman"/>
          <w:i/>
        </w:rPr>
        <w:t xml:space="preserve">v. gr. </w:t>
      </w:r>
      <w:r>
        <w:rPr>
          <w:rFonts w:ascii="Times New Roman" w:hAnsi="Times New Roman" w:cs="Times New Roman"/>
        </w:rPr>
        <w:t>público- pero no para las partes; etc.</w:t>
      </w:r>
    </w:p>
  </w:footnote>
  <w:footnote w:id="19">
    <w:p w:rsidR="00DC6041" w:rsidRPr="00EE24DC" w:rsidRDefault="00DC6041" w:rsidP="009713ED">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A. Alvarado Velloso: “Lecciones de Derecho Procesal Civil”, La Ley Uruguay, Montevideo, 2.011, págs. 208-221.</w:t>
      </w:r>
    </w:p>
  </w:footnote>
  <w:footnote w:id="20">
    <w:p w:rsidR="00DC6041" w:rsidRPr="00DE5372" w:rsidRDefault="00DC6041" w:rsidP="009713ED">
      <w:pPr>
        <w:pStyle w:val="Textonotapie"/>
        <w:jc w:val="both"/>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Oscar Sarlo,</w:t>
      </w:r>
      <w:r w:rsidRPr="00AE67A9">
        <w:rPr>
          <w:rFonts w:ascii="Times New Roman" w:hAnsi="Times New Roman" w:cs="Times New Roman"/>
        </w:rPr>
        <w:t xml:space="preserve"> </w:t>
      </w:r>
      <w:r w:rsidRPr="00257D73">
        <w:rPr>
          <w:rFonts w:ascii="Times New Roman" w:hAnsi="Times New Roman" w:cs="Times New Roman"/>
        </w:rPr>
        <w:t>Darío Burstin, Serrana Delgado, Leandro Francolino, José Gabriel Gómez Leiza</w:t>
      </w:r>
      <w:r>
        <w:rPr>
          <w:rFonts w:ascii="Times New Roman" w:hAnsi="Times New Roman" w:cs="Times New Roman"/>
        </w:rPr>
        <w:t xml:space="preserve"> y</w:t>
      </w:r>
      <w:r w:rsidRPr="00257D73">
        <w:rPr>
          <w:rFonts w:ascii="Times New Roman" w:hAnsi="Times New Roman" w:cs="Times New Roman"/>
        </w:rPr>
        <w:t xml:space="preserve"> Guzmán Rodríguez Carrau: “La era de los principios: entre compromiso moral y retórica vacía. Análisis teórico y usos discursivos en el Derecho uruguayo”,</w:t>
      </w:r>
      <w:r>
        <w:rPr>
          <w:rFonts w:ascii="Times New Roman" w:hAnsi="Times New Roman" w:cs="Times New Roman"/>
        </w:rPr>
        <w:t xml:space="preserve"> FCU, Montevideo, 2.018,  pág. 100. Expresa Bulygin: “Con esto no pretendo negar la existencia de los principios o razones justificativas subyacentes a las formulaciones normativas del legislador (aunque tengo la impresión de que su importancia ha sido fuertemente exagerada por autores como DWORKIN o ALEXY)… Lo único que hace la introducción de principios es ampliar </w:t>
      </w:r>
      <w:r w:rsidR="00AE0067">
        <w:rPr>
          <w:rFonts w:ascii="Times New Roman" w:hAnsi="Times New Roman" w:cs="Times New Roman"/>
        </w:rPr>
        <w:t xml:space="preserve"> </w:t>
      </w:r>
      <w:r>
        <w:rPr>
          <w:rFonts w:ascii="Times New Roman" w:hAnsi="Times New Roman" w:cs="Times New Roman"/>
        </w:rPr>
        <w:t>la cantidad de normas: partiendo de un conjunto (normas formuladas expresamente) llegamos a otro conjunto más amplio formado por las calificaciones definitivas resultantes del famoso balance, pero nada permite pensar que el nuevo conjunto será necesariamente completo” (</w:t>
      </w:r>
      <w:r>
        <w:rPr>
          <w:rFonts w:ascii="Times New Roman" w:hAnsi="Times New Roman" w:cs="Times New Roman"/>
          <w:i/>
        </w:rPr>
        <w:t>cfr.</w:t>
      </w:r>
      <w:r>
        <w:rPr>
          <w:rFonts w:ascii="Times New Roman" w:hAnsi="Times New Roman" w:cs="Times New Roman"/>
        </w:rPr>
        <w:t xml:space="preserve"> Eugenio Bulygin: “Sobre la equivalencia pragmática entre permiso y no prohibición”, en AA. VV.: “El libro de los permisos”, Marcial Pons, Madrid, 2.019, págs. 87-106, esp. pág. 100).</w:t>
      </w:r>
    </w:p>
  </w:footnote>
  <w:footnote w:id="21">
    <w:p w:rsidR="00DC6041" w:rsidRPr="00D02057" w:rsidRDefault="00DC6041" w:rsidP="009713ED">
      <w:pPr>
        <w:pStyle w:val="Textonotapie"/>
        <w:jc w:val="both"/>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Juan Montero Aroca: “Principios del proceso penal. Una explicación basada en la razón”, Astrea-Tirant lo Blanch, Bs. Aires, 2.016, pág. 14 en nota. </w:t>
      </w:r>
    </w:p>
  </w:footnote>
  <w:footnote w:id="22">
    <w:p w:rsidR="00DC6041" w:rsidRPr="00CB13B9" w:rsidRDefault="00DC6041" w:rsidP="000F541C">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E. J. Couture: “Estudios de Derecho Procesal”, Depalma, Bs. Aires, 1.978, T. III,  pág. 50.</w:t>
      </w:r>
    </w:p>
  </w:footnote>
  <w:footnote w:id="23">
    <w:p w:rsidR="00DC6041" w:rsidRPr="00AB298B" w:rsidRDefault="00DC6041" w:rsidP="000F541C">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E. J. Couture: “La enseñanza de Chiovenda…”, cit., pág. 526.</w:t>
      </w:r>
    </w:p>
  </w:footnote>
  <w:footnote w:id="24">
    <w:p w:rsidR="00DC6041" w:rsidRPr="006E051B" w:rsidRDefault="00DC6041" w:rsidP="000F541C">
      <w:pPr>
        <w:pStyle w:val="paragraph"/>
        <w:spacing w:before="0" w:beforeAutospacing="0" w:after="0" w:afterAutospacing="0"/>
        <w:contextualSpacing/>
        <w:jc w:val="both"/>
        <w:textAlignment w:val="baseline"/>
        <w:rPr>
          <w:sz w:val="20"/>
          <w:szCs w:val="20"/>
        </w:rPr>
      </w:pPr>
      <w:r w:rsidRPr="006E051B">
        <w:rPr>
          <w:rStyle w:val="Refdenotaalpie"/>
        </w:rPr>
        <w:footnoteRef/>
      </w:r>
      <w:r>
        <w:t xml:space="preserve"> </w:t>
      </w:r>
      <w:r w:rsidRPr="00A53C17">
        <w:rPr>
          <w:i/>
          <w:sz w:val="20"/>
          <w:szCs w:val="20"/>
        </w:rPr>
        <w:t>Cfr.</w:t>
      </w:r>
      <w:r w:rsidRPr="006E051B">
        <w:rPr>
          <w:sz w:val="20"/>
          <w:szCs w:val="20"/>
        </w:rPr>
        <w:t xml:space="preserve"> </w:t>
      </w:r>
      <w:r>
        <w:rPr>
          <w:sz w:val="20"/>
          <w:szCs w:val="20"/>
        </w:rPr>
        <w:t xml:space="preserve">Jean </w:t>
      </w:r>
      <w:r w:rsidRPr="006E051B">
        <w:rPr>
          <w:sz w:val="20"/>
          <w:szCs w:val="20"/>
        </w:rPr>
        <w:t>Boulanger: “La méthode depuis le code civil de 1804 au point de vue de l´interpretation judiciaire”, en AA. AA.: “L´influence du code civil dans le monde”, Travaux de la Semaine International de Droit, Association Henri Capitant, Paris, 1.950, Éditions A. Pedone, Paris, 1.954, págs. 329-360</w:t>
      </w:r>
      <w:r>
        <w:rPr>
          <w:sz w:val="20"/>
          <w:szCs w:val="20"/>
        </w:rPr>
        <w:t>, esp. pág</w:t>
      </w:r>
      <w:r w:rsidRPr="006E051B">
        <w:rPr>
          <w:sz w:val="20"/>
          <w:szCs w:val="20"/>
        </w:rPr>
        <w:t>.</w:t>
      </w:r>
      <w:r>
        <w:rPr>
          <w:sz w:val="20"/>
          <w:szCs w:val="20"/>
        </w:rPr>
        <w:t xml:space="preserve"> 353. Trad. libre: un principio está simplemente implicado por un conjunto de reglas.</w:t>
      </w:r>
    </w:p>
  </w:footnote>
  <w:footnote w:id="25">
    <w:p w:rsidR="00DC6041" w:rsidRPr="006E051B" w:rsidRDefault="00DC6041" w:rsidP="000F541C">
      <w:pPr>
        <w:pStyle w:val="Textonotapie"/>
        <w:contextualSpacing/>
        <w:rPr>
          <w:rFonts w:ascii="Times New Roman" w:hAnsi="Times New Roman" w:cs="Times New Roman"/>
        </w:rPr>
      </w:pPr>
      <w:r w:rsidRPr="006E051B">
        <w:rPr>
          <w:rStyle w:val="Refdenotaalpie"/>
          <w:rFonts w:ascii="Times New Roman" w:hAnsi="Times New Roman" w:cs="Times New Roman"/>
        </w:rPr>
        <w:footnoteRef/>
      </w:r>
      <w:r w:rsidRPr="006E051B">
        <w:rPr>
          <w:rFonts w:ascii="Times New Roman" w:hAnsi="Times New Roman" w:cs="Times New Roman"/>
        </w:rPr>
        <w:t xml:space="preserve">  </w:t>
      </w:r>
      <w:r w:rsidRPr="00A53C17">
        <w:rPr>
          <w:rFonts w:ascii="Times New Roman" w:hAnsi="Times New Roman" w:cs="Times New Roman"/>
          <w:i/>
        </w:rPr>
        <w:t>Cfr.</w:t>
      </w:r>
      <w:r w:rsidRPr="006E051B">
        <w:rPr>
          <w:rFonts w:ascii="Times New Roman" w:hAnsi="Times New Roman" w:cs="Times New Roman"/>
        </w:rPr>
        <w:t xml:space="preserve"> Jaime Guasp: “Derecho Procesal Civil”, Instituto de Estudios Políticos, Madrid, 1.968, T. I, págs. 51-53.</w:t>
      </w:r>
    </w:p>
  </w:footnote>
  <w:footnote w:id="26">
    <w:p w:rsidR="00DC6041" w:rsidRPr="00257D73" w:rsidRDefault="00DC6041" w:rsidP="000F541C">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A53C17">
        <w:rPr>
          <w:rFonts w:ascii="Times New Roman" w:hAnsi="Times New Roman" w:cs="Times New Roman"/>
          <w:i/>
        </w:rPr>
        <w:t>Cfr.</w:t>
      </w:r>
      <w:r w:rsidRPr="00257D73">
        <w:rPr>
          <w:rFonts w:ascii="Times New Roman" w:hAnsi="Times New Roman" w:cs="Times New Roman"/>
        </w:rPr>
        <w:t xml:space="preserve"> J</w:t>
      </w:r>
      <w:r>
        <w:rPr>
          <w:rFonts w:ascii="Times New Roman" w:hAnsi="Times New Roman" w:cs="Times New Roman"/>
        </w:rPr>
        <w:t>.</w:t>
      </w:r>
      <w:r w:rsidRPr="00257D73">
        <w:rPr>
          <w:rFonts w:ascii="Times New Roman" w:hAnsi="Times New Roman" w:cs="Times New Roman"/>
        </w:rPr>
        <w:t xml:space="preserve"> W. Peirano:</w:t>
      </w:r>
      <w:r>
        <w:rPr>
          <w:rFonts w:ascii="Times New Roman" w:hAnsi="Times New Roman" w:cs="Times New Roman"/>
        </w:rPr>
        <w:t xml:space="preserve"> </w:t>
      </w:r>
      <w:r>
        <w:rPr>
          <w:rFonts w:ascii="Times New Roman" w:hAnsi="Times New Roman" w:cs="Times New Roman"/>
          <w:i/>
        </w:rPr>
        <w:t>op. cit.</w:t>
      </w:r>
      <w:r>
        <w:rPr>
          <w:rFonts w:ascii="Times New Roman" w:hAnsi="Times New Roman" w:cs="Times New Roman"/>
        </w:rPr>
        <w:t xml:space="preserve">,  </w:t>
      </w:r>
      <w:r w:rsidRPr="00257D73">
        <w:rPr>
          <w:rFonts w:ascii="Times New Roman" w:hAnsi="Times New Roman" w:cs="Times New Roman"/>
        </w:rPr>
        <w:t xml:space="preserve"> págs. 40-41 y 48-49.</w:t>
      </w:r>
    </w:p>
  </w:footnote>
  <w:footnote w:id="27">
    <w:p w:rsidR="00DC6041" w:rsidRPr="00257D73" w:rsidRDefault="00DC6041" w:rsidP="000F541C">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A53C17">
        <w:rPr>
          <w:rFonts w:ascii="Times New Roman" w:hAnsi="Times New Roman" w:cs="Times New Roman"/>
          <w:i/>
        </w:rPr>
        <w:t>Cfr.</w:t>
      </w:r>
      <w:r w:rsidRPr="00257D73">
        <w:rPr>
          <w:rFonts w:ascii="Times New Roman" w:hAnsi="Times New Roman" w:cs="Times New Roman"/>
        </w:rPr>
        <w:t xml:space="preserve"> L</w:t>
      </w:r>
      <w:r>
        <w:rPr>
          <w:rFonts w:ascii="Times New Roman" w:hAnsi="Times New Roman" w:cs="Times New Roman"/>
        </w:rPr>
        <w:t xml:space="preserve">ino </w:t>
      </w:r>
      <w:r w:rsidRPr="00257D73">
        <w:rPr>
          <w:rFonts w:ascii="Times New Roman" w:hAnsi="Times New Roman" w:cs="Times New Roman"/>
        </w:rPr>
        <w:t xml:space="preserve"> E</w:t>
      </w:r>
      <w:r>
        <w:rPr>
          <w:rFonts w:ascii="Times New Roman" w:hAnsi="Times New Roman" w:cs="Times New Roman"/>
        </w:rPr>
        <w:t>nrique</w:t>
      </w:r>
      <w:r w:rsidRPr="00257D73">
        <w:rPr>
          <w:rFonts w:ascii="Times New Roman" w:hAnsi="Times New Roman" w:cs="Times New Roman"/>
        </w:rPr>
        <w:t xml:space="preserve"> Palacio: </w:t>
      </w:r>
      <w:r>
        <w:rPr>
          <w:rFonts w:ascii="Times New Roman" w:hAnsi="Times New Roman" w:cs="Times New Roman"/>
        </w:rPr>
        <w:t xml:space="preserve">“Derecho Procesal Civil”, T. I, Abeledo-Perrot, Bs. Aires, 1.979, </w:t>
      </w:r>
      <w:r w:rsidRPr="00257D73">
        <w:rPr>
          <w:rFonts w:ascii="Times New Roman" w:hAnsi="Times New Roman" w:cs="Times New Roman"/>
        </w:rPr>
        <w:t xml:space="preserve"> pág. 251.</w:t>
      </w:r>
    </w:p>
  </w:footnote>
  <w:footnote w:id="28">
    <w:p w:rsidR="00DC6041" w:rsidRPr="00257D73" w:rsidRDefault="00DC6041" w:rsidP="000F541C">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A53C17">
        <w:rPr>
          <w:rFonts w:ascii="Times New Roman" w:hAnsi="Times New Roman" w:cs="Times New Roman"/>
          <w:i/>
        </w:rPr>
        <w:t>Cfr.</w:t>
      </w:r>
      <w:r w:rsidRPr="00257D73">
        <w:rPr>
          <w:rFonts w:ascii="Times New Roman" w:hAnsi="Times New Roman" w:cs="Times New Roman"/>
        </w:rPr>
        <w:t xml:space="preserve"> E</w:t>
      </w:r>
      <w:r>
        <w:rPr>
          <w:rFonts w:ascii="Times New Roman" w:hAnsi="Times New Roman" w:cs="Times New Roman"/>
        </w:rPr>
        <w:t>.</w:t>
      </w:r>
      <w:r w:rsidRPr="00257D73">
        <w:rPr>
          <w:rFonts w:ascii="Times New Roman" w:hAnsi="Times New Roman" w:cs="Times New Roman"/>
        </w:rPr>
        <w:t xml:space="preserve"> Véscovi </w:t>
      </w:r>
      <w:r w:rsidRPr="00257D73">
        <w:rPr>
          <w:rFonts w:ascii="Times New Roman" w:hAnsi="Times New Roman" w:cs="Times New Roman"/>
          <w:i/>
        </w:rPr>
        <w:t>et al.</w:t>
      </w:r>
      <w:r w:rsidRPr="00257D73">
        <w:rPr>
          <w:rFonts w:ascii="Times New Roman" w:hAnsi="Times New Roman" w:cs="Times New Roman"/>
        </w:rPr>
        <w:t xml:space="preserve">: </w:t>
      </w:r>
      <w:r>
        <w:rPr>
          <w:rFonts w:ascii="Times New Roman" w:hAnsi="Times New Roman" w:cs="Times New Roman"/>
          <w:i/>
        </w:rPr>
        <w:t>ibid.</w:t>
      </w:r>
      <w:r>
        <w:rPr>
          <w:rFonts w:ascii="Times New Roman" w:hAnsi="Times New Roman" w:cs="Times New Roman"/>
        </w:rPr>
        <w:t xml:space="preserve">,  </w:t>
      </w:r>
      <w:r w:rsidRPr="00257D73">
        <w:rPr>
          <w:rFonts w:ascii="Times New Roman" w:hAnsi="Times New Roman" w:cs="Times New Roman"/>
        </w:rPr>
        <w:t xml:space="preserve">pág. 41. </w:t>
      </w:r>
    </w:p>
  </w:footnote>
  <w:footnote w:id="29">
    <w:p w:rsidR="00DC6041" w:rsidRPr="0062414A" w:rsidRDefault="00DC6041" w:rsidP="000F541C">
      <w:pPr>
        <w:pStyle w:val="Textonotapie"/>
        <w:jc w:val="both"/>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Arruda Alvim: “Principios fundamentales formativos del procedimiento civil brasileño”, en Rev. do Pr., Ano X, abril-junho 1.985, Nº 38, págs. 84-110, esp. págs. 85-86.</w:t>
      </w:r>
    </w:p>
  </w:footnote>
  <w:footnote w:id="30">
    <w:p w:rsidR="00DC6041" w:rsidRPr="00BF514E" w:rsidRDefault="00DC6041" w:rsidP="000F541C">
      <w:pPr>
        <w:pStyle w:val="Textonotapie"/>
        <w:rPr>
          <w:rFonts w:ascii="Times New Roman" w:hAnsi="Times New Roman" w:cs="Times New Roman"/>
        </w:rPr>
      </w:pPr>
      <w:r>
        <w:rPr>
          <w:rStyle w:val="Refdenotaalpie"/>
        </w:rPr>
        <w:footnoteRef/>
      </w:r>
      <w:r w:rsidRPr="004A27C2">
        <w:rPr>
          <w:lang w:val="en-US"/>
        </w:rPr>
        <w:t xml:space="preserve"> </w:t>
      </w:r>
      <w:r w:rsidRPr="004A27C2">
        <w:rPr>
          <w:rFonts w:ascii="Times New Roman" w:hAnsi="Times New Roman" w:cs="Times New Roman"/>
          <w:lang w:val="en-US"/>
        </w:rPr>
        <w:t xml:space="preserve"> </w:t>
      </w:r>
      <w:r w:rsidRPr="004A27C2">
        <w:rPr>
          <w:rFonts w:ascii="Times New Roman" w:hAnsi="Times New Roman" w:cs="Times New Roman"/>
          <w:i/>
          <w:lang w:val="en-US"/>
        </w:rPr>
        <w:t>Cfr.</w:t>
      </w:r>
      <w:r w:rsidRPr="004A27C2">
        <w:rPr>
          <w:rFonts w:ascii="Times New Roman" w:hAnsi="Times New Roman" w:cs="Times New Roman"/>
          <w:lang w:val="en-US"/>
        </w:rPr>
        <w:t xml:space="preserve"> J. Esser: </w:t>
      </w:r>
      <w:r w:rsidRPr="004A27C2">
        <w:rPr>
          <w:rFonts w:ascii="Times New Roman" w:hAnsi="Times New Roman" w:cs="Times New Roman"/>
          <w:i/>
          <w:lang w:val="en-US"/>
        </w:rPr>
        <w:t>op. cit.</w:t>
      </w:r>
      <w:r w:rsidRPr="004A27C2">
        <w:rPr>
          <w:rFonts w:ascii="Times New Roman" w:hAnsi="Times New Roman" w:cs="Times New Roman"/>
          <w:lang w:val="en-US"/>
        </w:rPr>
        <w:t xml:space="preserve">, págs. </w:t>
      </w:r>
      <w:r w:rsidRPr="00BF514E">
        <w:rPr>
          <w:rFonts w:ascii="Times New Roman" w:hAnsi="Times New Roman" w:cs="Times New Roman"/>
        </w:rPr>
        <w:t>138-139.</w:t>
      </w:r>
    </w:p>
  </w:footnote>
  <w:footnote w:id="31">
    <w:p w:rsidR="00DC6041" w:rsidRPr="00B00F2C" w:rsidRDefault="00DC6041" w:rsidP="000F541C">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A53C17">
        <w:rPr>
          <w:rFonts w:ascii="Times New Roman" w:hAnsi="Times New Roman" w:cs="Times New Roman"/>
          <w:i/>
        </w:rPr>
        <w:t>Cfr.</w:t>
      </w:r>
      <w:r w:rsidRPr="00257D73">
        <w:rPr>
          <w:rFonts w:ascii="Times New Roman" w:hAnsi="Times New Roman" w:cs="Times New Roman"/>
        </w:rPr>
        <w:t xml:space="preserve"> F</w:t>
      </w:r>
      <w:r>
        <w:rPr>
          <w:rFonts w:ascii="Times New Roman" w:hAnsi="Times New Roman" w:cs="Times New Roman"/>
        </w:rPr>
        <w:t>.</w:t>
      </w:r>
      <w:r w:rsidRPr="00257D73">
        <w:rPr>
          <w:rFonts w:ascii="Times New Roman" w:hAnsi="Times New Roman" w:cs="Times New Roman"/>
        </w:rPr>
        <w:t xml:space="preserve"> Carnelutti: </w:t>
      </w:r>
      <w:r>
        <w:rPr>
          <w:rFonts w:ascii="Times New Roman" w:hAnsi="Times New Roman" w:cs="Times New Roman"/>
        </w:rPr>
        <w:t>“Sistema de Derecho Procesal Civil”, trad. de Niceto Alcalá-Zamora y Castillo y Santiago Sentís Melendo, UTEHA, Bs. Aires, 1.944, T. I,  pág. 127</w:t>
      </w:r>
      <w:r w:rsidRPr="00B00F2C">
        <w:rPr>
          <w:rFonts w:ascii="Times New Roman" w:hAnsi="Times New Roman" w:cs="Times New Roman"/>
        </w:rPr>
        <w:t>.</w:t>
      </w:r>
    </w:p>
  </w:footnote>
  <w:footnote w:id="32">
    <w:p w:rsidR="00DC6041" w:rsidRPr="00B00F2C" w:rsidRDefault="00DC6041" w:rsidP="000F541C">
      <w:pPr>
        <w:pStyle w:val="Textonotapie"/>
        <w:rPr>
          <w:rFonts w:ascii="Times New Roman" w:hAnsi="Times New Roman" w:cs="Times New Roman"/>
        </w:rPr>
      </w:pPr>
      <w:r w:rsidRPr="00257D73">
        <w:rPr>
          <w:rStyle w:val="Refdenotaalpie"/>
          <w:rFonts w:ascii="Times New Roman" w:hAnsi="Times New Roman" w:cs="Times New Roman"/>
        </w:rPr>
        <w:footnoteRef/>
      </w:r>
      <w:r w:rsidRPr="00B00F2C">
        <w:rPr>
          <w:rFonts w:ascii="Times New Roman" w:hAnsi="Times New Roman" w:cs="Times New Roman"/>
        </w:rPr>
        <w:t xml:space="preserve">  </w:t>
      </w:r>
      <w:r>
        <w:rPr>
          <w:rFonts w:ascii="Times New Roman" w:hAnsi="Times New Roman" w:cs="Times New Roman"/>
          <w:i/>
        </w:rPr>
        <w:t>Ibid.</w:t>
      </w:r>
      <w:r w:rsidRPr="00B00F2C">
        <w:rPr>
          <w:rFonts w:ascii="Times New Roman" w:hAnsi="Times New Roman" w:cs="Times New Roman"/>
        </w:rPr>
        <w:t xml:space="preserve">  pág. 132.</w:t>
      </w:r>
    </w:p>
  </w:footnote>
  <w:footnote w:id="33">
    <w:p w:rsidR="00DC6041" w:rsidRPr="00B83338" w:rsidRDefault="00DC6041" w:rsidP="000F541C">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Justino Jiménez de Aréchaga: “La Constitución Nacional”, T. I, Cámara de Senadores, Montevideo, 1.991, pág. 45.</w:t>
      </w:r>
    </w:p>
  </w:footnote>
  <w:footnote w:id="34">
    <w:p w:rsidR="00DC6041" w:rsidRPr="00257D73" w:rsidRDefault="00DC6041" w:rsidP="002C10B4">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Una referencia completa puede consultarse en:</w:t>
      </w:r>
      <w:r>
        <w:rPr>
          <w:rFonts w:ascii="Times New Roman" w:hAnsi="Times New Roman" w:cs="Times New Roman"/>
        </w:rPr>
        <w:t xml:space="preserve"> O. Sarlo </w:t>
      </w:r>
      <w:r>
        <w:rPr>
          <w:rFonts w:ascii="Times New Roman" w:hAnsi="Times New Roman" w:cs="Times New Roman"/>
          <w:i/>
        </w:rPr>
        <w:t>et al.</w:t>
      </w:r>
      <w:r>
        <w:rPr>
          <w:rFonts w:ascii="Times New Roman" w:hAnsi="Times New Roman" w:cs="Times New Roman"/>
        </w:rPr>
        <w:t xml:space="preserve">: </w:t>
      </w:r>
      <w:r w:rsidRPr="00A53C17">
        <w:rPr>
          <w:rFonts w:ascii="Times New Roman" w:hAnsi="Times New Roman" w:cs="Times New Roman"/>
          <w:i/>
        </w:rPr>
        <w:t>op. cit.</w:t>
      </w:r>
      <w:r>
        <w:rPr>
          <w:rFonts w:ascii="Times New Roman" w:hAnsi="Times New Roman" w:cs="Times New Roman"/>
        </w:rPr>
        <w:t>, págs. 81-91.</w:t>
      </w:r>
    </w:p>
  </w:footnote>
  <w:footnote w:id="35">
    <w:p w:rsidR="00DC6041" w:rsidRPr="007040DA" w:rsidRDefault="00DC6041" w:rsidP="002C10B4">
      <w:pPr>
        <w:pStyle w:val="Textonotapie"/>
        <w:jc w:val="both"/>
        <w:rPr>
          <w:rFonts w:ascii="Times New Roman" w:eastAsia="Calibri" w:hAnsi="Times New Roman" w:cs="Times New Roman"/>
          <w:lang w:val="es-UY"/>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2C10B4">
        <w:rPr>
          <w:rFonts w:ascii="Times New Roman" w:eastAsia="Calibri" w:hAnsi="Times New Roman" w:cs="Times New Roman"/>
          <w:lang w:val="es-UY"/>
        </w:rPr>
        <w:t xml:space="preserve"> Código Civil, artículo 16: Cuando ocurra un  negocio civil, que no pueda resolverse por las palabras ni por el espíritu de la ley de la materia, se acudirá a los fundamentos de las leyes análogas; y si todavía subsistiere la duda, se ocurrirá a los principios generales de derecho y a las doctrinas más recibidas, consideradas las circunstancias del caso.</w:t>
      </w:r>
    </w:p>
  </w:footnote>
  <w:footnote w:id="36">
    <w:p w:rsidR="00DC6041" w:rsidRPr="00257D73" w:rsidRDefault="00DC6041" w:rsidP="002C10B4">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Constitución, artículo 332: Los preceptos de la presente Constitución que reconocen derechos a los individuos, así como los que atribuyen facultades e imponen deberes a las autoridades públicas, no dejarán de aplicarse por falta de la reglamentación respectiva, sino que ésta será suplida recurriendo a los fundamentos de leyes análogas, a los principios generales de derecho y a las doctrinas generalmente admitidas.</w:t>
      </w:r>
    </w:p>
  </w:footnote>
  <w:footnote w:id="37">
    <w:p w:rsidR="00DC6041" w:rsidRPr="002C10B4" w:rsidRDefault="00DC6041" w:rsidP="002C10B4">
      <w:pPr>
        <w:pStyle w:val="Textonotapie"/>
        <w:jc w:val="both"/>
        <w:rPr>
          <w:rFonts w:ascii="Times New Roman" w:eastAsia="Calibri" w:hAnsi="Times New Roman" w:cs="Times New Roman"/>
          <w:lang w:val="es-UY"/>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2C10B4">
        <w:rPr>
          <w:rFonts w:ascii="Times New Roman" w:eastAsia="Calibri" w:hAnsi="Times New Roman" w:cs="Times New Roman"/>
          <w:lang w:val="es-UY"/>
        </w:rPr>
        <w:t>Código General del Proceso, artículo 14: Para interpretar la norma procesal, el tribunal deberá tener en cuenta que el fin del proceso es la efectividad de los derechos sustanciales.</w:t>
      </w:r>
    </w:p>
    <w:p w:rsidR="00DC6041" w:rsidRPr="002C10B4" w:rsidRDefault="00DC6041" w:rsidP="002C10B4">
      <w:pPr>
        <w:spacing w:after="0" w:line="240" w:lineRule="auto"/>
        <w:jc w:val="both"/>
        <w:rPr>
          <w:rFonts w:ascii="Times New Roman" w:eastAsia="Calibri" w:hAnsi="Times New Roman" w:cs="Times New Roman"/>
          <w:sz w:val="20"/>
          <w:szCs w:val="20"/>
          <w:lang w:val="es-UY"/>
        </w:rPr>
      </w:pPr>
      <w:r w:rsidRPr="002C10B4">
        <w:rPr>
          <w:rFonts w:ascii="Times New Roman" w:eastAsia="Calibri" w:hAnsi="Times New Roman" w:cs="Times New Roman"/>
          <w:sz w:val="20"/>
          <w:szCs w:val="20"/>
          <w:lang w:val="es-UY"/>
        </w:rPr>
        <w:t>En caso de duda se deberá recurrir a las normas generales teniendo presente los principios generales de derecho y especiales del proceso y la necesidad de preservar las garantías constitucionales del debido proceso y de la defensa en el mismo.</w:t>
      </w:r>
    </w:p>
    <w:p w:rsidR="00DC6041" w:rsidRPr="00257D73" w:rsidRDefault="00DC6041" w:rsidP="007040DA">
      <w:pPr>
        <w:spacing w:after="0" w:line="240" w:lineRule="auto"/>
        <w:jc w:val="both"/>
        <w:rPr>
          <w:rFonts w:ascii="Times New Roman" w:hAnsi="Times New Roman" w:cs="Times New Roman"/>
        </w:rPr>
      </w:pPr>
      <w:r w:rsidRPr="002C10B4">
        <w:rPr>
          <w:rFonts w:ascii="Times New Roman" w:eastAsia="Calibri" w:hAnsi="Times New Roman" w:cs="Times New Roman"/>
          <w:sz w:val="20"/>
          <w:szCs w:val="20"/>
          <w:lang w:val="es-UY"/>
        </w:rPr>
        <w:t>Artículo 15: En caso de vacío legal, se deberá recurrir a los fundamentos de las leyes que rigen situaciones análogas y a los principios constitucionales y generales de derecho y especiales del proceso y a las doctrinas más recibidas, atendidas las circunstancias del caso.</w:t>
      </w:r>
    </w:p>
  </w:footnote>
  <w:footnote w:id="38">
    <w:p w:rsidR="00DC6041" w:rsidRPr="00257D73" w:rsidRDefault="00DC6041" w:rsidP="002C10B4">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Código del Proceso Penal, artículo 14. 1 inc. 2: En caso de duda,  se deberá recurrir a las normas generales, fundamentalmente las que emanan de la Constitución de la república, de los principios generales de derecho y de los específicos del proceso penal, debiéndose preservar y hacer efectivas las garantías del debido proceso.</w:t>
      </w:r>
    </w:p>
    <w:p w:rsidR="00DC6041" w:rsidRPr="00257D73" w:rsidRDefault="00DC6041" w:rsidP="002C10B4">
      <w:pPr>
        <w:pStyle w:val="Textonotapie"/>
        <w:jc w:val="both"/>
        <w:rPr>
          <w:rFonts w:ascii="Times New Roman" w:hAnsi="Times New Roman" w:cs="Times New Roman"/>
        </w:rPr>
      </w:pPr>
      <w:r w:rsidRPr="00257D73">
        <w:rPr>
          <w:rFonts w:ascii="Times New Roman" w:hAnsi="Times New Roman" w:cs="Times New Roman"/>
        </w:rPr>
        <w:t xml:space="preserve">Artículo 14.2 En caso de vacío legal, se deberá recurrir a los fundamentos de las leyes análogas, a los principios constitucionales y generales de derecho y a las doctrinas más recibidas, atendidas las circunstancias del caso. Están vedadas la solución analógica y la interpretación extensiva perjudiciales al interés del imputado. </w:t>
      </w:r>
    </w:p>
  </w:footnote>
  <w:footnote w:id="39">
    <w:p w:rsidR="00DC6041" w:rsidRPr="00257D73" w:rsidRDefault="00DC6041" w:rsidP="002C10B4">
      <w:pPr>
        <w:pStyle w:val="Textonotapie"/>
        <w:jc w:val="both"/>
        <w:rPr>
          <w:rFonts w:ascii="Times New Roman" w:hAnsi="Times New Roman" w:cs="Times New Roman"/>
        </w:rPr>
      </w:pPr>
      <w:r w:rsidRPr="00257D73">
        <w:rPr>
          <w:rStyle w:val="Refdenotaalpie"/>
          <w:rFonts w:ascii="Times New Roman" w:hAnsi="Times New Roman" w:cs="Times New Roman"/>
        </w:rPr>
        <w:footnoteRef/>
      </w:r>
      <w:r>
        <w:rPr>
          <w:rFonts w:ascii="Times New Roman" w:hAnsi="Times New Roman" w:cs="Times New Roman"/>
        </w:rPr>
        <w:t xml:space="preserve"> </w:t>
      </w:r>
      <w:r w:rsidRPr="00257D73">
        <w:rPr>
          <w:rFonts w:ascii="Times New Roman" w:hAnsi="Times New Roman" w:cs="Times New Roman"/>
        </w:rPr>
        <w:t>Si una cuestión civil no puede resolverse, ni por las palabras, ni por el espíritu de la ley, se atenderá a los principios de leyes análogas; y si aún la cuestión fuere dudosa, se resolverá por los principios generales del derecho, teniendo en considerac</w:t>
      </w:r>
      <w:r>
        <w:rPr>
          <w:rFonts w:ascii="Times New Roman" w:hAnsi="Times New Roman" w:cs="Times New Roman"/>
        </w:rPr>
        <w:t>ión las circunstancias del caso</w:t>
      </w:r>
      <w:r w:rsidRPr="00257D73">
        <w:rPr>
          <w:rFonts w:ascii="Times New Roman" w:hAnsi="Times New Roman" w:cs="Times New Roman"/>
        </w:rPr>
        <w:t>. El nuevo Código Civil argentino –Ley Nº 26.994- no reproduce el texto.</w:t>
      </w:r>
    </w:p>
  </w:footnote>
  <w:footnote w:id="40">
    <w:p w:rsidR="00DC6041" w:rsidRPr="008D21DA" w:rsidRDefault="00DC6041" w:rsidP="002C10B4">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El nuevo Código Civil y Comercial de la República Argentina, Ley Nº 26.994, establece en su artículo 2: Interpretación. La ley debe ser interpretada teniendo en cuenta sus palabras, sus finalidades, las leyes análogas, las disposiciones que surgen de los tratados sobre derechos humanos, los principios y valores jurídicos, de modo coherente con todo el ordenamiento. Y el artículo 3: Deber de resolver. El juez debe resolver los asuntos que  sean sometidos a su jurisdicción mediante una decisión razonablemente fundada.</w:t>
      </w:r>
    </w:p>
  </w:footnote>
  <w:footnote w:id="41">
    <w:p w:rsidR="00DC6041" w:rsidRPr="00CE21CB" w:rsidRDefault="00DC6041" w:rsidP="007040DA">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El artículo 38 , I, 3 del Estatuto del Tribunal Internacional permanente de la Haya “… habla de principios de derecho…” (c</w:t>
      </w:r>
      <w:r w:rsidRPr="00A53C17">
        <w:rPr>
          <w:rFonts w:ascii="Times New Roman" w:hAnsi="Times New Roman" w:cs="Times New Roman"/>
          <w:i/>
        </w:rPr>
        <w:t>fr.</w:t>
      </w:r>
      <w:r>
        <w:rPr>
          <w:rFonts w:ascii="Times New Roman" w:hAnsi="Times New Roman" w:cs="Times New Roman"/>
        </w:rPr>
        <w:t xml:space="preserve"> J. Esser: </w:t>
      </w:r>
      <w:r w:rsidRPr="00A53C17">
        <w:rPr>
          <w:rFonts w:ascii="Times New Roman" w:hAnsi="Times New Roman" w:cs="Times New Roman"/>
          <w:i/>
        </w:rPr>
        <w:t>op. cit.</w:t>
      </w:r>
      <w:r>
        <w:rPr>
          <w:rFonts w:ascii="Times New Roman" w:hAnsi="Times New Roman" w:cs="Times New Roman"/>
        </w:rPr>
        <w:t>, pág. 50).</w:t>
      </w:r>
    </w:p>
  </w:footnote>
  <w:footnote w:id="42">
    <w:p w:rsidR="00DC6041" w:rsidRPr="00257D73" w:rsidRDefault="00DC6041" w:rsidP="002C10B4">
      <w:pPr>
        <w:pStyle w:val="Textonotapie"/>
        <w:rPr>
          <w:rFonts w:ascii="Times New Roman" w:hAnsi="Times New Roman" w:cs="Times New Roman"/>
        </w:rPr>
      </w:pPr>
      <w:r w:rsidRPr="00257D73">
        <w:rPr>
          <w:rStyle w:val="Refdenotaalpie"/>
          <w:rFonts w:ascii="Times New Roman" w:hAnsi="Times New Roman" w:cs="Times New Roman"/>
        </w:rPr>
        <w:footnoteRef/>
      </w:r>
      <w:r w:rsidRPr="00257D73">
        <w:rPr>
          <w:rFonts w:ascii="Times New Roman" w:hAnsi="Times New Roman" w:cs="Times New Roman"/>
        </w:rPr>
        <w:t xml:space="preserve">  </w:t>
      </w:r>
      <w:r w:rsidRPr="00A53C17">
        <w:rPr>
          <w:rFonts w:ascii="Times New Roman" w:hAnsi="Times New Roman" w:cs="Times New Roman"/>
          <w:i/>
        </w:rPr>
        <w:t>Cfr.</w:t>
      </w:r>
      <w:r w:rsidRPr="00257D73">
        <w:rPr>
          <w:rFonts w:ascii="Times New Roman" w:hAnsi="Times New Roman" w:cs="Times New Roman"/>
        </w:rPr>
        <w:t xml:space="preserve"> </w:t>
      </w:r>
      <w:r>
        <w:rPr>
          <w:rFonts w:ascii="Times New Roman" w:hAnsi="Times New Roman" w:cs="Times New Roman"/>
        </w:rPr>
        <w:t xml:space="preserve">O. Sarlo </w:t>
      </w:r>
      <w:r>
        <w:rPr>
          <w:rFonts w:ascii="Times New Roman" w:hAnsi="Times New Roman" w:cs="Times New Roman"/>
          <w:i/>
        </w:rPr>
        <w:t>et al.</w:t>
      </w:r>
      <w:r>
        <w:rPr>
          <w:rFonts w:ascii="Times New Roman" w:hAnsi="Times New Roman" w:cs="Times New Roman"/>
        </w:rPr>
        <w:t xml:space="preserve">: </w:t>
      </w:r>
      <w:r w:rsidRPr="00257D73">
        <w:rPr>
          <w:rFonts w:ascii="Times New Roman" w:hAnsi="Times New Roman" w:cs="Times New Roman"/>
        </w:rPr>
        <w:t xml:space="preserve"> “La era de los principios…”, cit.,</w:t>
      </w:r>
      <w:r>
        <w:rPr>
          <w:rFonts w:ascii="Times New Roman" w:hAnsi="Times New Roman" w:cs="Times New Roman"/>
        </w:rPr>
        <w:t xml:space="preserve"> págs. 96-98.</w:t>
      </w:r>
    </w:p>
  </w:footnote>
  <w:footnote w:id="43">
    <w:p w:rsidR="00DC6041" w:rsidRPr="00697E0E" w:rsidRDefault="00DC6041" w:rsidP="002C10B4">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Esa misma locución –principios generales de derecho- es la utilizada por los canonistas, para traducir la expresión </w:t>
      </w:r>
      <w:r>
        <w:rPr>
          <w:rFonts w:ascii="Times New Roman" w:hAnsi="Times New Roman" w:cs="Times New Roman"/>
          <w:i/>
        </w:rPr>
        <w:t>generalibus iuris principii</w:t>
      </w:r>
      <w:r>
        <w:rPr>
          <w:rFonts w:ascii="Times New Roman" w:hAnsi="Times New Roman" w:cs="Times New Roman"/>
        </w:rPr>
        <w:t>, del Canon 19 del Código de Derecho Canónico de 1.983, que reproduce el 20 del C.I.C. de 1.917 (</w:t>
      </w:r>
      <w:r>
        <w:rPr>
          <w:rFonts w:ascii="Times New Roman" w:hAnsi="Times New Roman" w:cs="Times New Roman"/>
          <w:i/>
        </w:rPr>
        <w:t xml:space="preserve">“Si certa de redesit expressum praescriptum legis sive generalis sive particularis, norma sumenda est, nisi agatur de poenis applicandis, a legibus latis in similibus ; a generalibus iuris principiis cum aequitate canonica servatis; a stylo et praxis Curiae Romanae; a communi constantique sententia doctorum” </w:t>
      </w:r>
      <w:r>
        <w:rPr>
          <w:rFonts w:ascii="Times New Roman" w:hAnsi="Times New Roman" w:cs="Times New Roman"/>
        </w:rPr>
        <w:t>(</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M. Cabreros De Anta: “Leyes Eclesiásticas”, en AA. VV.: “Comentarios…”, op. y t. cits., pág. 165; y “Código de Derecho Canónico bilingüe y comentado”, BAC, Madrid, 1.957, pág.  14. </w:t>
      </w:r>
    </w:p>
  </w:footnote>
  <w:footnote w:id="44">
    <w:p w:rsidR="00DC6041" w:rsidRPr="005C1CE5" w:rsidRDefault="00DC6041" w:rsidP="007040DA">
      <w:pPr>
        <w:pStyle w:val="Textonotapie"/>
        <w:jc w:val="both"/>
        <w:rPr>
          <w:rFonts w:ascii="Times New Roman" w:hAnsi="Times New Roman" w:cs="Times New Roman"/>
        </w:rPr>
      </w:pPr>
      <w:r w:rsidRPr="005C1CE5">
        <w:rPr>
          <w:rStyle w:val="Refdenotaalpie"/>
          <w:rFonts w:ascii="Times New Roman" w:hAnsi="Times New Roman" w:cs="Times New Roman"/>
        </w:rPr>
        <w:footnoteRef/>
      </w:r>
      <w:r w:rsidRPr="005C1CE5">
        <w:rPr>
          <w:rFonts w:ascii="Times New Roman" w:hAnsi="Times New Roman" w:cs="Times New Roman"/>
        </w:rPr>
        <w:t xml:space="preserve"> </w:t>
      </w:r>
      <w:r w:rsidRPr="00A53C17">
        <w:rPr>
          <w:rFonts w:ascii="Times New Roman" w:hAnsi="Times New Roman" w:cs="Times New Roman"/>
          <w:i/>
        </w:rPr>
        <w:t>Cfr.</w:t>
      </w:r>
      <w:r w:rsidRPr="005C1CE5">
        <w:rPr>
          <w:rFonts w:ascii="Times New Roman" w:hAnsi="Times New Roman" w:cs="Times New Roman"/>
        </w:rPr>
        <w:t xml:space="preserve"> L</w:t>
      </w:r>
      <w:r>
        <w:rPr>
          <w:rFonts w:ascii="Times New Roman" w:hAnsi="Times New Roman" w:cs="Times New Roman"/>
        </w:rPr>
        <w:t>uis</w:t>
      </w:r>
      <w:r w:rsidRPr="005C1CE5">
        <w:rPr>
          <w:rFonts w:ascii="Times New Roman" w:hAnsi="Times New Roman" w:cs="Times New Roman"/>
        </w:rPr>
        <w:t xml:space="preserve"> Mª. Bandieri: </w:t>
      </w:r>
      <w:r>
        <w:rPr>
          <w:rFonts w:ascii="Times New Roman" w:hAnsi="Times New Roman" w:cs="Times New Roman"/>
        </w:rPr>
        <w:t xml:space="preserve">“El entierro de Montesquieu”, en Forum, Anuario del Centro de Derecho Constitucional, UCA, Bs. Aires, 2.014, págs. 75-101, esp. </w:t>
      </w:r>
      <w:r w:rsidRPr="005C1CE5">
        <w:rPr>
          <w:rFonts w:ascii="Times New Roman" w:hAnsi="Times New Roman" w:cs="Times New Roman"/>
        </w:rPr>
        <w:t xml:space="preserve"> págs. 77-78.</w:t>
      </w:r>
    </w:p>
  </w:footnote>
  <w:footnote w:id="45">
    <w:p w:rsidR="00DC6041" w:rsidRPr="00651551" w:rsidRDefault="00DC6041" w:rsidP="007040DA">
      <w:pPr>
        <w:pStyle w:val="Textonotapie"/>
        <w:jc w:val="both"/>
        <w:rPr>
          <w:rFonts w:ascii="Times New Roman" w:hAnsi="Times New Roman" w:cs="Times New Roman"/>
        </w:rPr>
      </w:pPr>
      <w:r>
        <w:rPr>
          <w:rStyle w:val="Refdenotaalpie"/>
        </w:rPr>
        <w:footnoteRef/>
      </w:r>
      <w:r>
        <w:t xml:space="preserve"> </w:t>
      </w:r>
      <w:r w:rsidRPr="00651551">
        <w:rPr>
          <w:rFonts w:ascii="Times New Roman" w:hAnsi="Times New Roman" w:cs="Times New Roman"/>
        </w:rPr>
        <w:t xml:space="preserve">Neoconstitucionalismo </w:t>
      </w:r>
      <w:r>
        <w:rPr>
          <w:rFonts w:ascii="Times New Roman" w:hAnsi="Times New Roman" w:cs="Times New Roman"/>
        </w:rPr>
        <w:t xml:space="preserve">que </w:t>
      </w:r>
      <w:r w:rsidRPr="00651551">
        <w:rPr>
          <w:rFonts w:ascii="Times New Roman" w:hAnsi="Times New Roman" w:cs="Times New Roman"/>
        </w:rPr>
        <w:t>pretende ser una superación del positivismo jurídico en sentido tendencialmente iusnaturalista</w:t>
      </w:r>
      <w:r>
        <w:rPr>
          <w:rFonts w:ascii="Times New Roman" w:hAnsi="Times New Roman" w:cs="Times New Roman"/>
        </w:rPr>
        <w:t xml:space="preserve"> (c</w:t>
      </w:r>
      <w:r w:rsidRPr="00A53C17">
        <w:rPr>
          <w:rFonts w:ascii="Times New Roman" w:hAnsi="Times New Roman" w:cs="Times New Roman"/>
          <w:i/>
        </w:rPr>
        <w:t>fr.</w:t>
      </w:r>
      <w:r>
        <w:rPr>
          <w:rFonts w:ascii="Times New Roman" w:hAnsi="Times New Roman" w:cs="Times New Roman"/>
        </w:rPr>
        <w:t xml:space="preserve"> Luigi Ferrajoli: Constitucionalismo principialista y constitucionalismo garantista”, trad. de Nicolás Guzmán, DOXA, 34, 2.012, págs. 15-53, esp. pág. 16).</w:t>
      </w:r>
    </w:p>
  </w:footnote>
  <w:footnote w:id="46">
    <w:p w:rsidR="00DC6041" w:rsidRPr="005C1CE5" w:rsidRDefault="00DC6041" w:rsidP="007040DA">
      <w:pPr>
        <w:pStyle w:val="Textonotapie"/>
        <w:jc w:val="both"/>
        <w:rPr>
          <w:rFonts w:ascii="Times New Roman" w:hAnsi="Times New Roman" w:cs="Times New Roman"/>
        </w:rPr>
      </w:pPr>
      <w:r w:rsidRPr="005C1CE5">
        <w:rPr>
          <w:rStyle w:val="Refdenotaalpie"/>
          <w:rFonts w:ascii="Times New Roman" w:hAnsi="Times New Roman" w:cs="Times New Roman"/>
        </w:rPr>
        <w:footnoteRef/>
      </w:r>
      <w:r w:rsidRPr="005C1CE5">
        <w:rPr>
          <w:rFonts w:ascii="Times New Roman" w:hAnsi="Times New Roman" w:cs="Times New Roman"/>
        </w:rPr>
        <w:t xml:space="preserve"> </w:t>
      </w:r>
      <w:r w:rsidRPr="00A53C17">
        <w:rPr>
          <w:rFonts w:ascii="Times New Roman" w:hAnsi="Times New Roman" w:cs="Times New Roman"/>
          <w:i/>
        </w:rPr>
        <w:t>Cfr.</w:t>
      </w:r>
      <w:r w:rsidRPr="005C1CE5">
        <w:rPr>
          <w:rFonts w:ascii="Times New Roman" w:hAnsi="Times New Roman" w:cs="Times New Roman"/>
        </w:rPr>
        <w:t xml:space="preserve"> Susanna Pozzolo: “Un constitucionalismo ambiguo”, trad. de Miguel Carbonell, en AA. VV.: “</w:t>
      </w:r>
      <w:r>
        <w:rPr>
          <w:rFonts w:ascii="Times New Roman" w:hAnsi="Times New Roman" w:cs="Times New Roman"/>
        </w:rPr>
        <w:t>Neoconstitucionalismo(s)” (ed. d</w:t>
      </w:r>
      <w:r w:rsidRPr="005C1CE5">
        <w:rPr>
          <w:rFonts w:ascii="Times New Roman" w:hAnsi="Times New Roman" w:cs="Times New Roman"/>
        </w:rPr>
        <w:t xml:space="preserve">e Miguel Carbonell), Trotta; Madrid, 2.009, págs. 187-210, esp. págs. 187 y 202. </w:t>
      </w:r>
    </w:p>
  </w:footnote>
  <w:footnote w:id="47">
    <w:p w:rsidR="00DC6041" w:rsidRPr="005C1CE5" w:rsidRDefault="00DC6041" w:rsidP="007040DA">
      <w:pPr>
        <w:pStyle w:val="Textonotapie"/>
        <w:jc w:val="both"/>
        <w:rPr>
          <w:rFonts w:ascii="Times New Roman" w:hAnsi="Times New Roman" w:cs="Times New Roman"/>
        </w:rPr>
      </w:pPr>
      <w:r w:rsidRPr="005C1CE5">
        <w:rPr>
          <w:rStyle w:val="Refdenotaalpie"/>
          <w:rFonts w:ascii="Times New Roman" w:hAnsi="Times New Roman" w:cs="Times New Roman"/>
        </w:rPr>
        <w:footnoteRef/>
      </w:r>
      <w:r w:rsidRPr="005C1CE5">
        <w:rPr>
          <w:rFonts w:ascii="Times New Roman" w:hAnsi="Times New Roman" w:cs="Times New Roman"/>
        </w:rPr>
        <w:t xml:space="preserve"> La misma afirmación en punto a la ambigüedad refiere Atienza (</w:t>
      </w:r>
      <w:r>
        <w:rPr>
          <w:rFonts w:ascii="Times New Roman" w:hAnsi="Times New Roman" w:cs="Times New Roman"/>
          <w:i/>
        </w:rPr>
        <w:t>c</w:t>
      </w:r>
      <w:r w:rsidRPr="00A53C17">
        <w:rPr>
          <w:rFonts w:ascii="Times New Roman" w:hAnsi="Times New Roman" w:cs="Times New Roman"/>
          <w:i/>
        </w:rPr>
        <w:t>fr.</w:t>
      </w:r>
      <w:r w:rsidRPr="005C1CE5">
        <w:rPr>
          <w:rFonts w:ascii="Times New Roman" w:hAnsi="Times New Roman" w:cs="Times New Roman"/>
        </w:rPr>
        <w:t xml:space="preserve"> Manuel Atienza: “Filosofía del Derecho Transformación Social”, Trotta, </w:t>
      </w:r>
      <w:r>
        <w:rPr>
          <w:rFonts w:ascii="Times New Roman" w:hAnsi="Times New Roman" w:cs="Times New Roman"/>
        </w:rPr>
        <w:t xml:space="preserve">Madrid, </w:t>
      </w:r>
      <w:r w:rsidRPr="005C1CE5">
        <w:rPr>
          <w:rFonts w:ascii="Times New Roman" w:hAnsi="Times New Roman" w:cs="Times New Roman"/>
        </w:rPr>
        <w:t>2.017, pág. 117</w:t>
      </w:r>
      <w:r>
        <w:rPr>
          <w:rFonts w:ascii="Times New Roman" w:hAnsi="Times New Roman" w:cs="Times New Roman"/>
        </w:rPr>
        <w:t>)</w:t>
      </w:r>
      <w:r w:rsidRPr="005C1CE5">
        <w:rPr>
          <w:rFonts w:ascii="Times New Roman" w:hAnsi="Times New Roman" w:cs="Times New Roman"/>
        </w:rPr>
        <w:t>.</w:t>
      </w:r>
    </w:p>
  </w:footnote>
  <w:footnote w:id="48">
    <w:p w:rsidR="00DC6041" w:rsidRPr="00E735A3" w:rsidRDefault="00DC6041" w:rsidP="007040DA">
      <w:pPr>
        <w:pStyle w:val="Textonotapie"/>
        <w:jc w:val="both"/>
        <w:rPr>
          <w:rFonts w:ascii="Times New Roman" w:hAnsi="Times New Roman" w:cs="Times New Roman"/>
          <w:lang w:val="en-US"/>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Jorge Gamarra: “Neoconstitucionalismo Código y Ley Especial”, FCU, Montevideo, 2.012, págs. </w:t>
      </w:r>
      <w:r w:rsidRPr="00E735A3">
        <w:rPr>
          <w:rFonts w:ascii="Times New Roman" w:hAnsi="Times New Roman" w:cs="Times New Roman"/>
          <w:lang w:val="en-US"/>
        </w:rPr>
        <w:t xml:space="preserve">5-24 </w:t>
      </w:r>
      <w:r w:rsidRPr="00E735A3">
        <w:rPr>
          <w:rFonts w:ascii="Times New Roman" w:hAnsi="Times New Roman" w:cs="Times New Roman"/>
          <w:i/>
          <w:lang w:val="en-US"/>
        </w:rPr>
        <w:t>passim</w:t>
      </w:r>
      <w:r w:rsidRPr="00E735A3">
        <w:rPr>
          <w:rFonts w:ascii="Times New Roman" w:hAnsi="Times New Roman" w:cs="Times New Roman"/>
          <w:lang w:val="en-US"/>
        </w:rPr>
        <w:t>.</w:t>
      </w:r>
    </w:p>
  </w:footnote>
  <w:footnote w:id="49">
    <w:p w:rsidR="00DC6041" w:rsidRPr="00371C2E" w:rsidRDefault="00DC6041" w:rsidP="00F472BC">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J. A. García Amado: “Prólogo”, cit., págs. 9 y 11.</w:t>
      </w:r>
    </w:p>
  </w:footnote>
  <w:footnote w:id="50">
    <w:p w:rsidR="00DC6041" w:rsidRPr="00BC43BE" w:rsidRDefault="00DC6041" w:rsidP="00F472BC">
      <w:pPr>
        <w:pStyle w:val="Textonotapie"/>
        <w:rPr>
          <w:rFonts w:ascii="Times New Roman" w:hAnsi="Times New Roman" w:cs="Times New Roman"/>
          <w:lang w:val="es-MX"/>
        </w:rPr>
      </w:pPr>
      <w:r>
        <w:rPr>
          <w:rStyle w:val="Refdenotaalpie"/>
        </w:rPr>
        <w:footnoteRef/>
      </w:r>
      <w:r w:rsidRPr="004A27C2">
        <w:rPr>
          <w:lang w:val="en-US"/>
        </w:rPr>
        <w:t xml:space="preserve"> </w:t>
      </w:r>
      <w:r w:rsidRPr="004A27C2">
        <w:rPr>
          <w:rFonts w:ascii="Times New Roman" w:hAnsi="Times New Roman" w:cs="Times New Roman"/>
          <w:lang w:val="en-US"/>
        </w:rPr>
        <w:t xml:space="preserve"> </w:t>
      </w:r>
      <w:r w:rsidRPr="004A27C2">
        <w:rPr>
          <w:rFonts w:ascii="Times New Roman" w:hAnsi="Times New Roman" w:cs="Times New Roman"/>
          <w:i/>
          <w:lang w:val="en-US"/>
        </w:rPr>
        <w:t>Cfr.</w:t>
      </w:r>
      <w:r w:rsidRPr="004A27C2">
        <w:rPr>
          <w:rFonts w:ascii="Times New Roman" w:hAnsi="Times New Roman" w:cs="Times New Roman"/>
          <w:lang w:val="en-US"/>
        </w:rPr>
        <w:t xml:space="preserve"> M. Chaumet: </w:t>
      </w:r>
      <w:r w:rsidRPr="004A27C2">
        <w:rPr>
          <w:rFonts w:ascii="Times New Roman" w:hAnsi="Times New Roman" w:cs="Times New Roman"/>
          <w:i/>
          <w:lang w:val="en-US"/>
        </w:rPr>
        <w:t>op. cit.</w:t>
      </w:r>
      <w:r w:rsidRPr="004A27C2">
        <w:rPr>
          <w:rFonts w:ascii="Times New Roman" w:hAnsi="Times New Roman" w:cs="Times New Roman"/>
          <w:lang w:val="en-US"/>
        </w:rPr>
        <w:t xml:space="preserve">, págs. </w:t>
      </w:r>
      <w:r w:rsidRPr="00BC43BE">
        <w:rPr>
          <w:rFonts w:ascii="Times New Roman" w:hAnsi="Times New Roman" w:cs="Times New Roman"/>
          <w:lang w:val="es-MX"/>
        </w:rPr>
        <w:t>252-253.</w:t>
      </w:r>
    </w:p>
  </w:footnote>
  <w:footnote w:id="51">
    <w:p w:rsidR="00DC6041" w:rsidRPr="00AB55C7"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M. Atienza: “Una visión iusfilosófica del derecho”, en AA.VV.: “Filosofía. Una introducción para juristas”, Trotta, Madrid, 2.022, págs. 241-262, esp. pág. 257.</w:t>
      </w:r>
    </w:p>
  </w:footnote>
  <w:footnote w:id="52">
    <w:p w:rsidR="00DC6041" w:rsidRPr="005C1CE5" w:rsidRDefault="00DC6041" w:rsidP="004108DE">
      <w:pPr>
        <w:pStyle w:val="Textonotapie"/>
        <w:rPr>
          <w:rFonts w:ascii="Times New Roman" w:hAnsi="Times New Roman" w:cs="Times New Roman"/>
        </w:rPr>
      </w:pPr>
      <w:r w:rsidRPr="005C1CE5">
        <w:rPr>
          <w:rStyle w:val="Refdenotaalpie"/>
          <w:rFonts w:ascii="Times New Roman" w:hAnsi="Times New Roman" w:cs="Times New Roman"/>
        </w:rPr>
        <w:footnoteRef/>
      </w:r>
      <w:r w:rsidRPr="004A0202">
        <w:rPr>
          <w:rFonts w:ascii="Times New Roman" w:hAnsi="Times New Roman" w:cs="Times New Roman"/>
        </w:rPr>
        <w:t xml:space="preserve"> </w:t>
      </w:r>
      <w:r w:rsidRPr="00A53C17">
        <w:rPr>
          <w:rFonts w:ascii="Times New Roman" w:hAnsi="Times New Roman" w:cs="Times New Roman"/>
          <w:i/>
        </w:rPr>
        <w:t>Cfr.</w:t>
      </w:r>
      <w:r w:rsidRPr="004A0202">
        <w:rPr>
          <w:rFonts w:ascii="Times New Roman" w:hAnsi="Times New Roman" w:cs="Times New Roman"/>
        </w:rPr>
        <w:t xml:space="preserve"> S. Pozzolo: </w:t>
      </w:r>
      <w:r w:rsidRPr="00A53C17">
        <w:rPr>
          <w:rFonts w:ascii="Times New Roman" w:hAnsi="Times New Roman" w:cs="Times New Roman"/>
          <w:i/>
        </w:rPr>
        <w:t>op. cit.</w:t>
      </w:r>
      <w:r w:rsidRPr="005C1CE5">
        <w:rPr>
          <w:rFonts w:ascii="Times New Roman" w:hAnsi="Times New Roman" w:cs="Times New Roman"/>
        </w:rPr>
        <w:t xml:space="preserve"> págs. 187 y 2</w:t>
      </w:r>
      <w:r>
        <w:rPr>
          <w:rFonts w:ascii="Times New Roman" w:hAnsi="Times New Roman" w:cs="Times New Roman"/>
        </w:rPr>
        <w:t>10</w:t>
      </w:r>
      <w:r w:rsidRPr="005C1CE5">
        <w:rPr>
          <w:rFonts w:ascii="Times New Roman" w:hAnsi="Times New Roman" w:cs="Times New Roman"/>
        </w:rPr>
        <w:t xml:space="preserve">. </w:t>
      </w:r>
    </w:p>
  </w:footnote>
  <w:footnote w:id="53">
    <w:p w:rsidR="00DC6041" w:rsidRPr="005C1CE5" w:rsidRDefault="00DC6041" w:rsidP="004108DE">
      <w:pPr>
        <w:pStyle w:val="Textonotapie"/>
        <w:jc w:val="both"/>
        <w:rPr>
          <w:rFonts w:ascii="Times New Roman" w:hAnsi="Times New Roman" w:cs="Times New Roman"/>
        </w:rPr>
      </w:pPr>
      <w:r w:rsidRPr="005C1CE5">
        <w:rPr>
          <w:rStyle w:val="Refdenotaalpie"/>
          <w:rFonts w:ascii="Times New Roman" w:hAnsi="Times New Roman" w:cs="Times New Roman"/>
        </w:rPr>
        <w:footnoteRef/>
      </w:r>
      <w:r w:rsidRPr="005C1CE5">
        <w:rPr>
          <w:rFonts w:ascii="Times New Roman" w:hAnsi="Times New Roman" w:cs="Times New Roman"/>
        </w:rPr>
        <w:t xml:space="preserve"> La misma afirmación en punto a la ambigüedad refiere Atienza (</w:t>
      </w:r>
      <w:r>
        <w:rPr>
          <w:rFonts w:ascii="Times New Roman" w:hAnsi="Times New Roman" w:cs="Times New Roman"/>
          <w:i/>
        </w:rPr>
        <w:t>c</w:t>
      </w:r>
      <w:r w:rsidRPr="00A53C17">
        <w:rPr>
          <w:rFonts w:ascii="Times New Roman" w:hAnsi="Times New Roman" w:cs="Times New Roman"/>
          <w:i/>
        </w:rPr>
        <w:t>fr.</w:t>
      </w:r>
      <w:r w:rsidRPr="005C1CE5">
        <w:rPr>
          <w:rFonts w:ascii="Times New Roman" w:hAnsi="Times New Roman" w:cs="Times New Roman"/>
        </w:rPr>
        <w:t xml:space="preserve"> M</w:t>
      </w:r>
      <w:r>
        <w:rPr>
          <w:rFonts w:ascii="Times New Roman" w:hAnsi="Times New Roman" w:cs="Times New Roman"/>
        </w:rPr>
        <w:t>.</w:t>
      </w:r>
      <w:r w:rsidRPr="005C1CE5">
        <w:rPr>
          <w:rFonts w:ascii="Times New Roman" w:hAnsi="Times New Roman" w:cs="Times New Roman"/>
        </w:rPr>
        <w:t xml:space="preserve"> Atienza: </w:t>
      </w:r>
      <w:r>
        <w:rPr>
          <w:rFonts w:ascii="Times New Roman" w:hAnsi="Times New Roman" w:cs="Times New Roman"/>
          <w:i/>
        </w:rPr>
        <w:t xml:space="preserve">op. cit., </w:t>
      </w:r>
      <w:r>
        <w:rPr>
          <w:rFonts w:ascii="Times New Roman" w:hAnsi="Times New Roman" w:cs="Times New Roman"/>
        </w:rPr>
        <w:t xml:space="preserve"> </w:t>
      </w:r>
      <w:r w:rsidRPr="005C1CE5">
        <w:rPr>
          <w:rFonts w:ascii="Times New Roman" w:hAnsi="Times New Roman" w:cs="Times New Roman"/>
        </w:rPr>
        <w:t xml:space="preserve"> pág. 117</w:t>
      </w:r>
      <w:r>
        <w:rPr>
          <w:rFonts w:ascii="Times New Roman" w:hAnsi="Times New Roman" w:cs="Times New Roman"/>
        </w:rPr>
        <w:t>)</w:t>
      </w:r>
      <w:r w:rsidRPr="005C1CE5">
        <w:rPr>
          <w:rFonts w:ascii="Times New Roman" w:hAnsi="Times New Roman" w:cs="Times New Roman"/>
        </w:rPr>
        <w:t>.</w:t>
      </w:r>
    </w:p>
  </w:footnote>
  <w:footnote w:id="54">
    <w:p w:rsidR="00DC6041" w:rsidRPr="00482410" w:rsidRDefault="00DC6041" w:rsidP="004108DE">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L. Ferrajoli: “Constitucionalismo…”, cit.,.  pág. 32.</w:t>
      </w:r>
    </w:p>
  </w:footnote>
  <w:footnote w:id="55">
    <w:p w:rsidR="00DC6041" w:rsidRPr="0051392F" w:rsidRDefault="00DC6041" w:rsidP="004108DE">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L. Ferrajoli: “El constitucionalismo entre principios y reglas”, trad. de  Perfecto Andrés Ibáñez, Doxa 35 (2.012), págs. 791-817, esp. pág. 795</w:t>
      </w:r>
    </w:p>
  </w:footnote>
  <w:footnote w:id="56">
    <w:p w:rsidR="00DC6041" w:rsidRPr="00CC2D07" w:rsidRDefault="00DC6041" w:rsidP="004108DE">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J. A. García Amado: “Prólogo”, en O. Sarlo </w:t>
      </w:r>
      <w:r>
        <w:rPr>
          <w:rFonts w:ascii="Times New Roman" w:hAnsi="Times New Roman" w:cs="Times New Roman"/>
          <w:i/>
        </w:rPr>
        <w:t>et al.</w:t>
      </w:r>
      <w:r>
        <w:rPr>
          <w:rFonts w:ascii="Times New Roman" w:hAnsi="Times New Roman" w:cs="Times New Roman"/>
        </w:rPr>
        <w:t xml:space="preserve">: </w:t>
      </w:r>
      <w:r w:rsidRPr="00A53C17">
        <w:rPr>
          <w:rFonts w:ascii="Times New Roman" w:hAnsi="Times New Roman" w:cs="Times New Roman"/>
          <w:i/>
        </w:rPr>
        <w:t>op. cit.</w:t>
      </w:r>
      <w:r>
        <w:rPr>
          <w:rFonts w:ascii="Times New Roman" w:hAnsi="Times New Roman" w:cs="Times New Roman"/>
        </w:rPr>
        <w:t>, pág. 11.</w:t>
      </w:r>
    </w:p>
  </w:footnote>
  <w:footnote w:id="57">
    <w:p w:rsidR="00DC6041" w:rsidRPr="00ED50A2" w:rsidRDefault="00DC6041" w:rsidP="00E607D4">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 xml:space="preserve">Omar Benaventos y Mariana Fernández Dellepiane: “El proceso civil adversarial. Una deuda pendiente en Latinoamérica”, Ed. FUNDECIJU, Rosario </w:t>
      </w:r>
      <w:r>
        <w:rPr>
          <w:rFonts w:ascii="Times New Roman" w:hAnsi="Times New Roman" w:cs="Times New Roman"/>
          <w:i/>
        </w:rPr>
        <w:t>s/d</w:t>
      </w:r>
      <w:r>
        <w:rPr>
          <w:rFonts w:ascii="Times New Roman" w:hAnsi="Times New Roman" w:cs="Times New Roman"/>
        </w:rPr>
        <w:t xml:space="preserve">, pág. 637. </w:t>
      </w:r>
    </w:p>
  </w:footnote>
  <w:footnote w:id="58">
    <w:p w:rsidR="00DC6041" w:rsidRPr="00E51732"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Carlos Eduardo Alchourrón y Eugenio Bulygin: “Sistemas normativos”, Astrea, Bs. Aires, 2.021, págs. 208-215.</w:t>
      </w:r>
    </w:p>
  </w:footnote>
  <w:footnote w:id="59">
    <w:p w:rsidR="00DC6041" w:rsidRPr="002B4BDF" w:rsidRDefault="00DC6041" w:rsidP="00E51732">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O. Sarlo </w:t>
      </w:r>
      <w:r>
        <w:rPr>
          <w:rFonts w:ascii="Times New Roman" w:hAnsi="Times New Roman" w:cs="Times New Roman"/>
          <w:i/>
        </w:rPr>
        <w:t>et al.</w:t>
      </w:r>
      <w:r>
        <w:rPr>
          <w:rFonts w:ascii="Times New Roman" w:hAnsi="Times New Roman" w:cs="Times New Roman"/>
        </w:rPr>
        <w:t xml:space="preserve">: </w:t>
      </w:r>
      <w:r w:rsidRPr="00A53C17">
        <w:rPr>
          <w:rFonts w:ascii="Times New Roman" w:hAnsi="Times New Roman" w:cs="Times New Roman"/>
          <w:i/>
        </w:rPr>
        <w:t>op. cit.</w:t>
      </w:r>
      <w:r>
        <w:rPr>
          <w:rFonts w:ascii="Times New Roman" w:hAnsi="Times New Roman" w:cs="Times New Roman"/>
        </w:rPr>
        <w:t>, pág. 22.</w:t>
      </w:r>
    </w:p>
  </w:footnote>
  <w:footnote w:id="60">
    <w:p w:rsidR="00DC6041" w:rsidRPr="00F438DD" w:rsidRDefault="00DC6041" w:rsidP="00E5173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Artículo 4 Código Civil francés: </w:t>
      </w:r>
      <w:r>
        <w:rPr>
          <w:rFonts w:ascii="Times New Roman" w:hAnsi="Times New Roman" w:cs="Times New Roman"/>
          <w:i/>
        </w:rPr>
        <w:t xml:space="preserve">Le juge que refusera de juger, sous prétexte de silence, de l´obscurité ou de l´insuffisence de la loi, pourra être poursuivi comme coupable de déni de justice. </w:t>
      </w:r>
      <w:r>
        <w:rPr>
          <w:rFonts w:ascii="Times New Roman" w:hAnsi="Times New Roman" w:cs="Times New Roman"/>
        </w:rPr>
        <w:t>Trad. libre: El juez que rehusara juzgar, bajo pretexto de silencio, de oscuridad o de insuficiencia de la ley, podrá ser acusado como culpable de denegación de justicia.</w:t>
      </w:r>
    </w:p>
    <w:p w:rsidR="00DC6041" w:rsidRPr="0032070E" w:rsidRDefault="00DC6041" w:rsidP="00E51732">
      <w:pPr>
        <w:pStyle w:val="Textonotapie"/>
        <w:jc w:val="both"/>
        <w:rPr>
          <w:rFonts w:ascii="Times New Roman" w:hAnsi="Times New Roman" w:cs="Times New Roman"/>
        </w:rPr>
      </w:pPr>
      <w:r>
        <w:rPr>
          <w:rFonts w:ascii="Times New Roman" w:hAnsi="Times New Roman" w:cs="Times New Roman"/>
        </w:rPr>
        <w:t>Artículo 15 Código Civil patrio: Los jueces no pueden dejar de fallar en materia civil, a pretexto de silencio, oscuridad o insuficiencia de las leyes.</w:t>
      </w:r>
    </w:p>
  </w:footnote>
  <w:footnote w:id="61">
    <w:p w:rsidR="00DC6041" w:rsidRPr="00A52B4F" w:rsidRDefault="00DC6041" w:rsidP="00E5173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Norberto Bobbio: “El positivismo jurídico”, trad. de Rafael De Asís y Andrea Greppi, Debate, Madrid, 1.998, pág. 89.</w:t>
      </w:r>
    </w:p>
  </w:footnote>
  <w:footnote w:id="62">
    <w:p w:rsidR="00DC6041" w:rsidRPr="00CF7990" w:rsidRDefault="00DC6041" w:rsidP="00E51732">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Es la solución que además consagra el artículo 25 del Código General del Proceso: Deberes del tribunal.- 25.1.- El tribunal no podrá dejar de fallar en caso de oscuridad, insuficiencia o vacío de la ley. En el juzgamiento del litigio deberá aplicar la regla de derecho positivo (artículo 15) y sólo podrá fallar por equidad en los casos previstos por la ley o cuando, tratándose de derechos disponibles, las partes así lo soliciten.</w:t>
      </w:r>
    </w:p>
  </w:footnote>
  <w:footnote w:id="63">
    <w:p w:rsidR="00DC6041" w:rsidRPr="00CF7990" w:rsidRDefault="00DC6041" w:rsidP="00E51732">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O. Sarlo </w:t>
      </w:r>
      <w:r>
        <w:rPr>
          <w:rFonts w:ascii="Times New Roman" w:hAnsi="Times New Roman" w:cs="Times New Roman"/>
          <w:i/>
        </w:rPr>
        <w:t>et al.</w:t>
      </w:r>
      <w:r>
        <w:rPr>
          <w:rFonts w:ascii="Times New Roman" w:hAnsi="Times New Roman" w:cs="Times New Roman"/>
        </w:rPr>
        <w:t xml:space="preserve">: </w:t>
      </w:r>
      <w:r w:rsidRPr="00A53C17">
        <w:rPr>
          <w:rFonts w:ascii="Times New Roman" w:hAnsi="Times New Roman" w:cs="Times New Roman"/>
          <w:i/>
        </w:rPr>
        <w:t>op. cit.</w:t>
      </w:r>
      <w:r>
        <w:rPr>
          <w:rFonts w:ascii="Times New Roman" w:hAnsi="Times New Roman" w:cs="Times New Roman"/>
        </w:rPr>
        <w:t>, pág. 149.</w:t>
      </w:r>
    </w:p>
  </w:footnote>
  <w:footnote w:id="64">
    <w:p w:rsidR="00DC6041" w:rsidRPr="00E27A55"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sidRPr="00E27A55">
        <w:rPr>
          <w:rFonts w:ascii="Times New Roman" w:hAnsi="Times New Roman" w:cs="Times New Roman"/>
        </w:rPr>
        <w:t>C. E. Alchourrón y E. Bulygin</w:t>
      </w:r>
      <w:r>
        <w:rPr>
          <w:rFonts w:ascii="Times New Roman" w:hAnsi="Times New Roman" w:cs="Times New Roman"/>
          <w:i/>
        </w:rPr>
        <w:t xml:space="preserve">: op. cit., </w:t>
      </w:r>
      <w:r>
        <w:rPr>
          <w:rFonts w:ascii="Times New Roman" w:hAnsi="Times New Roman" w:cs="Times New Roman"/>
        </w:rPr>
        <w:t>págs. 238-245.</w:t>
      </w:r>
    </w:p>
  </w:footnote>
  <w:footnote w:id="65">
    <w:p w:rsidR="00DC6041" w:rsidRPr="004A27C2" w:rsidRDefault="00DC6041" w:rsidP="00E51732">
      <w:pPr>
        <w:pStyle w:val="Textonotapie"/>
        <w:rPr>
          <w:rFonts w:ascii="Times New Roman" w:hAnsi="Times New Roman" w:cs="Times New Roman"/>
          <w:lang w:val="es-UY"/>
        </w:rPr>
      </w:pPr>
      <w:r>
        <w:rPr>
          <w:rStyle w:val="Refdenotaalpie"/>
        </w:rPr>
        <w:footnoteRef/>
      </w:r>
      <w:r w:rsidRPr="004A27C2">
        <w:rPr>
          <w:lang w:val="es-UY"/>
        </w:rPr>
        <w:t xml:space="preserve"> </w:t>
      </w:r>
      <w:r w:rsidRPr="004A27C2">
        <w:rPr>
          <w:rFonts w:ascii="Times New Roman" w:hAnsi="Times New Roman" w:cs="Times New Roman"/>
          <w:i/>
          <w:lang w:val="es-UY"/>
        </w:rPr>
        <w:t>Cfr.</w:t>
      </w:r>
      <w:r w:rsidRPr="004A27C2">
        <w:rPr>
          <w:rFonts w:ascii="Times New Roman" w:hAnsi="Times New Roman" w:cs="Times New Roman"/>
          <w:lang w:val="es-UY"/>
        </w:rPr>
        <w:t xml:space="preserve"> Selva A. Klett: “La vigencia de las  nuevas normas y los procesos en trámite”, en “Curso sobre el CGP”  del Instituto Uruguayo de Derecho Procesal, T. I, FCU, Montevideo, 1.989, págs. 21-37, esp. pág., pág. 33.</w:t>
      </w:r>
    </w:p>
  </w:footnote>
  <w:footnote w:id="66">
    <w:p w:rsidR="00DC6041" w:rsidRPr="00694C33" w:rsidRDefault="00DC6041" w:rsidP="00634D40">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 J. Moreso: “A modo de prefacio”, en Juan Pablo Alonso: “Principios jurídicos implícitos”, Marcial Pons, Madrid, 2.018, págs. 17-18. </w:t>
      </w:r>
    </w:p>
  </w:footnote>
  <w:footnote w:id="67">
    <w:p w:rsidR="00DC6041" w:rsidRPr="009C4761" w:rsidRDefault="00DC6041" w:rsidP="00E27A55">
      <w:pPr>
        <w:pStyle w:val="Textonotapie"/>
        <w:rPr>
          <w:rFonts w:ascii="Times New Roman" w:hAnsi="Times New Roman" w:cs="Times New Roman"/>
        </w:rPr>
      </w:pPr>
      <w:r w:rsidRPr="009C4761">
        <w:rPr>
          <w:rStyle w:val="Refdenotaalpie"/>
          <w:rFonts w:ascii="Times New Roman" w:hAnsi="Times New Roman" w:cs="Times New Roman"/>
        </w:rPr>
        <w:footnoteRef/>
      </w:r>
      <w:r w:rsidRPr="009C4761">
        <w:rPr>
          <w:rFonts w:ascii="Times New Roman" w:hAnsi="Times New Roman" w:cs="Times New Roman"/>
        </w:rPr>
        <w:t xml:space="preserve">  </w:t>
      </w:r>
      <w:r w:rsidRPr="00A53C17">
        <w:rPr>
          <w:rFonts w:ascii="Times New Roman" w:hAnsi="Times New Roman" w:cs="Times New Roman"/>
          <w:i/>
        </w:rPr>
        <w:t>Cfr.</w:t>
      </w:r>
      <w:r w:rsidRPr="009C4761">
        <w:rPr>
          <w:rFonts w:ascii="Times New Roman" w:hAnsi="Times New Roman" w:cs="Times New Roman"/>
        </w:rPr>
        <w:t xml:space="preserve"> E. J. Couture: “Estudios…”, </w:t>
      </w:r>
      <w:r w:rsidRPr="00D941F7">
        <w:rPr>
          <w:rFonts w:ascii="Times New Roman" w:hAnsi="Times New Roman" w:cs="Times New Roman"/>
          <w:i/>
        </w:rPr>
        <w:t>op.</w:t>
      </w:r>
      <w:r w:rsidRPr="009C4761">
        <w:rPr>
          <w:rFonts w:ascii="Times New Roman" w:hAnsi="Times New Roman" w:cs="Times New Roman"/>
        </w:rPr>
        <w:t xml:space="preserve"> y t. cits., pág</w:t>
      </w:r>
      <w:r>
        <w:rPr>
          <w:rFonts w:ascii="Times New Roman" w:hAnsi="Times New Roman" w:cs="Times New Roman"/>
        </w:rPr>
        <w:t>s</w:t>
      </w:r>
      <w:r w:rsidRPr="009C4761">
        <w:rPr>
          <w:rFonts w:ascii="Times New Roman" w:hAnsi="Times New Roman" w:cs="Times New Roman"/>
        </w:rPr>
        <w:t>.</w:t>
      </w:r>
      <w:r>
        <w:rPr>
          <w:rFonts w:ascii="Times New Roman" w:hAnsi="Times New Roman" w:cs="Times New Roman"/>
        </w:rPr>
        <w:t xml:space="preserve"> 51-</w:t>
      </w:r>
      <w:r w:rsidRPr="009C4761">
        <w:rPr>
          <w:rFonts w:ascii="Times New Roman" w:hAnsi="Times New Roman" w:cs="Times New Roman"/>
        </w:rPr>
        <w:t>52.</w:t>
      </w:r>
    </w:p>
  </w:footnote>
  <w:footnote w:id="68">
    <w:p w:rsidR="00DC6041" w:rsidRPr="00A35D2A" w:rsidRDefault="00DC6041" w:rsidP="00E27A5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 W. Peyrano: </w:t>
      </w:r>
      <w:r w:rsidRPr="00A53C17">
        <w:rPr>
          <w:rFonts w:ascii="Times New Roman" w:hAnsi="Times New Roman" w:cs="Times New Roman"/>
          <w:i/>
        </w:rPr>
        <w:t>op. cit.</w:t>
      </w:r>
      <w:r>
        <w:rPr>
          <w:rFonts w:ascii="Times New Roman" w:hAnsi="Times New Roman" w:cs="Times New Roman"/>
        </w:rPr>
        <w:t>, pág. 1.</w:t>
      </w:r>
    </w:p>
  </w:footnote>
  <w:footnote w:id="69">
    <w:p w:rsidR="00DC6041" w:rsidRPr="00A35D2A" w:rsidRDefault="00DC6041" w:rsidP="00E27A55">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J. W. Peyrano: </w:t>
      </w:r>
      <w:r w:rsidRPr="00A53C17">
        <w:rPr>
          <w:rFonts w:ascii="Times New Roman" w:hAnsi="Times New Roman" w:cs="Times New Roman"/>
          <w:i/>
        </w:rPr>
        <w:t>op. cit.</w:t>
      </w:r>
      <w:r>
        <w:rPr>
          <w:rFonts w:ascii="Times New Roman" w:hAnsi="Times New Roman" w:cs="Times New Roman"/>
        </w:rPr>
        <w:t>, pág. 26.</w:t>
      </w:r>
    </w:p>
  </w:footnote>
  <w:footnote w:id="70">
    <w:p w:rsidR="00DC6041" w:rsidRPr="00D8696B" w:rsidRDefault="00DC6041" w:rsidP="00E27A5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E. Véscovi </w:t>
      </w:r>
      <w:r>
        <w:rPr>
          <w:rFonts w:ascii="Times New Roman" w:hAnsi="Times New Roman" w:cs="Times New Roman"/>
          <w:i/>
        </w:rPr>
        <w:t>et al.</w:t>
      </w:r>
      <w:r>
        <w:rPr>
          <w:rFonts w:ascii="Times New Roman" w:hAnsi="Times New Roman" w:cs="Times New Roman"/>
        </w:rPr>
        <w:t xml:space="preserve">: </w:t>
      </w:r>
      <w:r w:rsidRPr="00D941F7">
        <w:rPr>
          <w:rFonts w:ascii="Times New Roman" w:hAnsi="Times New Roman" w:cs="Times New Roman"/>
          <w:i/>
        </w:rPr>
        <w:t>op</w:t>
      </w:r>
      <w:r>
        <w:rPr>
          <w:rFonts w:ascii="Times New Roman" w:hAnsi="Times New Roman" w:cs="Times New Roman"/>
        </w:rPr>
        <w:t>. y t. cits., págs. 42-44.</w:t>
      </w:r>
    </w:p>
  </w:footnote>
  <w:footnote w:id="71">
    <w:p w:rsidR="00DC6041" w:rsidRPr="00E01245" w:rsidRDefault="00DC6041" w:rsidP="00E27A5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L. E. Palacio: </w:t>
      </w:r>
      <w:r w:rsidRPr="00D941F7">
        <w:rPr>
          <w:rFonts w:ascii="Times New Roman" w:hAnsi="Times New Roman" w:cs="Times New Roman"/>
          <w:i/>
        </w:rPr>
        <w:t>op.</w:t>
      </w:r>
      <w:r>
        <w:rPr>
          <w:rFonts w:ascii="Times New Roman" w:hAnsi="Times New Roman" w:cs="Times New Roman"/>
        </w:rPr>
        <w:t xml:space="preserve"> y t. cits., págs. 251-253.</w:t>
      </w:r>
    </w:p>
  </w:footnote>
  <w:footnote w:id="72">
    <w:p w:rsidR="00DC6041" w:rsidRPr="005144C2" w:rsidRDefault="00DC6041" w:rsidP="00E27A55">
      <w:pPr>
        <w:pStyle w:val="Textonotapie"/>
        <w:rPr>
          <w:rFonts w:ascii="Times New Roman" w:hAnsi="Times New Roman" w:cs="Times New Roman"/>
          <w:i/>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Humberto Briseño Sierra: “Los «principios» del procedimiento mexicano”, en Rev. Mex. D. Pr., Año 2, Nº 1, págs. 7-42.</w:t>
      </w:r>
    </w:p>
  </w:footnote>
  <w:footnote w:id="73">
    <w:p w:rsidR="00DC6041" w:rsidRPr="00D921AD" w:rsidRDefault="00DC6041" w:rsidP="00E27A5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Chaïm Perelman: Ética e direito·, trad. de María Ermantina De Almeida Prado Galvao, Livraria Martins Fontes Editore, São Paulo, 2.011, pág. 388.</w:t>
      </w:r>
    </w:p>
  </w:footnote>
  <w:footnote w:id="74">
    <w:p w:rsidR="00DC6041" w:rsidRPr="00D921AD" w:rsidRDefault="00DC6041" w:rsidP="00E27A5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N. Bobbio: </w:t>
      </w:r>
      <w:r>
        <w:rPr>
          <w:rFonts w:ascii="Times New Roman" w:hAnsi="Times New Roman" w:cs="Times New Roman"/>
          <w:i/>
        </w:rPr>
        <w:t>op. cit.</w:t>
      </w:r>
      <w:r>
        <w:rPr>
          <w:rFonts w:ascii="Times New Roman" w:hAnsi="Times New Roman" w:cs="Times New Roman"/>
        </w:rPr>
        <w:t>,  págs. 88-92.</w:t>
      </w:r>
    </w:p>
  </w:footnote>
  <w:footnote w:id="75">
    <w:p w:rsidR="00DC6041" w:rsidRPr="00A61517" w:rsidRDefault="00DC6041" w:rsidP="00E27A55">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Jean-Étienne-Marie Portalis: “Discours, rapports et travaux inédits sur le Code Civil”, publiés par le vicomte Frédéric Portalis, Joubert, Paris, 1.844,  págs.7, 8 y 9. Trad. libre: Nos hemos igualmente cuidado de la peligrosa ambición de reglar todo y de prever todo… que es imposible al legislador proveer a todo… Un sinnúmero de cosas están necesariamente libradas al imperio del uso, al debate de los hombres instruidos, al arbitrio de los jueces… Es al magistrado y al jurisconsulto, compenetrados del espíritu general de las leyes a dirigir su aplicación… Pero, a falta de texto preciso sobre cada materia… hay que remontarse a los principios del derecho natural.</w:t>
      </w:r>
    </w:p>
  </w:footnote>
  <w:footnote w:id="76">
    <w:p w:rsidR="00DC6041" w:rsidRPr="00FD7C4A" w:rsidRDefault="00DC6041" w:rsidP="00654D6F">
      <w:pPr>
        <w:pStyle w:val="Textonotapie"/>
        <w:jc w:val="both"/>
        <w:rPr>
          <w:rFonts w:ascii="Times New Roman" w:hAnsi="Times New Roman" w:cs="Times New Roman"/>
        </w:rPr>
      </w:pPr>
      <w:r w:rsidRPr="00257D73">
        <w:rPr>
          <w:rStyle w:val="Refdenotaalpie"/>
          <w:rFonts w:ascii="Times New Roman" w:hAnsi="Times New Roman" w:cs="Times New Roman"/>
        </w:rPr>
        <w:footnoteRef/>
      </w:r>
      <w:r w:rsidRPr="00FD7C4A">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Ariel </w:t>
      </w:r>
      <w:r w:rsidRPr="00FD7C4A">
        <w:rPr>
          <w:rFonts w:ascii="Times New Roman" w:hAnsi="Times New Roman" w:cs="Times New Roman"/>
        </w:rPr>
        <w:t>Álvarez Gardio</w:t>
      </w:r>
      <w:r>
        <w:rPr>
          <w:rFonts w:ascii="Times New Roman" w:hAnsi="Times New Roman" w:cs="Times New Roman"/>
        </w:rPr>
        <w:t>l: “Manual de introducción al derecho” (cursos de doctorado), Ed. Juris, Rosario, 1.995, pág. 231; J. W. Pey</w:t>
      </w:r>
      <w:r w:rsidRPr="00FD7C4A">
        <w:rPr>
          <w:rFonts w:ascii="Times New Roman" w:hAnsi="Times New Roman" w:cs="Times New Roman"/>
        </w:rPr>
        <w:t xml:space="preserve">rano: </w:t>
      </w:r>
      <w:r w:rsidRPr="00A53C17">
        <w:rPr>
          <w:rFonts w:ascii="Times New Roman" w:hAnsi="Times New Roman" w:cs="Times New Roman"/>
          <w:i/>
        </w:rPr>
        <w:t>op. cit.</w:t>
      </w:r>
      <w:r w:rsidRPr="00FD7C4A">
        <w:rPr>
          <w:rFonts w:ascii="Times New Roman" w:hAnsi="Times New Roman" w:cs="Times New Roman"/>
        </w:rPr>
        <w:t>, págs. 44-46.</w:t>
      </w:r>
    </w:p>
  </w:footnote>
  <w:footnote w:id="77">
    <w:p w:rsidR="00DC6041" w:rsidRPr="00644408" w:rsidRDefault="00DC6041" w:rsidP="00654D6F">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Juan Ruiz Manero: “Principios jurídicos”, en AA. VV.: “El Derecho y la Justicia”, Trotta, Madrid, 2.000, págs. 149-159, esp.  pág. 152.</w:t>
      </w:r>
    </w:p>
  </w:footnote>
  <w:footnote w:id="78">
    <w:p w:rsidR="00DC6041" w:rsidRPr="001D714A" w:rsidRDefault="00DC6041" w:rsidP="00654D6F">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Larenz refiere a “principios abiertos” y “principios en forma de norma jurídica”. Éstos son los “… condensados en una regla inmediatamente aplicable, no son sólo </w:t>
      </w:r>
      <w:r>
        <w:rPr>
          <w:rFonts w:ascii="Times New Roman" w:hAnsi="Times New Roman" w:cs="Times New Roman"/>
          <w:i/>
        </w:rPr>
        <w:t>ratio legis</w:t>
      </w:r>
      <w:r>
        <w:rPr>
          <w:rFonts w:ascii="Times New Roman" w:hAnsi="Times New Roman" w:cs="Times New Roman"/>
        </w:rPr>
        <w:t xml:space="preserve">, sino que ellos mismos son </w:t>
      </w:r>
      <w:r>
        <w:rPr>
          <w:rFonts w:ascii="Times New Roman" w:hAnsi="Times New Roman" w:cs="Times New Roman"/>
          <w:i/>
        </w:rPr>
        <w:t>lex</w:t>
      </w:r>
      <w:r>
        <w:rPr>
          <w:rFonts w:ascii="Times New Roman" w:hAnsi="Times New Roman" w:cs="Times New Roman"/>
        </w:rPr>
        <w:t>”. Aquéllos no tienen carácter de norma, sino el de “… ideas jurídicas directivas, de las que no pueden obtenerse inmediatamente resoluciones para un caso particular, sino sólo en virtud de su concretización en la ley o por la jurisprudencia de los tribunales”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Karl Larenz: “Metodologia de la ciencia del Derecho”, trad. de Marcelino Rodríguez Molinero, Ariel Derecho, Barcelona, 1.994, pág. 471).</w:t>
      </w:r>
    </w:p>
  </w:footnote>
  <w:footnote w:id="79">
    <w:p w:rsidR="00DC6041" w:rsidRPr="00AB5DCA" w:rsidRDefault="00DC6041" w:rsidP="00AB5DCA">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M. Atienza y J. Ruiz Manero: “Sobre principios y reglas”, Doxa 10 (1.991), págs. 101-120, esp. págs. 105, 106 y 119.</w:t>
      </w:r>
    </w:p>
  </w:footnote>
  <w:footnote w:id="80">
    <w:p w:rsidR="00DC6041" w:rsidRPr="00AF226A" w:rsidRDefault="00DC6041" w:rsidP="00AB5DCA">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Horacio-José Alonso Vidal: “Los principios implícitos. Su relevancia en la aplicación del Derecho”, en DOXA 35 (2.012), págs. 157-172, esp. pág. 159. </w:t>
      </w:r>
    </w:p>
  </w:footnote>
  <w:footnote w:id="81">
    <w:p w:rsidR="00DC6041" w:rsidRPr="002C1A10" w:rsidRDefault="00DC6041" w:rsidP="00654D6F">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H-J. Alonso Vidal: </w:t>
      </w:r>
      <w:r w:rsidRPr="00A53C17">
        <w:rPr>
          <w:rFonts w:ascii="Times New Roman" w:hAnsi="Times New Roman" w:cs="Times New Roman"/>
          <w:i/>
        </w:rPr>
        <w:t>op. cit.</w:t>
      </w:r>
      <w:r>
        <w:rPr>
          <w:rFonts w:ascii="Times New Roman" w:hAnsi="Times New Roman" w:cs="Times New Roman"/>
        </w:rPr>
        <w:t>, págs. 162-163.</w:t>
      </w:r>
    </w:p>
  </w:footnote>
  <w:footnote w:id="82">
    <w:p w:rsidR="00DC6041" w:rsidRPr="00CC5D87" w:rsidRDefault="00DC6041" w:rsidP="00654D6F">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Todo según H-J. Alonso Vidal: </w:t>
      </w:r>
      <w:r w:rsidRPr="00A53C17">
        <w:rPr>
          <w:rFonts w:ascii="Times New Roman" w:hAnsi="Times New Roman" w:cs="Times New Roman"/>
          <w:i/>
        </w:rPr>
        <w:t>op. cit.</w:t>
      </w:r>
      <w:r>
        <w:rPr>
          <w:rFonts w:ascii="Times New Roman" w:hAnsi="Times New Roman" w:cs="Times New Roman"/>
        </w:rPr>
        <w:t>, págs. 163-164.</w:t>
      </w:r>
    </w:p>
  </w:footnote>
  <w:footnote w:id="83">
    <w:p w:rsidR="00DC6041" w:rsidRPr="00CC5D87" w:rsidRDefault="00DC6041" w:rsidP="00654D6F">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Código General del Proceso, artículos  1 a 11, Código del Proceso Penal, artículos  1 a  11. </w:t>
      </w:r>
    </w:p>
  </w:footnote>
  <w:footnote w:id="84">
    <w:p w:rsidR="00DC6041" w:rsidRPr="00CC5D87" w:rsidRDefault="00DC6041" w:rsidP="00654D6F">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Código del Proceso Penal, artículo 12. Proceso laboral, Ley Nº 18.572, artículo 1.</w:t>
      </w:r>
    </w:p>
  </w:footnote>
  <w:footnote w:id="85">
    <w:p w:rsidR="00DC6041" w:rsidRPr="00BE5DC6" w:rsidRDefault="00DC6041" w:rsidP="00654D6F">
      <w:pPr>
        <w:pStyle w:val="Textonotapie"/>
        <w:rPr>
          <w:rFonts w:ascii="Times New Roman" w:hAnsi="Times New Roman" w:cs="Times New Roman"/>
        </w:rPr>
      </w:pPr>
      <w:r>
        <w:rPr>
          <w:rStyle w:val="Refdenotaalpie"/>
        </w:rPr>
        <w:footnoteRef/>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H-J. Alonso Vidal: </w:t>
      </w:r>
      <w:r w:rsidRPr="00A53C17">
        <w:rPr>
          <w:rFonts w:ascii="Times New Roman" w:hAnsi="Times New Roman" w:cs="Times New Roman"/>
          <w:i/>
        </w:rPr>
        <w:t>op. cit.</w:t>
      </w:r>
      <w:r>
        <w:rPr>
          <w:rFonts w:ascii="Times New Roman" w:hAnsi="Times New Roman" w:cs="Times New Roman"/>
        </w:rPr>
        <w:t>, pág. 171.</w:t>
      </w:r>
    </w:p>
  </w:footnote>
  <w:footnote w:id="86">
    <w:p w:rsidR="00DC6041" w:rsidRDefault="00DC6041" w:rsidP="00654D6F">
      <w:pPr>
        <w:pStyle w:val="Textonotapie"/>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Ángeles Ródenas: “¿Qué queda del positivismo jurídico?”, en Doxa 26 (2.003), págs. 417-448, esp.  433.  </w:t>
      </w:r>
    </w:p>
  </w:footnote>
  <w:footnote w:id="87">
    <w:p w:rsidR="00DC6041" w:rsidRPr="00541CB4" w:rsidRDefault="00DC6041" w:rsidP="00654D6F">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Á. Ródenas: </w:t>
      </w:r>
      <w:r w:rsidRPr="00A53C17">
        <w:rPr>
          <w:rFonts w:ascii="Times New Roman" w:hAnsi="Times New Roman" w:cs="Times New Roman"/>
          <w:i/>
        </w:rPr>
        <w:t>op. cit.</w:t>
      </w:r>
      <w:r>
        <w:rPr>
          <w:rFonts w:ascii="Times New Roman" w:hAnsi="Times New Roman" w:cs="Times New Roman"/>
        </w:rPr>
        <w:t>, pág. 448.</w:t>
      </w:r>
    </w:p>
  </w:footnote>
  <w:footnote w:id="88">
    <w:p w:rsidR="00DC6041" w:rsidRPr="00576A73" w:rsidRDefault="00DC6041" w:rsidP="007D66B3">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Cit. por K. Larenz: “Metodología…”, cit.,  págs. 26 y 65.</w:t>
      </w:r>
    </w:p>
  </w:footnote>
  <w:footnote w:id="89">
    <w:p w:rsidR="00DC6041" w:rsidRPr="0012560F" w:rsidRDefault="00DC6041" w:rsidP="007D66B3">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 W. Peyrano: </w:t>
      </w:r>
      <w:r w:rsidRPr="00A53C17">
        <w:rPr>
          <w:rFonts w:ascii="Times New Roman" w:hAnsi="Times New Roman" w:cs="Times New Roman"/>
          <w:i/>
        </w:rPr>
        <w:t>op. cit.</w:t>
      </w:r>
      <w:r>
        <w:rPr>
          <w:rFonts w:ascii="Times New Roman" w:hAnsi="Times New Roman" w:cs="Times New Roman"/>
        </w:rPr>
        <w:t>, pág. 32.</w:t>
      </w:r>
    </w:p>
  </w:footnote>
  <w:footnote w:id="90">
    <w:p w:rsidR="00DC6041" w:rsidRPr="0012560F" w:rsidRDefault="00DC6041" w:rsidP="007D66B3">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J. W. Peyrano: </w:t>
      </w:r>
      <w:r w:rsidRPr="00A53C17">
        <w:rPr>
          <w:rFonts w:ascii="Times New Roman" w:hAnsi="Times New Roman" w:cs="Times New Roman"/>
          <w:i/>
        </w:rPr>
        <w:t>op. cit.</w:t>
      </w:r>
      <w:r>
        <w:rPr>
          <w:rFonts w:ascii="Times New Roman" w:hAnsi="Times New Roman" w:cs="Times New Roman"/>
        </w:rPr>
        <w:t>, pág. 34.</w:t>
      </w:r>
    </w:p>
  </w:footnote>
  <w:footnote w:id="91">
    <w:p w:rsidR="00DC6041" w:rsidRPr="00A056FD" w:rsidRDefault="00DC6041" w:rsidP="007D66B3">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 Gamarra: </w:t>
      </w:r>
      <w:r w:rsidRPr="00A53C17">
        <w:rPr>
          <w:rFonts w:ascii="Times New Roman" w:hAnsi="Times New Roman" w:cs="Times New Roman"/>
          <w:i/>
        </w:rPr>
        <w:t>op. cit.</w:t>
      </w:r>
      <w:r>
        <w:rPr>
          <w:rFonts w:ascii="Times New Roman" w:hAnsi="Times New Roman" w:cs="Times New Roman"/>
        </w:rPr>
        <w:t>,   pág.  16.</w:t>
      </w:r>
    </w:p>
  </w:footnote>
  <w:footnote w:id="92">
    <w:p w:rsidR="00DC6041" w:rsidRPr="00C964F9" w:rsidRDefault="00DC6041" w:rsidP="00C918A7">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J. W. Peyrano: </w:t>
      </w:r>
      <w:r w:rsidRPr="00A53C17">
        <w:rPr>
          <w:rFonts w:ascii="Times New Roman" w:hAnsi="Times New Roman" w:cs="Times New Roman"/>
          <w:i/>
        </w:rPr>
        <w:t>op. cit.</w:t>
      </w:r>
      <w:r>
        <w:rPr>
          <w:rFonts w:ascii="Times New Roman" w:hAnsi="Times New Roman" w:cs="Times New Roman"/>
        </w:rPr>
        <w:t>, págs. 41-44.</w:t>
      </w:r>
    </w:p>
  </w:footnote>
  <w:footnote w:id="93">
    <w:p w:rsidR="00DC6041" w:rsidRPr="00197DF4" w:rsidRDefault="00DC6041" w:rsidP="00C918A7">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No obstante Couture, aun cuando no emite opinión, relaciona un supuesto en que doctrina y jurisprudencia han priorizado el principio de preclusión al de igualdad de las partes. Promovido –régimen del Código de Procedimiento Civil- un incidente de tacha de testigos. La Ley procesal establecía que vencido el incidente de prueba en el incidente de tachas, cada parte presentaría su escrito de alegaciones de bien probado y quedaría la causa conclusa para sentencia. Planteada la posibilidad de promover un nuevo incidente de tachas para impugnar los testigos del incidente de tachas,  la igualdad de las partes impondría su aceptación. Lo propio si ocurrimos al criterio que postula que donde existe la misma razón debe existir la misma disposición. Pero ello, en el supuesto, conspira contra la preclusión en el proceso. Aun  cuando Couture precisa que no corresponde en el estudio que realiza, examinar el tema, señala no obstante que las máximas </w:t>
      </w:r>
      <w:r>
        <w:rPr>
          <w:rFonts w:ascii="Times New Roman" w:hAnsi="Times New Roman" w:cs="Times New Roman"/>
          <w:i/>
        </w:rPr>
        <w:t>ubi eadem ratio, idem ius</w:t>
      </w:r>
      <w:r>
        <w:rPr>
          <w:rFonts w:ascii="Times New Roman" w:hAnsi="Times New Roman" w:cs="Times New Roman"/>
        </w:rPr>
        <w:t xml:space="preserve"> o la de que </w:t>
      </w:r>
      <w:r>
        <w:rPr>
          <w:rFonts w:ascii="Times New Roman" w:hAnsi="Times New Roman" w:cs="Times New Roman"/>
          <w:i/>
        </w:rPr>
        <w:t>ubi lex non distinguit nec nos distinguere debemus</w:t>
      </w:r>
      <w:r>
        <w:rPr>
          <w:rFonts w:ascii="Times New Roman" w:hAnsi="Times New Roman" w:cs="Times New Roman"/>
        </w:rPr>
        <w:t>,  no son soluciones interpretativas sino simples fórmulas tradicionales, cuya crisis es notoria. Y apunta a sustituir esas viejas recetas por principios de integración sistemática del derecho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E. J. Couture: “Estudios…”, op. y t. cits., págs. 57-59). Y en otro estudio parece inclinarse, además de las últimas razones expuestas, por seguir el que indica priorizado por la jurisprudencia y la doctrina: “El proceso no se desenvuelve libremente por la vida, porque la ley contiene una descripción y una especie de itinerario que es necesario respetar. No hay más proceso que el proceso regulado por la ley procesal” (c</w:t>
      </w:r>
      <w:r w:rsidRPr="00A53C17">
        <w:rPr>
          <w:rFonts w:ascii="Times New Roman" w:hAnsi="Times New Roman" w:cs="Times New Roman"/>
          <w:i/>
        </w:rPr>
        <w:t>fr.</w:t>
      </w:r>
      <w:r>
        <w:rPr>
          <w:rFonts w:ascii="Times New Roman" w:hAnsi="Times New Roman" w:cs="Times New Roman"/>
        </w:rPr>
        <w:t xml:space="preserve"> E. J. Couture: “La enseñanza de Chiovenda…”, cit., pág. 519).</w:t>
      </w:r>
    </w:p>
  </w:footnote>
  <w:footnote w:id="94">
    <w:p w:rsidR="00DC6041" w:rsidRPr="00C918A7"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 xml:space="preserve"> E. J. Varela-Méndez: </w:t>
      </w:r>
      <w:r>
        <w:rPr>
          <w:rFonts w:ascii="Times New Roman" w:hAnsi="Times New Roman" w:cs="Times New Roman"/>
          <w:i/>
        </w:rPr>
        <w:t xml:space="preserve">op. cit., </w:t>
      </w:r>
      <w:r>
        <w:rPr>
          <w:rFonts w:ascii="Times New Roman" w:hAnsi="Times New Roman" w:cs="Times New Roman"/>
        </w:rPr>
        <w:t>págs.141-144, 212-227.</w:t>
      </w:r>
    </w:p>
  </w:footnote>
  <w:footnote w:id="95">
    <w:p w:rsidR="00DC6041" w:rsidRPr="00946AE2" w:rsidRDefault="00DC6041" w:rsidP="00C918A7">
      <w:pPr>
        <w:pStyle w:val="Textonotapie"/>
        <w:rPr>
          <w:rFonts w:ascii="Times New Roman" w:hAnsi="Times New Roman" w:cs="Times New Roman"/>
        </w:rPr>
      </w:pPr>
      <w:r>
        <w:rPr>
          <w:rStyle w:val="Refdenotaalpie"/>
        </w:rPr>
        <w:footnoteRef/>
      </w:r>
      <w:r>
        <w:t xml:space="preserve"> </w:t>
      </w:r>
      <w:r w:rsidRPr="00A53C17">
        <w:rPr>
          <w:rFonts w:ascii="Times New Roman" w:hAnsi="Times New Roman" w:cs="Times New Roman"/>
          <w:i/>
        </w:rPr>
        <w:t>Cfr.</w:t>
      </w:r>
      <w:r>
        <w:rPr>
          <w:rFonts w:ascii="Times New Roman" w:hAnsi="Times New Roman" w:cs="Times New Roman"/>
        </w:rPr>
        <w:t xml:space="preserve"> L. Ferrajoli: “Constitucionalismo principialista…”, cit., pág. 44.</w:t>
      </w:r>
    </w:p>
  </w:footnote>
  <w:footnote w:id="96">
    <w:p w:rsidR="00DC6041" w:rsidRPr="0000076B" w:rsidRDefault="00DC6041" w:rsidP="00C918A7">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L. Ferrajoli: “El constitucionalismo…”, cit.,  pág. 813.</w:t>
      </w:r>
    </w:p>
  </w:footnote>
  <w:footnote w:id="97">
    <w:p w:rsidR="00DC6041" w:rsidRPr="001D449B" w:rsidRDefault="00DC6041" w:rsidP="00C918A7">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 </w:t>
      </w:r>
      <w:r w:rsidRPr="00A53C17">
        <w:rPr>
          <w:rFonts w:ascii="Times New Roman" w:hAnsi="Times New Roman" w:cs="Times New Roman"/>
          <w:i/>
        </w:rPr>
        <w:t>Cfr.</w:t>
      </w:r>
      <w:r>
        <w:rPr>
          <w:rFonts w:ascii="Times New Roman" w:hAnsi="Times New Roman" w:cs="Times New Roman"/>
        </w:rPr>
        <w:t xml:space="preserve"> L. Ferrajoli: “El constitucionalismo…”, cit., págs. 815-816.,</w:t>
      </w:r>
    </w:p>
  </w:footnote>
  <w:footnote w:id="98">
    <w:p w:rsidR="00DC6041" w:rsidRPr="000C383D" w:rsidRDefault="00DC6041" w:rsidP="00C918A7">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 Iturralde Sesma, en este sentido, señala que hay dos elementos estrechamente relacionados: a) la primacía del Poder Legislativo (los órganos que tienen el poder de emanar  leyes tienen primacía funcional sobre los que desarrollan la función de regular los casos concretos emanando normas individuales –actos administrativos, sentencias-); b) el principio de legalidad, a cuyo tenor: “…  toda  la estructura normativa e institucional del Estado de derecho está regida por el principio de legalidad, según el cual todo acto administrativo o decisión judicial </w:t>
      </w:r>
      <w:r>
        <w:rPr>
          <w:rFonts w:ascii="Times New Roman" w:hAnsi="Times New Roman" w:cs="Times New Roman"/>
          <w:i/>
        </w:rPr>
        <w:t>debe ser conforme</w:t>
      </w:r>
      <w:r>
        <w:rPr>
          <w:rFonts w:ascii="Times New Roman" w:hAnsi="Times New Roman" w:cs="Times New Roman"/>
        </w:rPr>
        <w:t xml:space="preserve"> a una norma general precedente. En otras palabras, los órganos de aplicación deben decidir los casos litigiosos </w:t>
      </w:r>
      <w:r>
        <w:rPr>
          <w:rFonts w:ascii="Times New Roman" w:hAnsi="Times New Roman" w:cs="Times New Roman"/>
          <w:i/>
        </w:rPr>
        <w:t>conforme al derecho</w:t>
      </w:r>
      <w:r>
        <w:rPr>
          <w:rFonts w:ascii="Times New Roman" w:hAnsi="Times New Roman" w:cs="Times New Roman"/>
        </w:rPr>
        <w:t>”. Y, entre los elementos que apuntan negativamente sobre  el principio de legalidad ubica al activismo judicial (</w:t>
      </w:r>
      <w:r>
        <w:rPr>
          <w:rFonts w:ascii="Times New Roman" w:hAnsi="Times New Roman" w:cs="Times New Roman"/>
          <w:i/>
        </w:rPr>
        <w:t>c</w:t>
      </w:r>
      <w:r w:rsidRPr="00A53C17">
        <w:rPr>
          <w:rFonts w:ascii="Times New Roman" w:hAnsi="Times New Roman" w:cs="Times New Roman"/>
          <w:i/>
        </w:rPr>
        <w:t>fr.</w:t>
      </w:r>
      <w:r>
        <w:rPr>
          <w:rFonts w:ascii="Times New Roman" w:hAnsi="Times New Roman" w:cs="Times New Roman"/>
        </w:rPr>
        <w:t xml:space="preserve"> Victoria Iturralde Sesma: “Interpretación literal y significado convencional. Una reflexión sobre los límites de la interpretación jurídica”, Marcial Pons, Madrid, 2.014,  págs. 13-15). </w:t>
      </w:r>
    </w:p>
  </w:footnote>
  <w:footnote w:id="99">
    <w:p w:rsidR="00DC6041" w:rsidRPr="00E2338E"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Hugo R. Zuleta: “Comentario al artículo «Rule of  law y ponderación», de Juan Ruiz Manero”, en AA. VV.: “Imperio de la ley….”, cit., págs. 79-88,esp. págs. 82 y 88.</w:t>
      </w:r>
    </w:p>
  </w:footnote>
  <w:footnote w:id="100">
    <w:p w:rsidR="00DC6041" w:rsidRPr="00C301F6" w:rsidRDefault="00DC6041" w:rsidP="00456745">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Juan Ruiz Manero: “«</w:t>
      </w:r>
      <w:r>
        <w:rPr>
          <w:rFonts w:ascii="Times New Roman" w:hAnsi="Times New Roman" w:cs="Times New Roman"/>
          <w:i/>
        </w:rPr>
        <w:t>Rule of law</w:t>
      </w:r>
      <w:r>
        <w:rPr>
          <w:rFonts w:ascii="Times New Roman" w:hAnsi="Times New Roman" w:cs="Times New Roman"/>
        </w:rPr>
        <w:t xml:space="preserve">» y ponderación. Un límite de la ponderación y una insuficiencia de una teoría stándard”, en AA. VV.: “Imperio de la ley y ponderación  de principios”, Astrea, Bs. Aires, 2.018, págs.. 21-46, </w:t>
      </w:r>
      <w:r>
        <w:rPr>
          <w:rFonts w:ascii="Times New Roman" w:hAnsi="Times New Roman" w:cs="Times New Roman"/>
          <w:i/>
        </w:rPr>
        <w:t>passim.</w:t>
      </w:r>
      <w:r>
        <w:rPr>
          <w:rFonts w:ascii="Times New Roman" w:hAnsi="Times New Roman" w:cs="Times New Roman"/>
        </w:rPr>
        <w:t xml:space="preserve"> </w:t>
      </w:r>
    </w:p>
  </w:footnote>
  <w:footnote w:id="101">
    <w:p w:rsidR="00DC6041" w:rsidRPr="00A0383C"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Paula Gaido: “Los desafíos de la ponderación a la luz del ideal del «</w:t>
      </w:r>
      <w:r>
        <w:rPr>
          <w:rFonts w:ascii="Times New Roman" w:hAnsi="Times New Roman" w:cs="Times New Roman"/>
          <w:i/>
        </w:rPr>
        <w:t>rule of law»</w:t>
      </w:r>
      <w:r>
        <w:rPr>
          <w:rFonts w:ascii="Times New Roman" w:hAnsi="Times New Roman" w:cs="Times New Roman"/>
        </w:rPr>
        <w:t xml:space="preserve">: algunas preguntas a Ruiz Manero”. En AA. VV.: “Imperio….”, cit., págs. 47-55, esp. págs. 50-55, y Juan Pablo Alonso: </w:t>
      </w:r>
      <w:r>
        <w:rPr>
          <w:rFonts w:ascii="Times New Roman" w:hAnsi="Times New Roman" w:cs="Times New Roman"/>
          <w:i/>
        </w:rPr>
        <w:t>ibid.</w:t>
      </w:r>
      <w:r>
        <w:rPr>
          <w:rFonts w:ascii="Times New Roman" w:hAnsi="Times New Roman" w:cs="Times New Roman"/>
        </w:rPr>
        <w:t>, págs. 8-10.</w:t>
      </w:r>
    </w:p>
  </w:footnote>
  <w:footnote w:id="102">
    <w:p w:rsidR="00DC6041" w:rsidRPr="0024799F" w:rsidRDefault="00DC6041" w:rsidP="0045674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H. R. Zuleta:</w:t>
      </w:r>
      <w:r>
        <w:rPr>
          <w:rFonts w:ascii="Times New Roman" w:hAnsi="Times New Roman" w:cs="Times New Roman"/>
          <w:i/>
        </w:rPr>
        <w:t>loc. cit.</w:t>
      </w:r>
    </w:p>
  </w:footnote>
  <w:footnote w:id="103">
    <w:p w:rsidR="00DC6041" w:rsidRPr="000378F1" w:rsidRDefault="00DC6041" w:rsidP="00456745">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Cfr.</w:t>
      </w:r>
      <w:r>
        <w:rPr>
          <w:rFonts w:ascii="Times New Roman" w:hAnsi="Times New Roman" w:cs="Times New Roman"/>
        </w:rPr>
        <w:t xml:space="preserve"> Marina Velasco: “Comentario al texto «rule of law y ponderación», de Juan Ruiz Manero”, en AA. VV.: “Imperio de la ley…”, cit., págs. 69-77, esp. págs. 75-77.</w:t>
      </w:r>
    </w:p>
  </w:footnote>
  <w:footnote w:id="104">
    <w:p w:rsidR="00DC6041" w:rsidRPr="00867C60" w:rsidRDefault="00DC6041">
      <w:pPr>
        <w:pStyle w:val="Textonotapie"/>
        <w:rPr>
          <w:rFonts w:ascii="Times New Roman" w:hAnsi="Times New Roman" w:cs="Times New Roman"/>
          <w:i/>
        </w:rPr>
      </w:pPr>
      <w:r w:rsidRPr="00867C60">
        <w:rPr>
          <w:rStyle w:val="Refdenotaalpie"/>
          <w:rFonts w:ascii="Times New Roman" w:hAnsi="Times New Roman" w:cs="Times New Roman"/>
        </w:rPr>
        <w:footnoteRef/>
      </w:r>
      <w:r w:rsidRPr="00867C60">
        <w:rPr>
          <w:rFonts w:ascii="Times New Roman" w:hAnsi="Times New Roman" w:cs="Times New Roman"/>
        </w:rPr>
        <w:t xml:space="preserve"> </w:t>
      </w:r>
      <w:r w:rsidRPr="00867C60">
        <w:rPr>
          <w:rFonts w:ascii="Times New Roman" w:hAnsi="Times New Roman" w:cs="Times New Roman"/>
          <w:i/>
        </w:rPr>
        <w:t xml:space="preserve">Cfr. </w:t>
      </w:r>
      <w:r w:rsidRPr="00867C60">
        <w:rPr>
          <w:rFonts w:ascii="Times New Roman" w:hAnsi="Times New Roman" w:cs="Times New Roman"/>
        </w:rPr>
        <w:t>P.Gaido</w:t>
      </w:r>
      <w:r w:rsidRPr="00867C60">
        <w:rPr>
          <w:rFonts w:ascii="Times New Roman" w:hAnsi="Times New Roman" w:cs="Times New Roman"/>
          <w:i/>
        </w:rPr>
        <w:t>: loc. cit.</w:t>
      </w:r>
    </w:p>
  </w:footnote>
  <w:footnote w:id="105">
    <w:p w:rsidR="00DC6041" w:rsidRPr="00C36CD9" w:rsidRDefault="00DC6041">
      <w:pPr>
        <w:pStyle w:val="Textonotapie"/>
        <w:rPr>
          <w:rFonts w:ascii="Times New Roman" w:hAnsi="Times New Roman" w:cs="Times New Roman"/>
          <w:i/>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 xml:space="preserve">O. Benaventos y M. Fernández Dellepiane: </w:t>
      </w:r>
      <w:r>
        <w:rPr>
          <w:rFonts w:ascii="Times New Roman" w:hAnsi="Times New Roman" w:cs="Times New Roman"/>
          <w:i/>
        </w:rPr>
        <w:t xml:space="preserve">op. cit., </w:t>
      </w:r>
      <w:r w:rsidRPr="00ED50A2">
        <w:rPr>
          <w:rFonts w:ascii="Times New Roman" w:hAnsi="Times New Roman" w:cs="Times New Roman"/>
        </w:rPr>
        <w:t>pág. 336</w:t>
      </w:r>
      <w:r>
        <w:rPr>
          <w:rFonts w:ascii="Times New Roman" w:hAnsi="Times New Roman" w:cs="Times New Roman"/>
          <w:i/>
        </w:rPr>
        <w:t>.</w:t>
      </w:r>
    </w:p>
  </w:footnote>
  <w:footnote w:id="106">
    <w:p w:rsidR="00DC6041" w:rsidRPr="00A2189E"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 xml:space="preserve">Cfr. </w:t>
      </w:r>
      <w:r>
        <w:rPr>
          <w:rFonts w:ascii="Times New Roman" w:hAnsi="Times New Roman" w:cs="Times New Roman"/>
        </w:rPr>
        <w:t xml:space="preserve"> O. Sarlo </w:t>
      </w:r>
      <w:r>
        <w:rPr>
          <w:rFonts w:ascii="Times New Roman" w:hAnsi="Times New Roman" w:cs="Times New Roman"/>
          <w:i/>
        </w:rPr>
        <w:t>et al.</w:t>
      </w:r>
      <w:r>
        <w:rPr>
          <w:rFonts w:ascii="Times New Roman" w:hAnsi="Times New Roman" w:cs="Times New Roman"/>
        </w:rPr>
        <w:t xml:space="preserve">: </w:t>
      </w:r>
      <w:r>
        <w:rPr>
          <w:rFonts w:ascii="Times New Roman" w:hAnsi="Times New Roman" w:cs="Times New Roman"/>
          <w:i/>
        </w:rPr>
        <w:t>op. cit..</w:t>
      </w:r>
      <w:r>
        <w:rPr>
          <w:rFonts w:ascii="Times New Roman" w:hAnsi="Times New Roman" w:cs="Times New Roman"/>
        </w:rPr>
        <w:t>, pág. 154.</w:t>
      </w:r>
    </w:p>
  </w:footnote>
  <w:footnote w:id="107">
    <w:p w:rsidR="00DC6041" w:rsidRPr="004324B9" w:rsidRDefault="00DC604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i/>
        </w:rPr>
        <w:t>Ibid.</w:t>
      </w:r>
      <w:r>
        <w:rPr>
          <w:rFonts w:ascii="Times New Roman" w:hAnsi="Times New Roman" w:cs="Times New Roman"/>
        </w:rPr>
        <w:t>, pág. 954.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C0008"/>
    <w:multiLevelType w:val="hybridMultilevel"/>
    <w:tmpl w:val="96BC4E4A"/>
    <w:lvl w:ilvl="0" w:tplc="F98C3A14">
      <w:numFmt w:val="bullet"/>
      <w:lvlText w:val="-"/>
      <w:lvlJc w:val="left"/>
      <w:pPr>
        <w:ind w:left="720" w:hanging="360"/>
      </w:pPr>
      <w:rPr>
        <w:rFonts w:ascii="Times New Roman" w:eastAsiaTheme="minorHAnsi"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99"/>
    <w:rsid w:val="00001325"/>
    <w:rsid w:val="0000762D"/>
    <w:rsid w:val="000F541C"/>
    <w:rsid w:val="00117AB4"/>
    <w:rsid w:val="001361CA"/>
    <w:rsid w:val="0014112B"/>
    <w:rsid w:val="00195D3A"/>
    <w:rsid w:val="00237272"/>
    <w:rsid w:val="00290E2F"/>
    <w:rsid w:val="002C10B4"/>
    <w:rsid w:val="002C630F"/>
    <w:rsid w:val="00324B60"/>
    <w:rsid w:val="00326638"/>
    <w:rsid w:val="00345855"/>
    <w:rsid w:val="00393D04"/>
    <w:rsid w:val="00394700"/>
    <w:rsid w:val="004055DB"/>
    <w:rsid w:val="004108DE"/>
    <w:rsid w:val="004324B9"/>
    <w:rsid w:val="00456745"/>
    <w:rsid w:val="004641ED"/>
    <w:rsid w:val="004956CF"/>
    <w:rsid w:val="004A27C2"/>
    <w:rsid w:val="004A34E4"/>
    <w:rsid w:val="004E2E66"/>
    <w:rsid w:val="00520602"/>
    <w:rsid w:val="005A5AF3"/>
    <w:rsid w:val="005A792E"/>
    <w:rsid w:val="00616908"/>
    <w:rsid w:val="00634D40"/>
    <w:rsid w:val="00654D6F"/>
    <w:rsid w:val="007040DA"/>
    <w:rsid w:val="007D66B3"/>
    <w:rsid w:val="00825D99"/>
    <w:rsid w:val="0085032B"/>
    <w:rsid w:val="00867C60"/>
    <w:rsid w:val="0089618B"/>
    <w:rsid w:val="008A05AF"/>
    <w:rsid w:val="008A32DC"/>
    <w:rsid w:val="00912227"/>
    <w:rsid w:val="009713ED"/>
    <w:rsid w:val="009928E9"/>
    <w:rsid w:val="00993BA1"/>
    <w:rsid w:val="009B64B7"/>
    <w:rsid w:val="009F5343"/>
    <w:rsid w:val="00A00BE7"/>
    <w:rsid w:val="00A0383C"/>
    <w:rsid w:val="00A2189E"/>
    <w:rsid w:val="00A648C4"/>
    <w:rsid w:val="00AB55C7"/>
    <w:rsid w:val="00AB5DCA"/>
    <w:rsid w:val="00AD0F40"/>
    <w:rsid w:val="00AE0067"/>
    <w:rsid w:val="00AF4CD8"/>
    <w:rsid w:val="00B24B25"/>
    <w:rsid w:val="00B86594"/>
    <w:rsid w:val="00C36CD9"/>
    <w:rsid w:val="00C918A7"/>
    <w:rsid w:val="00D75C9E"/>
    <w:rsid w:val="00DC6041"/>
    <w:rsid w:val="00DD7894"/>
    <w:rsid w:val="00DF421F"/>
    <w:rsid w:val="00E03503"/>
    <w:rsid w:val="00E2338E"/>
    <w:rsid w:val="00E27A55"/>
    <w:rsid w:val="00E45C52"/>
    <w:rsid w:val="00E51732"/>
    <w:rsid w:val="00E607D4"/>
    <w:rsid w:val="00E800A1"/>
    <w:rsid w:val="00ED50A2"/>
    <w:rsid w:val="00F12CCC"/>
    <w:rsid w:val="00F17E94"/>
    <w:rsid w:val="00F472BC"/>
    <w:rsid w:val="00F64C88"/>
    <w:rsid w:val="00F9654B"/>
    <w:rsid w:val="00FD3808"/>
    <w:rsid w:val="00FD44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0340C"/>
  <w15:docId w15:val="{9F62E5EA-83A7-47EF-B421-46CF80E1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25D99"/>
    <w:pPr>
      <w:spacing w:after="0" w:line="240" w:lineRule="auto"/>
    </w:pPr>
    <w:rPr>
      <w:sz w:val="20"/>
      <w:szCs w:val="20"/>
    </w:rPr>
  </w:style>
  <w:style w:type="character" w:customStyle="1" w:styleId="TextonotapieCar">
    <w:name w:val="Texto nota pie Car"/>
    <w:basedOn w:val="Fuentedeprrafopredeter"/>
    <w:link w:val="Textonotapie"/>
    <w:uiPriority w:val="99"/>
    <w:rsid w:val="00825D99"/>
    <w:rPr>
      <w:sz w:val="20"/>
      <w:szCs w:val="20"/>
    </w:rPr>
  </w:style>
  <w:style w:type="character" w:styleId="Refdenotaalpie">
    <w:name w:val="footnote reference"/>
    <w:basedOn w:val="Fuentedeprrafopredeter"/>
    <w:uiPriority w:val="99"/>
    <w:semiHidden/>
    <w:unhideWhenUsed/>
    <w:rsid w:val="00825D99"/>
    <w:rPr>
      <w:vertAlign w:val="superscript"/>
    </w:rPr>
  </w:style>
  <w:style w:type="paragraph" w:customStyle="1" w:styleId="paragraph">
    <w:name w:val="paragraph"/>
    <w:basedOn w:val="Normal"/>
    <w:rsid w:val="000F541C"/>
    <w:pPr>
      <w:spacing w:before="100" w:beforeAutospacing="1" w:after="100" w:afterAutospacing="1" w:line="240" w:lineRule="auto"/>
    </w:pPr>
    <w:rPr>
      <w:rFonts w:ascii="Times New Roman" w:eastAsia="Times New Roman" w:hAnsi="Times New Roman" w:cs="Times New Roman"/>
      <w:sz w:val="24"/>
      <w:szCs w:val="24"/>
      <w:lang w:val="es-UY" w:eastAsia="es-UY"/>
    </w:rPr>
  </w:style>
  <w:style w:type="paragraph" w:styleId="Encabezado">
    <w:name w:val="header"/>
    <w:basedOn w:val="Normal"/>
    <w:link w:val="EncabezadoCar"/>
    <w:uiPriority w:val="99"/>
    <w:unhideWhenUsed/>
    <w:rsid w:val="005A79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792E"/>
  </w:style>
  <w:style w:type="paragraph" w:styleId="Piedepgina">
    <w:name w:val="footer"/>
    <w:basedOn w:val="Normal"/>
    <w:link w:val="PiedepginaCar"/>
    <w:uiPriority w:val="99"/>
    <w:unhideWhenUsed/>
    <w:rsid w:val="005A79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792E"/>
  </w:style>
  <w:style w:type="paragraph" w:styleId="Textodeglobo">
    <w:name w:val="Balloon Text"/>
    <w:basedOn w:val="Normal"/>
    <w:link w:val="TextodegloboCar"/>
    <w:uiPriority w:val="99"/>
    <w:semiHidden/>
    <w:unhideWhenUsed/>
    <w:rsid w:val="00324B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4B60"/>
    <w:rPr>
      <w:rFonts w:ascii="Segoe UI" w:hAnsi="Segoe UI" w:cs="Segoe UI"/>
      <w:sz w:val="18"/>
      <w:szCs w:val="18"/>
    </w:rPr>
  </w:style>
  <w:style w:type="paragraph" w:styleId="Prrafodelista">
    <w:name w:val="List Paragraph"/>
    <w:basedOn w:val="Normal"/>
    <w:uiPriority w:val="34"/>
    <w:qFormat/>
    <w:rsid w:val="00993B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167BE-0691-4596-B01E-2CBFF54B0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8483</Words>
  <Characters>46662</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2022-07-25T15:35:00Z</cp:lastPrinted>
  <dcterms:created xsi:type="dcterms:W3CDTF">2022-11-13T21:25:00Z</dcterms:created>
  <dcterms:modified xsi:type="dcterms:W3CDTF">2022-11-13T21:28:00Z</dcterms:modified>
</cp:coreProperties>
</file>